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C6416">
      <w:pPr>
        <w:adjustRightInd w:val="0"/>
        <w:spacing w:line="560" w:lineRule="exact"/>
        <w:rPr>
          <w:rFonts w:ascii="仿宋_GB2312" w:hAnsi="Times New Roman" w:eastAsia="仿宋_GB2312"/>
          <w:b w:val="0"/>
          <w:bCs w:val="0"/>
          <w:color w:val="auto"/>
          <w:sz w:val="32"/>
          <w:szCs w:val="32"/>
          <w:highlight w:val="none"/>
        </w:rPr>
      </w:pPr>
      <w:r>
        <w:rPr>
          <w:rFonts w:ascii="仿宋_GB2312" w:hAnsi="Times New Roman" w:eastAsia="仿宋_GB2312"/>
          <w:b w:val="0"/>
          <w:bCs w:val="0"/>
          <w:color w:val="auto"/>
          <w:sz w:val="32"/>
          <w:szCs w:val="32"/>
          <w:highlight w:val="none"/>
        </w:rPr>
        <w:t>附件</w:t>
      </w:r>
      <w:r>
        <w:rPr>
          <w:rFonts w:hint="eastAsia" w:ascii="仿宋_GB2312" w:hAnsi="Times New Roman" w:eastAsia="仿宋_GB2312"/>
          <w:b w:val="0"/>
          <w:bCs w:val="0"/>
          <w:color w:val="auto"/>
          <w:sz w:val="32"/>
          <w:szCs w:val="32"/>
          <w:highlight w:val="none"/>
        </w:rPr>
        <w:t>1-3</w:t>
      </w:r>
    </w:p>
    <w:p w14:paraId="6880B26D">
      <w:pPr>
        <w:adjustRightInd w:val="0"/>
        <w:spacing w:line="560" w:lineRule="exact"/>
        <w:rPr>
          <w:rFonts w:ascii="仿宋_GB2312" w:hAnsi="Times New Roman" w:eastAsia="仿宋_GB2312"/>
          <w:b w:val="0"/>
          <w:bCs w:val="0"/>
          <w:color w:val="auto"/>
          <w:sz w:val="32"/>
          <w:szCs w:val="32"/>
          <w:highlight w:val="none"/>
        </w:rPr>
      </w:pPr>
    </w:p>
    <w:p w14:paraId="0EC00BF6">
      <w:pPr>
        <w:pStyle w:val="17"/>
        <w:tabs>
          <w:tab w:val="right" w:leader="dot" w:pos="8306"/>
        </w:tabs>
        <w:spacing w:line="540" w:lineRule="exact"/>
        <w:jc w:val="center"/>
        <w:rPr>
          <w:rFonts w:ascii="方正小标宋简体" w:eastAsia="方正小标宋简体"/>
          <w:b w:val="0"/>
          <w:bCs w:val="0"/>
          <w:color w:val="auto"/>
          <w:sz w:val="44"/>
          <w:szCs w:val="44"/>
          <w:highlight w:val="none"/>
        </w:rPr>
      </w:pPr>
      <w:r>
        <w:rPr>
          <w:rFonts w:hint="eastAsia" w:ascii="方正小标宋简体" w:eastAsia="方正小标宋简体"/>
          <w:b w:val="0"/>
          <w:bCs w:val="0"/>
          <w:color w:val="auto"/>
          <w:sz w:val="44"/>
          <w:szCs w:val="44"/>
          <w:highlight w:val="none"/>
        </w:rPr>
        <w:t>自治区食品安全监督抽检实施细则</w:t>
      </w:r>
    </w:p>
    <w:p w14:paraId="20DDE296">
      <w:pPr>
        <w:pStyle w:val="17"/>
        <w:tabs>
          <w:tab w:val="right" w:leader="dot" w:pos="8306"/>
        </w:tabs>
        <w:spacing w:line="540" w:lineRule="exact"/>
        <w:jc w:val="center"/>
        <w:rPr>
          <w:rFonts w:ascii="方正小标宋简体" w:eastAsia="方正小标宋简体"/>
          <w:b w:val="0"/>
          <w:bCs w:val="0"/>
          <w:color w:val="auto"/>
          <w:sz w:val="44"/>
          <w:szCs w:val="44"/>
          <w:highlight w:val="none"/>
        </w:rPr>
      </w:pPr>
      <w:r>
        <w:rPr>
          <w:rFonts w:hint="eastAsia" w:ascii="方正小标宋简体" w:eastAsia="方正小标宋简体"/>
          <w:b w:val="0"/>
          <w:bCs w:val="0"/>
          <w:color w:val="auto"/>
          <w:sz w:val="44"/>
          <w:szCs w:val="44"/>
          <w:highlight w:val="none"/>
        </w:rPr>
        <w:t>（</w:t>
      </w:r>
      <w:r>
        <w:rPr>
          <w:rFonts w:ascii="方正小标宋简体" w:eastAsia="方正小标宋简体"/>
          <w:b w:val="0"/>
          <w:bCs w:val="0"/>
          <w:color w:val="auto"/>
          <w:sz w:val="44"/>
          <w:szCs w:val="44"/>
          <w:highlight w:val="none"/>
        </w:rPr>
        <w:t>202</w:t>
      </w:r>
      <w:r>
        <w:rPr>
          <w:rFonts w:hint="eastAsia" w:ascii="方正小标宋简体" w:eastAsia="方正小标宋简体"/>
          <w:b w:val="0"/>
          <w:bCs w:val="0"/>
          <w:color w:val="auto"/>
          <w:sz w:val="44"/>
          <w:szCs w:val="44"/>
          <w:highlight w:val="none"/>
        </w:rPr>
        <w:t>3年版）</w:t>
      </w:r>
    </w:p>
    <w:p w14:paraId="56A896EC">
      <w:pPr>
        <w:overflowPunct w:val="0"/>
        <w:topLinePunct/>
        <w:snapToGrid w:val="0"/>
        <w:spacing w:before="156" w:beforeLines="50" w:after="156" w:afterLines="50" w:line="560" w:lineRule="exact"/>
        <w:ind w:firstLine="640" w:firstLineChars="200"/>
        <w:jc w:val="center"/>
        <w:rPr>
          <w:rFonts w:hint="eastAsia" w:ascii="Times New Roman" w:hAnsi="Times New Roman" w:eastAsia="黑体"/>
          <w:b w:val="0"/>
          <w:bCs w:val="0"/>
          <w:color w:val="auto"/>
          <w:sz w:val="32"/>
          <w:szCs w:val="32"/>
          <w:highlight w:val="none"/>
        </w:rPr>
      </w:pPr>
    </w:p>
    <w:p w14:paraId="54626280">
      <w:pPr>
        <w:overflowPunct w:val="0"/>
        <w:topLinePunct/>
        <w:snapToGrid w:val="0"/>
        <w:spacing w:before="156" w:beforeLines="50" w:after="156" w:afterLines="50" w:line="560" w:lineRule="exact"/>
        <w:ind w:firstLine="640" w:firstLineChars="200"/>
        <w:jc w:val="center"/>
        <w:rPr>
          <w:rFonts w:ascii="Times New Roman" w:hAnsi="Times New Roman" w:eastAsia="黑体"/>
          <w:b w:val="0"/>
          <w:bCs w:val="0"/>
          <w:color w:val="auto"/>
          <w:sz w:val="32"/>
          <w:szCs w:val="32"/>
          <w:highlight w:val="none"/>
        </w:rPr>
      </w:pPr>
      <w:r>
        <w:rPr>
          <w:rFonts w:hint="eastAsia" w:ascii="Times New Roman" w:hAnsi="Times New Roman" w:eastAsia="黑体"/>
          <w:b w:val="0"/>
          <w:bCs w:val="0"/>
          <w:color w:val="auto"/>
          <w:sz w:val="32"/>
          <w:szCs w:val="32"/>
          <w:highlight w:val="none"/>
        </w:rPr>
        <w:t>一、乳制品</w:t>
      </w:r>
    </w:p>
    <w:p w14:paraId="345FEBDF">
      <w:pPr>
        <w:overflowPunct w:val="0"/>
        <w:topLinePunct/>
        <w:snapToGrid w:val="0"/>
        <w:spacing w:before="156" w:beforeLines="50" w:after="156" w:afterLines="50" w:line="560" w:lineRule="exact"/>
        <w:ind w:firstLine="640" w:firstLineChars="200"/>
        <w:rPr>
          <w:rFonts w:ascii="Times New Roman" w:hAnsi="Times New Roman" w:eastAsia="黑体"/>
          <w:b w:val="0"/>
          <w:bCs w:val="0"/>
          <w:color w:val="auto"/>
          <w:sz w:val="32"/>
          <w:szCs w:val="32"/>
          <w:highlight w:val="none"/>
        </w:rPr>
      </w:pPr>
      <w:r>
        <w:rPr>
          <w:rFonts w:hint="eastAsia" w:ascii="Times New Roman" w:hAnsi="Times New Roman" w:eastAsia="黑体"/>
          <w:b w:val="0"/>
          <w:bCs w:val="0"/>
          <w:color w:val="auto"/>
          <w:sz w:val="32"/>
          <w:szCs w:val="32"/>
          <w:highlight w:val="none"/>
        </w:rPr>
        <w:t>1</w:t>
      </w:r>
      <w:r>
        <w:rPr>
          <w:rFonts w:ascii="Times New Roman" w:hAnsi="Times New Roman" w:eastAsia="黑体"/>
          <w:b w:val="0"/>
          <w:bCs w:val="0"/>
          <w:color w:val="auto"/>
          <w:sz w:val="32"/>
          <w:szCs w:val="32"/>
          <w:highlight w:val="none"/>
        </w:rPr>
        <w:t xml:space="preserve"> </w:t>
      </w:r>
      <w:r>
        <w:rPr>
          <w:rFonts w:hint="eastAsia" w:ascii="Times New Roman" w:hAnsi="Times New Roman" w:eastAsia="黑体"/>
          <w:b w:val="0"/>
          <w:bCs w:val="0"/>
          <w:color w:val="auto"/>
          <w:sz w:val="32"/>
          <w:szCs w:val="32"/>
          <w:highlight w:val="none"/>
        </w:rPr>
        <w:t>液体乳</w:t>
      </w:r>
    </w:p>
    <w:p w14:paraId="1F4F9744">
      <w:pPr>
        <w:overflowPunct w:val="0"/>
        <w:topLinePunct/>
        <w:snapToGrid w:val="0"/>
        <w:spacing w:before="156" w:beforeLines="50" w:after="156" w:afterLines="50" w:line="560" w:lineRule="exact"/>
        <w:ind w:firstLine="640" w:firstLineChars="200"/>
        <w:rPr>
          <w:rFonts w:ascii="Times New Roman" w:hAnsi="Times New Roman" w:eastAsia="黑体"/>
          <w:b w:val="0"/>
          <w:bCs w:val="0"/>
          <w:color w:val="auto"/>
          <w:sz w:val="32"/>
          <w:szCs w:val="32"/>
          <w:highlight w:val="none"/>
        </w:rPr>
      </w:pPr>
      <w:r>
        <w:rPr>
          <w:rFonts w:hint="eastAsia" w:ascii="Times New Roman" w:hAnsi="Times New Roman" w:eastAsia="黑体"/>
          <w:b w:val="0"/>
          <w:bCs w:val="0"/>
          <w:color w:val="auto"/>
          <w:sz w:val="32"/>
          <w:szCs w:val="32"/>
          <w:highlight w:val="none"/>
        </w:rPr>
        <w:t>1.1适用范围</w:t>
      </w:r>
    </w:p>
    <w:p w14:paraId="0903AC08">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本细则适用于新疆区内（不含兵团）依据实际情况而定的液体乳食品安全监督抽检。</w:t>
      </w:r>
    </w:p>
    <w:p w14:paraId="679B14D7">
      <w:pPr>
        <w:overflowPunct w:val="0"/>
        <w:topLinePunct/>
        <w:snapToGrid w:val="0"/>
        <w:spacing w:before="156" w:beforeLines="50" w:after="156" w:afterLines="50" w:line="560" w:lineRule="exact"/>
        <w:ind w:firstLine="640" w:firstLineChars="200"/>
        <w:rPr>
          <w:rFonts w:ascii="Times New Roman" w:hAnsi="Times New Roman" w:eastAsia="黑体"/>
          <w:b w:val="0"/>
          <w:bCs w:val="0"/>
          <w:color w:val="auto"/>
          <w:sz w:val="32"/>
          <w:szCs w:val="32"/>
          <w:highlight w:val="none"/>
        </w:rPr>
      </w:pPr>
      <w:r>
        <w:rPr>
          <w:rFonts w:hint="eastAsia" w:ascii="Times New Roman" w:hAnsi="Times New Roman" w:eastAsia="黑体"/>
          <w:b w:val="0"/>
          <w:bCs w:val="0"/>
          <w:color w:val="auto"/>
          <w:sz w:val="32"/>
          <w:szCs w:val="32"/>
          <w:highlight w:val="none"/>
        </w:rPr>
        <w:t>1.2</w:t>
      </w:r>
      <w:r>
        <w:rPr>
          <w:rFonts w:ascii="Times New Roman" w:hAnsi="Times New Roman" w:eastAsia="黑体"/>
          <w:b w:val="0"/>
          <w:bCs w:val="0"/>
          <w:color w:val="auto"/>
          <w:sz w:val="32"/>
          <w:szCs w:val="32"/>
          <w:highlight w:val="none"/>
        </w:rPr>
        <w:t xml:space="preserve"> </w:t>
      </w:r>
      <w:r>
        <w:rPr>
          <w:rFonts w:hint="eastAsia" w:ascii="Times New Roman" w:hAnsi="Times New Roman" w:eastAsia="黑体"/>
          <w:b w:val="0"/>
          <w:bCs w:val="0"/>
          <w:color w:val="auto"/>
          <w:sz w:val="32"/>
          <w:szCs w:val="32"/>
          <w:highlight w:val="none"/>
        </w:rPr>
        <w:t>产品种类</w:t>
      </w:r>
    </w:p>
    <w:p w14:paraId="6B367573">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液体乳分为灭菌乳、巴氏杀菌乳、调制乳和发酵乳，具体定义同食品安全监督抽检实施细则《2023年版》。</w:t>
      </w:r>
    </w:p>
    <w:p w14:paraId="65DB983B">
      <w:pPr>
        <w:overflowPunct w:val="0"/>
        <w:topLinePunct/>
        <w:snapToGrid w:val="0"/>
        <w:spacing w:before="156" w:beforeLines="50" w:after="156" w:afterLines="50" w:line="560" w:lineRule="exact"/>
        <w:ind w:firstLine="640" w:firstLineChars="200"/>
        <w:rPr>
          <w:rFonts w:ascii="Times New Roman" w:hAnsi="Times New Roman" w:eastAsia="黑体"/>
          <w:b w:val="0"/>
          <w:bCs w:val="0"/>
          <w:color w:val="auto"/>
          <w:sz w:val="32"/>
          <w:szCs w:val="32"/>
          <w:highlight w:val="none"/>
        </w:rPr>
      </w:pPr>
      <w:r>
        <w:rPr>
          <w:rFonts w:hint="eastAsia" w:ascii="Times New Roman" w:hAnsi="Times New Roman" w:eastAsia="黑体"/>
          <w:b w:val="0"/>
          <w:bCs w:val="0"/>
          <w:color w:val="auto"/>
          <w:sz w:val="32"/>
          <w:szCs w:val="32"/>
          <w:highlight w:val="none"/>
        </w:rPr>
        <w:t>1.3</w:t>
      </w:r>
      <w:r>
        <w:rPr>
          <w:rFonts w:ascii="Times New Roman" w:hAnsi="Times New Roman" w:eastAsia="黑体"/>
          <w:b w:val="0"/>
          <w:bCs w:val="0"/>
          <w:color w:val="auto"/>
          <w:sz w:val="32"/>
          <w:szCs w:val="32"/>
          <w:highlight w:val="none"/>
        </w:rPr>
        <w:t xml:space="preserve"> </w:t>
      </w:r>
      <w:r>
        <w:rPr>
          <w:rFonts w:hint="eastAsia" w:ascii="Times New Roman" w:hAnsi="Times New Roman" w:eastAsia="黑体"/>
          <w:b w:val="0"/>
          <w:bCs w:val="0"/>
          <w:color w:val="auto"/>
          <w:sz w:val="32"/>
          <w:szCs w:val="32"/>
          <w:highlight w:val="none"/>
        </w:rPr>
        <w:t>检验依据</w:t>
      </w:r>
    </w:p>
    <w:p w14:paraId="11C97F0F">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下列文件凡是注明日期的，其随后所有的修改单或修订版均不适用于本细则。凡是不注明日期的，其最新版本适用于本细则。</w:t>
      </w:r>
    </w:p>
    <w:p w14:paraId="78CE0CA0">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GB 2760 食品安全国家标准 食品添加剂使用标准</w:t>
      </w:r>
    </w:p>
    <w:p w14:paraId="24B43F2D">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GB 2761 食品安全国家标准 食品中真菌毒素限量</w:t>
      </w:r>
    </w:p>
    <w:p w14:paraId="100CCBF1">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GB 5009.24 食品安全国家标准 食品中黄曲霉毒素M族的测定</w:t>
      </w:r>
    </w:p>
    <w:p w14:paraId="660FFAEF">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GB 5009.286 食品安全国家标准 食品中纳他霉素的测定</w:t>
      </w:r>
    </w:p>
    <w:p w14:paraId="209BEFA9">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产品明示标准和质量要求</w:t>
      </w:r>
    </w:p>
    <w:p w14:paraId="7F7A8648">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相关的法律法规、部门规章和规定</w:t>
      </w:r>
    </w:p>
    <w:p w14:paraId="2EACE55C">
      <w:pPr>
        <w:overflowPunct w:val="0"/>
        <w:topLinePunct/>
        <w:snapToGrid w:val="0"/>
        <w:spacing w:line="560" w:lineRule="exact"/>
        <w:ind w:firstLine="640"/>
        <w:rPr>
          <w:rFonts w:ascii="Times New Roman" w:hAnsi="Times New Roman" w:eastAsia="黑体"/>
          <w:b w:val="0"/>
          <w:bCs w:val="0"/>
          <w:color w:val="auto"/>
          <w:sz w:val="32"/>
          <w:szCs w:val="32"/>
          <w:highlight w:val="none"/>
        </w:rPr>
      </w:pPr>
      <w:r>
        <w:rPr>
          <w:rFonts w:hint="eastAsia" w:ascii="Times New Roman" w:hAnsi="Times New Roman" w:eastAsia="仿宋_GB2312"/>
          <w:b w:val="0"/>
          <w:bCs w:val="0"/>
          <w:color w:val="auto"/>
          <w:sz w:val="32"/>
          <w:szCs w:val="32"/>
          <w:highlight w:val="none"/>
        </w:rPr>
        <w:t xml:space="preserve">1.4 </w:t>
      </w:r>
      <w:r>
        <w:rPr>
          <w:rFonts w:hint="eastAsia" w:ascii="Times New Roman" w:hAnsi="Times New Roman" w:eastAsia="黑体"/>
          <w:b w:val="0"/>
          <w:bCs w:val="0"/>
          <w:color w:val="auto"/>
          <w:sz w:val="32"/>
          <w:szCs w:val="32"/>
          <w:highlight w:val="none"/>
        </w:rPr>
        <w:t>抽样</w:t>
      </w:r>
    </w:p>
    <w:p w14:paraId="145FCF68">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1.4.1 抽样型号或规格</w:t>
      </w:r>
    </w:p>
    <w:p w14:paraId="207255F0">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预包装食品。</w:t>
      </w:r>
    </w:p>
    <w:p w14:paraId="22C86683">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1.4.2 抽样方法及数量</w:t>
      </w:r>
    </w:p>
    <w:p w14:paraId="6BEB8111">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同食品安全监督抽检实施细则《2023年版》</w:t>
      </w:r>
    </w:p>
    <w:p w14:paraId="0B9D5663">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1.4.3 抽样单</w:t>
      </w:r>
    </w:p>
    <w:p w14:paraId="59D484F3">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应按有关规定填写抽样单，并记录所抽样品及生产经营企业相关信息。</w:t>
      </w:r>
    </w:p>
    <w:p w14:paraId="5709E583">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1.4.4 封样和样品运输、贮存</w:t>
      </w:r>
    </w:p>
    <w:p w14:paraId="5EE239ED">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抽样完成后由抽样人与被抽样单位在抽样单和封条上签字、盖章，当场封样，检验样品、备份样品分别封样。为保证样品的真实性，应有相应的防拆封措施，并保证封条在运输过程中不会破损。样品的运输、贮存过程中应采取有效的防护措施，确保样品不被污染，不发生腐败变质，不影响后续检验。样品的运输、贮存，应符合产品明示要求或产品实际需要的条件要求。</w:t>
      </w:r>
    </w:p>
    <w:p w14:paraId="11494F9C">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在网络食品经营平台抽样时，抽样单和封条无需被抽样单位签字、盖章。</w:t>
      </w:r>
    </w:p>
    <w:p w14:paraId="258875F9">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 xml:space="preserve">1.5 </w:t>
      </w:r>
      <w:r>
        <w:rPr>
          <w:rFonts w:hint="eastAsia" w:ascii="Times New Roman" w:hAnsi="Times New Roman" w:eastAsia="黑体"/>
          <w:b w:val="0"/>
          <w:bCs w:val="0"/>
          <w:color w:val="auto"/>
          <w:sz w:val="32"/>
          <w:szCs w:val="32"/>
          <w:highlight w:val="none"/>
        </w:rPr>
        <w:t>检验要求</w:t>
      </w:r>
    </w:p>
    <w:p w14:paraId="4871C2B5">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1.5.1 检验项目</w:t>
      </w:r>
    </w:p>
    <w:p w14:paraId="3FD7C708">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1.5.1.1 巴氏杀菌乳、灭菌乳、发酵乳、调制乳检验项目见表2</w:t>
      </w:r>
    </w:p>
    <w:p w14:paraId="740DD394">
      <w:pPr>
        <w:widowControl/>
        <w:spacing w:before="156" w:beforeLines="50" w:after="156" w:afterLines="50" w:line="36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表2</w:t>
      </w:r>
      <w:r>
        <w:rPr>
          <w:rFonts w:ascii="Times New Roman" w:hAnsi="Times New Roman" w:eastAsia="黑体"/>
          <w:b w:val="0"/>
          <w:bCs w:val="0"/>
          <w:color w:val="auto"/>
          <w:sz w:val="28"/>
          <w:szCs w:val="28"/>
          <w:highlight w:val="none"/>
        </w:rPr>
        <w:t xml:space="preserve">  </w:t>
      </w:r>
      <w:r>
        <w:rPr>
          <w:rFonts w:hint="eastAsia" w:ascii="Times New Roman" w:hAnsi="Times New Roman" w:eastAsia="黑体"/>
          <w:b w:val="0"/>
          <w:bCs w:val="0"/>
          <w:color w:val="auto"/>
          <w:sz w:val="28"/>
          <w:szCs w:val="28"/>
          <w:highlight w:val="none"/>
        </w:rPr>
        <w:t>巴氏杀菌乳、灭菌乳、发酵乳、调制乳检验项目及检测方法</w:t>
      </w:r>
    </w:p>
    <w:tbl>
      <w:tblPr>
        <w:tblStyle w:val="27"/>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075"/>
        <w:gridCol w:w="2786"/>
        <w:gridCol w:w="2299"/>
      </w:tblGrid>
      <w:tr w14:paraId="667F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tblHeader/>
          <w:jc w:val="center"/>
        </w:trPr>
        <w:tc>
          <w:tcPr>
            <w:tcW w:w="852" w:type="dxa"/>
            <w:vAlign w:val="center"/>
          </w:tcPr>
          <w:p w14:paraId="07432888">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序号</w:t>
            </w:r>
            <w:r>
              <w:rPr>
                <w:rFonts w:ascii="Times New Roman" w:hAnsi="Times New Roman" w:eastAsia="黑体"/>
                <w:b w:val="0"/>
                <w:bCs w:val="0"/>
                <w:color w:val="auto"/>
                <w:sz w:val="28"/>
                <w:szCs w:val="28"/>
                <w:highlight w:val="none"/>
              </w:rPr>
              <w:t xml:space="preserve">                                                                                                                                                                                                                                                                                                                                                                                                                                                                                                                                                                                                                                                                                                                                                                                                                                                                                                                                                 </w:t>
            </w:r>
          </w:p>
        </w:tc>
        <w:tc>
          <w:tcPr>
            <w:tcW w:w="3075" w:type="dxa"/>
            <w:vAlign w:val="center"/>
          </w:tcPr>
          <w:p w14:paraId="068DFB45">
            <w:pPr>
              <w:overflowPunct w:val="0"/>
              <w:topLinePunct/>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检验项目</w:t>
            </w:r>
          </w:p>
        </w:tc>
        <w:tc>
          <w:tcPr>
            <w:tcW w:w="2786" w:type="dxa"/>
            <w:vAlign w:val="center"/>
          </w:tcPr>
          <w:p w14:paraId="40F1EA0E">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依据法律法规或标准</w:t>
            </w:r>
          </w:p>
        </w:tc>
        <w:tc>
          <w:tcPr>
            <w:tcW w:w="2299" w:type="dxa"/>
            <w:vAlign w:val="center"/>
          </w:tcPr>
          <w:p w14:paraId="0FE1CEE9">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检测方法</w:t>
            </w:r>
          </w:p>
        </w:tc>
      </w:tr>
      <w:tr w14:paraId="042B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347EF19E">
            <w:pPr>
              <w:overflowPunct w:val="0"/>
              <w:topLinePunct/>
              <w:spacing w:line="40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1</w:t>
            </w:r>
          </w:p>
        </w:tc>
        <w:tc>
          <w:tcPr>
            <w:tcW w:w="3075" w:type="dxa"/>
            <w:vAlign w:val="center"/>
          </w:tcPr>
          <w:p w14:paraId="2602A065">
            <w:pPr>
              <w:overflowPunct w:val="0"/>
              <w:topLinePunct/>
              <w:snapToGrid w:val="0"/>
              <w:spacing w:line="40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黄曲霉毒素M</w:t>
            </w:r>
            <w:r>
              <w:rPr>
                <w:rFonts w:hint="eastAsia" w:ascii="Times New Roman" w:hAnsi="Times New Roman" w:eastAsia="仿宋_GB2312"/>
                <w:b w:val="0"/>
                <w:bCs w:val="0"/>
                <w:color w:val="auto"/>
                <w:sz w:val="28"/>
                <w:szCs w:val="28"/>
                <w:highlight w:val="none"/>
                <w:vertAlign w:val="subscript"/>
              </w:rPr>
              <w:t>1</w:t>
            </w:r>
          </w:p>
        </w:tc>
        <w:tc>
          <w:tcPr>
            <w:tcW w:w="2786" w:type="dxa"/>
            <w:vAlign w:val="center"/>
          </w:tcPr>
          <w:p w14:paraId="42587138">
            <w:pPr>
              <w:widowControl/>
              <w:spacing w:line="400" w:lineRule="exact"/>
              <w:jc w:val="center"/>
              <w:textAlignment w:val="center"/>
              <w:rPr>
                <w:rFonts w:ascii="Times New Roman" w:hAnsi="Times New Roman" w:eastAsia="仿宋"/>
                <w:b w:val="0"/>
                <w:bCs w:val="0"/>
                <w:color w:val="auto"/>
                <w:kern w:val="0"/>
                <w:sz w:val="28"/>
                <w:szCs w:val="28"/>
                <w:highlight w:val="none"/>
              </w:rPr>
            </w:pPr>
            <w:r>
              <w:rPr>
                <w:rFonts w:ascii="Times New Roman" w:hAnsi="Times New Roman" w:eastAsia="仿宋"/>
                <w:b w:val="0"/>
                <w:bCs w:val="0"/>
                <w:color w:val="auto"/>
                <w:kern w:val="0"/>
                <w:sz w:val="28"/>
                <w:szCs w:val="28"/>
                <w:highlight w:val="none"/>
              </w:rPr>
              <w:t>GB 276</w:t>
            </w:r>
            <w:r>
              <w:rPr>
                <w:rFonts w:hint="eastAsia" w:ascii="Times New Roman" w:hAnsi="Times New Roman" w:eastAsia="仿宋"/>
                <w:b w:val="0"/>
                <w:bCs w:val="0"/>
                <w:color w:val="auto"/>
                <w:kern w:val="0"/>
                <w:sz w:val="28"/>
                <w:szCs w:val="28"/>
                <w:highlight w:val="none"/>
              </w:rPr>
              <w:t>1</w:t>
            </w:r>
          </w:p>
        </w:tc>
        <w:tc>
          <w:tcPr>
            <w:tcW w:w="2299" w:type="dxa"/>
            <w:vAlign w:val="center"/>
          </w:tcPr>
          <w:p w14:paraId="666C987B">
            <w:pPr>
              <w:overflowPunct w:val="0"/>
              <w:topLinePunct/>
              <w:snapToGrid w:val="0"/>
              <w:spacing w:line="400" w:lineRule="exact"/>
              <w:jc w:val="center"/>
              <w:rPr>
                <w:rFonts w:eastAsia="仿宋"/>
                <w:b w:val="0"/>
                <w:bCs w:val="0"/>
                <w:color w:val="auto"/>
                <w:sz w:val="28"/>
                <w:szCs w:val="28"/>
                <w:highlight w:val="none"/>
              </w:rPr>
            </w:pPr>
            <w:r>
              <w:rPr>
                <w:rFonts w:ascii="Times New Roman" w:hAnsi="Times New Roman" w:eastAsia="仿宋"/>
                <w:b w:val="0"/>
                <w:bCs w:val="0"/>
                <w:color w:val="auto"/>
                <w:sz w:val="28"/>
                <w:szCs w:val="28"/>
                <w:highlight w:val="none"/>
              </w:rPr>
              <w:t>GB 5009.</w:t>
            </w:r>
            <w:r>
              <w:rPr>
                <w:rFonts w:hint="eastAsia" w:ascii="Times New Roman" w:hAnsi="Times New Roman" w:eastAsia="仿宋"/>
                <w:b w:val="0"/>
                <w:bCs w:val="0"/>
                <w:color w:val="auto"/>
                <w:sz w:val="28"/>
                <w:szCs w:val="28"/>
                <w:highlight w:val="none"/>
              </w:rPr>
              <w:t>24</w:t>
            </w:r>
          </w:p>
        </w:tc>
      </w:tr>
    </w:tbl>
    <w:p w14:paraId="1F5E6092">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1.6</w:t>
      </w:r>
      <w:r>
        <w:rPr>
          <w:rFonts w:ascii="Times New Roman" w:hAnsi="Times New Roman" w:eastAsia="仿宋_GB2312"/>
          <w:b w:val="0"/>
          <w:bCs w:val="0"/>
          <w:color w:val="auto"/>
          <w:sz w:val="32"/>
          <w:szCs w:val="32"/>
          <w:highlight w:val="none"/>
        </w:rPr>
        <w:t xml:space="preserve"> 判定原则与结论</w:t>
      </w:r>
    </w:p>
    <w:p w14:paraId="24B75B1D">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ascii="Times New Roman" w:hAnsi="Times New Roman" w:eastAsia="仿宋_GB2312"/>
          <w:b w:val="0"/>
          <w:bCs w:val="0"/>
          <w:color w:val="auto"/>
          <w:sz w:val="32"/>
          <w:szCs w:val="32"/>
          <w:highlight w:val="none"/>
        </w:rPr>
        <w:t>原则上按照细则中检验项目依据的法律法规或标准要求判定</w:t>
      </w:r>
      <w:r>
        <w:rPr>
          <w:rFonts w:hint="eastAsia" w:ascii="Times New Roman" w:hAnsi="Times New Roman" w:eastAsia="仿宋_GB2312"/>
          <w:b w:val="0"/>
          <w:bCs w:val="0"/>
          <w:color w:val="auto"/>
          <w:sz w:val="32"/>
          <w:szCs w:val="32"/>
          <w:highlight w:val="none"/>
        </w:rPr>
        <w:t>，</w:t>
      </w:r>
      <w:r>
        <w:rPr>
          <w:rFonts w:ascii="Times New Roman" w:hAnsi="Times New Roman" w:eastAsia="仿宋_GB2312"/>
          <w:b w:val="0"/>
          <w:bCs w:val="0"/>
          <w:color w:val="auto"/>
          <w:sz w:val="32"/>
          <w:szCs w:val="32"/>
          <w:highlight w:val="none"/>
        </w:rPr>
        <w:t>若被检产品明示标准或质量要求高于该要求时，应按被检产品明示标准或质量要求判定。若所检项目既不符合食品安全标准，又不符合产品明示标准或质量要求时，应在检验结论中同时体现</w:t>
      </w:r>
      <w:r>
        <w:rPr>
          <w:rFonts w:hint="eastAsia" w:ascii="Times New Roman" w:hAnsi="Times New Roman" w:eastAsia="仿宋_GB2312"/>
          <w:b w:val="0"/>
          <w:bCs w:val="0"/>
          <w:color w:val="auto"/>
          <w:sz w:val="32"/>
          <w:szCs w:val="32"/>
          <w:highlight w:val="none"/>
        </w:rPr>
        <w:t>。</w:t>
      </w:r>
    </w:p>
    <w:p w14:paraId="6A576B21">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ascii="Times New Roman" w:hAnsi="Times New Roman" w:eastAsia="仿宋_GB2312"/>
          <w:b w:val="0"/>
          <w:bCs w:val="0"/>
          <w:color w:val="auto"/>
          <w:sz w:val="32"/>
          <w:szCs w:val="32"/>
          <w:highlight w:val="none"/>
        </w:rPr>
        <w:t>出具抽检检验报告，检验报告中检验结论按如下方式作出判定：</w:t>
      </w:r>
    </w:p>
    <w:p w14:paraId="7194A2FB">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1</w:t>
      </w:r>
      <w:r>
        <w:rPr>
          <w:rFonts w:ascii="Times New Roman" w:hAnsi="Times New Roman" w:eastAsia="仿宋_GB2312"/>
          <w:b w:val="0"/>
          <w:bCs w:val="0"/>
          <w:color w:val="auto"/>
          <w:sz w:val="32"/>
          <w:szCs w:val="32"/>
          <w:highlight w:val="none"/>
        </w:rPr>
        <w:t>.</w:t>
      </w:r>
      <w:r>
        <w:rPr>
          <w:rFonts w:hint="eastAsia" w:ascii="Times New Roman" w:hAnsi="Times New Roman" w:eastAsia="仿宋_GB2312"/>
          <w:b w:val="0"/>
          <w:bCs w:val="0"/>
          <w:color w:val="auto"/>
          <w:sz w:val="32"/>
          <w:szCs w:val="32"/>
          <w:highlight w:val="none"/>
        </w:rPr>
        <w:t>6.1</w:t>
      </w:r>
      <w:r>
        <w:rPr>
          <w:rFonts w:ascii="Times New Roman" w:hAnsi="Times New Roman" w:eastAsia="仿宋_GB2312"/>
          <w:b w:val="0"/>
          <w:bCs w:val="0"/>
          <w:color w:val="auto"/>
          <w:sz w:val="32"/>
          <w:szCs w:val="32"/>
          <w:highlight w:val="none"/>
        </w:rPr>
        <w:t xml:space="preserve"> 检验项目全部符合相应依据的法律法规或标准要求的，检验结论为</w:t>
      </w:r>
      <w:r>
        <w:rPr>
          <w:rFonts w:hint="eastAsia" w:ascii="Times New Roman" w:hAnsi="Times New Roman" w:eastAsia="仿宋_GB2312"/>
          <w:b w:val="0"/>
          <w:bCs w:val="0"/>
          <w:color w:val="auto"/>
          <w:sz w:val="32"/>
          <w:szCs w:val="32"/>
          <w:highlight w:val="none"/>
        </w:rPr>
        <w:t>：“</w:t>
      </w:r>
      <w:r>
        <w:rPr>
          <w:rFonts w:ascii="Times New Roman" w:hAnsi="Times New Roman" w:eastAsia="仿宋_GB2312"/>
          <w:b w:val="0"/>
          <w:bCs w:val="0"/>
          <w:color w:val="auto"/>
          <w:sz w:val="32"/>
          <w:szCs w:val="32"/>
          <w:highlight w:val="none"/>
        </w:rPr>
        <w:t>经抽样检验，所检项目符合××××要求</w:t>
      </w:r>
      <w:r>
        <w:rPr>
          <w:rFonts w:hint="eastAsia" w:ascii="Times New Roman" w:hAnsi="Times New Roman" w:eastAsia="仿宋_GB2312"/>
          <w:b w:val="0"/>
          <w:bCs w:val="0"/>
          <w:color w:val="auto"/>
          <w:sz w:val="32"/>
          <w:szCs w:val="32"/>
          <w:highlight w:val="none"/>
        </w:rPr>
        <w:t>”</w:t>
      </w:r>
      <w:r>
        <w:rPr>
          <w:rFonts w:ascii="Times New Roman" w:hAnsi="Times New Roman" w:eastAsia="仿宋_GB2312"/>
          <w:b w:val="0"/>
          <w:bCs w:val="0"/>
          <w:color w:val="auto"/>
          <w:sz w:val="32"/>
          <w:szCs w:val="32"/>
          <w:highlight w:val="none"/>
        </w:rPr>
        <w:t>。</w:t>
      </w:r>
    </w:p>
    <w:p w14:paraId="424B5BC9">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1.6.2</w:t>
      </w:r>
      <w:r>
        <w:rPr>
          <w:rFonts w:ascii="Times New Roman" w:hAnsi="Times New Roman" w:eastAsia="仿宋_GB2312"/>
          <w:b w:val="0"/>
          <w:bCs w:val="0"/>
          <w:color w:val="auto"/>
          <w:sz w:val="32"/>
          <w:szCs w:val="32"/>
          <w:highlight w:val="none"/>
        </w:rPr>
        <w:t xml:space="preserve"> 检验项目有不符合相应依据的法律法规或标准要求的，检验结论为</w:t>
      </w:r>
      <w:r>
        <w:rPr>
          <w:rFonts w:hint="eastAsia" w:ascii="Times New Roman" w:hAnsi="Times New Roman" w:eastAsia="仿宋_GB2312"/>
          <w:b w:val="0"/>
          <w:bCs w:val="0"/>
          <w:color w:val="auto"/>
          <w:sz w:val="32"/>
          <w:szCs w:val="32"/>
          <w:highlight w:val="none"/>
        </w:rPr>
        <w:t>：“</w:t>
      </w:r>
      <w:r>
        <w:rPr>
          <w:rFonts w:ascii="Times New Roman" w:hAnsi="Times New Roman" w:eastAsia="仿宋_GB2312"/>
          <w:b w:val="0"/>
          <w:bCs w:val="0"/>
          <w:color w:val="auto"/>
          <w:sz w:val="32"/>
          <w:szCs w:val="32"/>
          <w:highlight w:val="none"/>
        </w:rPr>
        <w:t>经抽样检验，××项目不符合××××要求，检验结论为不合格</w:t>
      </w:r>
      <w:r>
        <w:rPr>
          <w:rFonts w:hint="eastAsia" w:ascii="Times New Roman" w:hAnsi="Times New Roman" w:eastAsia="仿宋_GB2312"/>
          <w:b w:val="0"/>
          <w:bCs w:val="0"/>
          <w:color w:val="auto"/>
          <w:sz w:val="32"/>
          <w:szCs w:val="32"/>
          <w:highlight w:val="none"/>
        </w:rPr>
        <w:t>”</w:t>
      </w:r>
      <w:r>
        <w:rPr>
          <w:rFonts w:ascii="Times New Roman" w:hAnsi="Times New Roman" w:eastAsia="仿宋_GB2312"/>
          <w:b w:val="0"/>
          <w:bCs w:val="0"/>
          <w:color w:val="auto"/>
          <w:sz w:val="32"/>
          <w:szCs w:val="32"/>
          <w:highlight w:val="none"/>
        </w:rPr>
        <w:t>。</w:t>
      </w:r>
    </w:p>
    <w:p w14:paraId="1D621EED">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 xml:space="preserve">1.6.3 </w:t>
      </w:r>
      <w:r>
        <w:rPr>
          <w:rFonts w:ascii="Times New Roman" w:hAnsi="Times New Roman" w:eastAsia="仿宋_GB2312"/>
          <w:b w:val="0"/>
          <w:bCs w:val="0"/>
          <w:color w:val="auto"/>
          <w:sz w:val="32"/>
          <w:szCs w:val="32"/>
          <w:highlight w:val="none"/>
        </w:rPr>
        <w:t>检验项目既不符合食品安全标准，又不符合产品明示标准或质量要求时，检验结论为</w:t>
      </w:r>
      <w:r>
        <w:rPr>
          <w:rFonts w:hint="eastAsia" w:ascii="Times New Roman" w:hAnsi="Times New Roman" w:eastAsia="仿宋_GB2312"/>
          <w:b w:val="0"/>
          <w:bCs w:val="0"/>
          <w:color w:val="auto"/>
          <w:sz w:val="32"/>
          <w:szCs w:val="32"/>
          <w:highlight w:val="none"/>
        </w:rPr>
        <w:t>：“</w:t>
      </w:r>
      <w:r>
        <w:rPr>
          <w:rFonts w:ascii="Times New Roman" w:hAnsi="Times New Roman" w:eastAsia="仿宋_GB2312"/>
          <w:b w:val="0"/>
          <w:bCs w:val="0"/>
          <w:color w:val="auto"/>
          <w:sz w:val="32"/>
          <w:szCs w:val="32"/>
          <w:highlight w:val="none"/>
        </w:rPr>
        <w:t>经抽样检验，××项目不符合××××</w:t>
      </w:r>
      <w:r>
        <w:rPr>
          <w:rFonts w:hint="eastAsia" w:ascii="Times New Roman" w:hAnsi="Times New Roman" w:eastAsia="仿宋_GB2312"/>
          <w:b w:val="0"/>
          <w:bCs w:val="0"/>
          <w:color w:val="auto"/>
          <w:sz w:val="32"/>
          <w:szCs w:val="32"/>
          <w:highlight w:val="none"/>
        </w:rPr>
        <w:t>（</w:t>
      </w:r>
      <w:r>
        <w:rPr>
          <w:rFonts w:ascii="Times New Roman" w:hAnsi="Times New Roman" w:eastAsia="仿宋_GB2312"/>
          <w:b w:val="0"/>
          <w:bCs w:val="0"/>
          <w:color w:val="auto"/>
          <w:sz w:val="32"/>
          <w:szCs w:val="32"/>
          <w:highlight w:val="none"/>
        </w:rPr>
        <w:t>食品安全标准</w:t>
      </w:r>
      <w:r>
        <w:rPr>
          <w:rFonts w:hint="eastAsia" w:ascii="Times New Roman" w:hAnsi="Times New Roman" w:eastAsia="仿宋_GB2312"/>
          <w:b w:val="0"/>
          <w:bCs w:val="0"/>
          <w:color w:val="auto"/>
          <w:sz w:val="32"/>
          <w:szCs w:val="32"/>
          <w:highlight w:val="none"/>
        </w:rPr>
        <w:t>）</w:t>
      </w:r>
      <w:r>
        <w:rPr>
          <w:rFonts w:ascii="Times New Roman" w:hAnsi="Times New Roman" w:eastAsia="仿宋_GB2312"/>
          <w:b w:val="0"/>
          <w:bCs w:val="0"/>
          <w:color w:val="auto"/>
          <w:sz w:val="32"/>
          <w:szCs w:val="32"/>
          <w:highlight w:val="none"/>
        </w:rPr>
        <w:t>要求、××××</w:t>
      </w:r>
      <w:r>
        <w:rPr>
          <w:rFonts w:hint="eastAsia" w:ascii="Times New Roman" w:hAnsi="Times New Roman" w:eastAsia="仿宋_GB2312"/>
          <w:b w:val="0"/>
          <w:bCs w:val="0"/>
          <w:color w:val="auto"/>
          <w:sz w:val="32"/>
          <w:szCs w:val="32"/>
          <w:highlight w:val="none"/>
        </w:rPr>
        <w:t>（</w:t>
      </w:r>
      <w:r>
        <w:rPr>
          <w:rFonts w:ascii="Times New Roman" w:hAnsi="Times New Roman" w:eastAsia="仿宋_GB2312"/>
          <w:b w:val="0"/>
          <w:bCs w:val="0"/>
          <w:color w:val="auto"/>
          <w:sz w:val="32"/>
          <w:szCs w:val="32"/>
          <w:highlight w:val="none"/>
        </w:rPr>
        <w:t>产品明示标准或质量要求</w:t>
      </w:r>
      <w:r>
        <w:rPr>
          <w:rFonts w:hint="eastAsia" w:ascii="Times New Roman" w:hAnsi="Times New Roman" w:eastAsia="仿宋_GB2312"/>
          <w:b w:val="0"/>
          <w:bCs w:val="0"/>
          <w:color w:val="auto"/>
          <w:sz w:val="32"/>
          <w:szCs w:val="32"/>
          <w:highlight w:val="none"/>
        </w:rPr>
        <w:t>）</w:t>
      </w:r>
      <w:r>
        <w:rPr>
          <w:rFonts w:ascii="Times New Roman" w:hAnsi="Times New Roman" w:eastAsia="仿宋_GB2312"/>
          <w:b w:val="0"/>
          <w:bCs w:val="0"/>
          <w:color w:val="auto"/>
          <w:sz w:val="32"/>
          <w:szCs w:val="32"/>
          <w:highlight w:val="none"/>
        </w:rPr>
        <w:t>要求，检验结论为不合格</w:t>
      </w:r>
      <w:r>
        <w:rPr>
          <w:rFonts w:hint="eastAsia" w:ascii="Times New Roman" w:hAnsi="Times New Roman" w:eastAsia="仿宋_GB2312"/>
          <w:b w:val="0"/>
          <w:bCs w:val="0"/>
          <w:color w:val="auto"/>
          <w:sz w:val="32"/>
          <w:szCs w:val="32"/>
          <w:highlight w:val="none"/>
        </w:rPr>
        <w:t>”。</w:t>
      </w:r>
    </w:p>
    <w:p w14:paraId="5C6762AB">
      <w:pPr>
        <w:overflowPunct w:val="0"/>
        <w:topLinePunct/>
        <w:snapToGrid w:val="0"/>
        <w:spacing w:before="156" w:beforeLines="50" w:after="156" w:afterLines="50" w:line="560" w:lineRule="exact"/>
        <w:ind w:firstLine="640" w:firstLineChars="200"/>
        <w:jc w:val="center"/>
        <w:rPr>
          <w:rFonts w:hint="eastAsia" w:ascii="Times New Roman" w:hAnsi="Times New Roman" w:eastAsia="黑体"/>
          <w:b w:val="0"/>
          <w:bCs w:val="0"/>
          <w:color w:val="auto"/>
          <w:sz w:val="32"/>
          <w:szCs w:val="32"/>
          <w:highlight w:val="none"/>
          <w:lang w:val="en-US" w:eastAsia="zh-CN"/>
        </w:rPr>
      </w:pPr>
    </w:p>
    <w:p w14:paraId="3E55B715">
      <w:pPr>
        <w:overflowPunct w:val="0"/>
        <w:topLinePunct/>
        <w:snapToGrid w:val="0"/>
        <w:spacing w:before="156" w:beforeLines="50" w:after="156" w:afterLines="50" w:line="560" w:lineRule="exact"/>
        <w:ind w:firstLine="640" w:firstLineChars="200"/>
        <w:jc w:val="center"/>
        <w:rPr>
          <w:rFonts w:ascii="Times New Roman" w:hAnsi="Times New Roman" w:eastAsia="黑体"/>
          <w:b w:val="0"/>
          <w:bCs w:val="0"/>
          <w:color w:val="auto"/>
          <w:sz w:val="32"/>
          <w:szCs w:val="32"/>
          <w:highlight w:val="none"/>
        </w:rPr>
      </w:pPr>
      <w:r>
        <w:rPr>
          <w:rFonts w:hint="eastAsia" w:ascii="Times New Roman" w:hAnsi="Times New Roman" w:eastAsia="黑体"/>
          <w:b w:val="0"/>
          <w:bCs w:val="0"/>
          <w:color w:val="auto"/>
          <w:sz w:val="32"/>
          <w:szCs w:val="32"/>
          <w:highlight w:val="none"/>
          <w:lang w:val="en-US" w:eastAsia="zh-CN"/>
        </w:rPr>
        <w:t>二、</w:t>
      </w:r>
      <w:r>
        <w:rPr>
          <w:rFonts w:hint="eastAsia" w:ascii="Times New Roman" w:hAnsi="Times New Roman" w:eastAsia="黑体"/>
          <w:b w:val="0"/>
          <w:bCs w:val="0"/>
          <w:color w:val="auto"/>
          <w:sz w:val="32"/>
          <w:szCs w:val="32"/>
          <w:highlight w:val="none"/>
        </w:rPr>
        <w:t>餐饮食品</w:t>
      </w:r>
    </w:p>
    <w:p w14:paraId="6636DEB7">
      <w:pPr>
        <w:overflowPunct w:val="0"/>
        <w:topLinePunct/>
        <w:snapToGrid w:val="0"/>
        <w:spacing w:before="156" w:beforeLines="50" w:after="156" w:afterLines="50" w:line="560" w:lineRule="exact"/>
        <w:ind w:firstLine="640" w:firstLineChars="200"/>
        <w:rPr>
          <w:rFonts w:ascii="Times New Roman" w:hAnsi="Times New Roman" w:eastAsia="黑体"/>
          <w:b w:val="0"/>
          <w:bCs w:val="0"/>
          <w:color w:val="auto"/>
          <w:sz w:val="32"/>
          <w:szCs w:val="32"/>
          <w:highlight w:val="none"/>
        </w:rPr>
      </w:pPr>
      <w:r>
        <w:rPr>
          <w:rFonts w:ascii="Times New Roman" w:hAnsi="Times New Roman" w:eastAsia="黑体"/>
          <w:b w:val="0"/>
          <w:bCs w:val="0"/>
          <w:color w:val="auto"/>
          <w:sz w:val="32"/>
          <w:szCs w:val="32"/>
          <w:highlight w:val="none"/>
        </w:rPr>
        <w:t xml:space="preserve">1 </w:t>
      </w:r>
      <w:r>
        <w:rPr>
          <w:rFonts w:hint="eastAsia" w:ascii="Times New Roman" w:hAnsi="Times New Roman" w:eastAsia="黑体"/>
          <w:b w:val="0"/>
          <w:bCs w:val="0"/>
          <w:color w:val="auto"/>
          <w:sz w:val="32"/>
          <w:szCs w:val="32"/>
          <w:highlight w:val="none"/>
        </w:rPr>
        <w:t>适用范围</w:t>
      </w:r>
    </w:p>
    <w:p w14:paraId="7FB08EB4">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本细则适用于新疆区内（不含兵团）依据实际情况而定的餐饮食品食品安全监督抽检。</w:t>
      </w:r>
    </w:p>
    <w:p w14:paraId="78724443">
      <w:pPr>
        <w:overflowPunct w:val="0"/>
        <w:topLinePunct/>
        <w:snapToGrid w:val="0"/>
        <w:spacing w:before="156" w:beforeLines="50" w:after="156" w:afterLines="50" w:line="560" w:lineRule="exact"/>
        <w:ind w:firstLine="640" w:firstLineChars="200"/>
        <w:rPr>
          <w:rFonts w:ascii="Times New Roman" w:hAnsi="Times New Roman" w:eastAsia="仿宋_GB2312"/>
          <w:b w:val="0"/>
          <w:bCs w:val="0"/>
          <w:color w:val="auto"/>
          <w:sz w:val="32"/>
          <w:szCs w:val="32"/>
          <w:highlight w:val="none"/>
        </w:rPr>
      </w:pPr>
      <w:r>
        <w:rPr>
          <w:rFonts w:ascii="Times New Roman" w:hAnsi="Times New Roman" w:eastAsia="黑体"/>
          <w:b w:val="0"/>
          <w:bCs w:val="0"/>
          <w:color w:val="auto"/>
          <w:sz w:val="32"/>
          <w:szCs w:val="32"/>
          <w:highlight w:val="none"/>
        </w:rPr>
        <w:t xml:space="preserve">2 </w:t>
      </w:r>
      <w:r>
        <w:rPr>
          <w:rFonts w:hint="eastAsia" w:ascii="Times New Roman" w:hAnsi="Times New Roman" w:eastAsia="黑体"/>
          <w:b w:val="0"/>
          <w:bCs w:val="0"/>
          <w:color w:val="auto"/>
          <w:sz w:val="32"/>
          <w:szCs w:val="32"/>
          <w:highlight w:val="none"/>
        </w:rPr>
        <w:t>产品种类</w:t>
      </w:r>
    </w:p>
    <w:p w14:paraId="2F42DF18">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 xml:space="preserve">本细则中餐饮食品主要包括餐饮和流通环节的餐饮加工自制食品，不包括餐饮和流通环节出现的非经营单位自制且未经加工过的食品，如一些预包装食品、食用农产品、肉制品等。 </w:t>
      </w:r>
    </w:p>
    <w:p w14:paraId="34DB92CA">
      <w:pPr>
        <w:overflowPunct w:val="0"/>
        <w:topLinePunct/>
        <w:snapToGrid w:val="0"/>
        <w:spacing w:line="560" w:lineRule="exact"/>
        <w:ind w:firstLine="640" w:firstLineChars="200"/>
        <w:rPr>
          <w:rFonts w:hint="eastAsia"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餐饮加工自制食品包括其他生制面制品（自制）、</w:t>
      </w:r>
      <w:r>
        <w:rPr>
          <w:rFonts w:hint="eastAsia" w:ascii="Times New Roman" w:hAnsi="Times New Roman" w:eastAsia="仿宋_GB2312"/>
          <w:b w:val="0"/>
          <w:bCs w:val="0"/>
          <w:color w:val="auto"/>
          <w:sz w:val="32"/>
          <w:szCs w:val="32"/>
          <w:highlight w:val="none"/>
          <w:lang w:val="en"/>
        </w:rPr>
        <w:t>凉皮类</w:t>
      </w:r>
      <w:r>
        <w:rPr>
          <w:rFonts w:hint="eastAsia" w:ascii="Times New Roman" w:hAnsi="Times New Roman" w:eastAsia="仿宋_GB2312"/>
          <w:b w:val="0"/>
          <w:bCs w:val="0"/>
          <w:color w:val="auto"/>
          <w:sz w:val="32"/>
          <w:szCs w:val="32"/>
          <w:highlight w:val="none"/>
        </w:rPr>
        <w:t>（自制）、</w:t>
      </w:r>
      <w:r>
        <w:rPr>
          <w:rFonts w:hint="eastAsia" w:ascii="Times New Roman" w:hAnsi="Times New Roman" w:eastAsia="仿宋_GB2312"/>
          <w:b w:val="0"/>
          <w:bCs w:val="0"/>
          <w:color w:val="auto"/>
          <w:sz w:val="32"/>
          <w:szCs w:val="32"/>
          <w:highlight w:val="none"/>
          <w:lang w:val="en"/>
        </w:rPr>
        <w:t>其他熟制面制品</w:t>
      </w:r>
      <w:r>
        <w:rPr>
          <w:rFonts w:hint="eastAsia" w:ascii="Times New Roman" w:hAnsi="Times New Roman" w:eastAsia="仿宋_GB2312"/>
          <w:b w:val="0"/>
          <w:bCs w:val="0"/>
          <w:color w:val="auto"/>
          <w:sz w:val="32"/>
          <w:szCs w:val="32"/>
          <w:highlight w:val="none"/>
        </w:rPr>
        <w:t>（自制）、其他油炸面制品（自制）、米饭（自制）、熏烧烤肉类（自制）、蘸料</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rPr>
        <w:t>、其他调味料</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rPr>
        <w:t>、果蔬汁饮料</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rPr>
        <w:t>、其他饮料</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rPr>
        <w:t>、煎炸过程用油、粽子</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rPr>
        <w:t>、月饼</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rPr>
        <w:t>等餐饮单位自制食品。</w:t>
      </w:r>
    </w:p>
    <w:p w14:paraId="0C2A68B1">
      <w:pPr>
        <w:overflowPunct w:val="0"/>
        <w:topLinePunct/>
        <w:snapToGrid w:val="0"/>
        <w:spacing w:line="560" w:lineRule="exact"/>
        <w:ind w:firstLine="640" w:firstLineChars="200"/>
        <w:rPr>
          <w:rFonts w:hint="eastAsia" w:ascii="Times New Roman" w:hAnsi="Times New Roman" w:eastAsia="仿宋_GB2312"/>
          <w:b w:val="0"/>
          <w:bCs w:val="0"/>
          <w:color w:val="auto"/>
          <w:sz w:val="32"/>
          <w:szCs w:val="32"/>
          <w:highlight w:val="none"/>
          <w:lang w:val="en"/>
        </w:rPr>
      </w:pPr>
      <w:r>
        <w:rPr>
          <w:rFonts w:hint="eastAsia" w:ascii="Times New Roman" w:hAnsi="Times New Roman" w:eastAsia="仿宋_GB2312"/>
          <w:b w:val="0"/>
          <w:bCs w:val="0"/>
          <w:color w:val="auto"/>
          <w:sz w:val="32"/>
          <w:szCs w:val="32"/>
          <w:highlight w:val="none"/>
          <w:lang w:val="en"/>
        </w:rPr>
        <w:t>其他生制面制品</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val="en"/>
        </w:rPr>
        <w:t>包括以小麦粉为主要原料，经和水、揉捏后未进行加热、蒸煮等处理的面制品，可抽取未煮的面条、饺子皮、馄饨皮、烧麦皮。</w:t>
      </w:r>
    </w:p>
    <w:p w14:paraId="3CE53501">
      <w:pPr>
        <w:overflowPunct w:val="0"/>
        <w:topLinePunct/>
        <w:snapToGrid w:val="0"/>
        <w:spacing w:line="560" w:lineRule="exact"/>
        <w:ind w:firstLine="640" w:firstLineChars="200"/>
        <w:rPr>
          <w:rFonts w:hint="eastAsia" w:ascii="Times New Roman" w:hAnsi="Times New Roman" w:eastAsia="仿宋_GB2312"/>
          <w:b w:val="0"/>
          <w:bCs w:val="0"/>
          <w:color w:val="auto"/>
          <w:sz w:val="32"/>
          <w:szCs w:val="32"/>
          <w:highlight w:val="none"/>
          <w:lang w:val="en"/>
        </w:rPr>
      </w:pPr>
      <w:r>
        <w:rPr>
          <w:rFonts w:hint="eastAsia" w:ascii="Times New Roman" w:hAnsi="Times New Roman" w:eastAsia="仿宋_GB2312"/>
          <w:b w:val="0"/>
          <w:bCs w:val="0"/>
          <w:color w:val="auto"/>
          <w:sz w:val="32"/>
          <w:szCs w:val="32"/>
          <w:highlight w:val="none"/>
          <w:lang w:val="en"/>
        </w:rPr>
        <w:t>凉皮类</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val="en"/>
        </w:rPr>
        <w:t>包括以小麦粉为主要原料，制成的凉皮类，包含凉皮、酿皮、面皮等。</w:t>
      </w:r>
    </w:p>
    <w:p w14:paraId="4A9C0F9A">
      <w:pPr>
        <w:overflowPunct w:val="0"/>
        <w:topLinePunct/>
        <w:snapToGrid w:val="0"/>
        <w:spacing w:line="560" w:lineRule="exact"/>
        <w:ind w:firstLine="640" w:firstLineChars="200"/>
        <w:rPr>
          <w:rFonts w:hint="eastAsia"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其他熟制面制品</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rPr>
        <w:t>包括除上述类别熟制面制品外，含有小麦粉及其他原料，经和水、揉捏后并进行加热、蒸煮等熟制的面制品。可抽取烤面筋、黄面（新疆凉面）、牛筋面。</w:t>
      </w:r>
    </w:p>
    <w:p w14:paraId="1FD903DC">
      <w:pPr>
        <w:overflowPunct w:val="0"/>
        <w:topLinePunct/>
        <w:snapToGrid w:val="0"/>
        <w:spacing w:line="560" w:lineRule="exact"/>
        <w:ind w:firstLine="640" w:firstLineChars="200"/>
        <w:rPr>
          <w:rFonts w:ascii="Times New Roman" w:hAnsi="Times New Roman" w:eastAsia="仿宋_GB2312"/>
          <w:b w:val="0"/>
          <w:bCs w:val="0"/>
          <w:color w:val="0000FF"/>
          <w:sz w:val="32"/>
          <w:szCs w:val="32"/>
          <w:highlight w:val="none"/>
        </w:rPr>
      </w:pPr>
      <w:r>
        <w:rPr>
          <w:rFonts w:hint="eastAsia" w:ascii="Times New Roman" w:hAnsi="Times New Roman" w:eastAsia="仿宋_GB2312"/>
          <w:b w:val="0"/>
          <w:bCs w:val="0"/>
          <w:color w:val="auto"/>
          <w:sz w:val="32"/>
          <w:szCs w:val="32"/>
          <w:highlight w:val="none"/>
        </w:rPr>
        <w:t>其他油炸面制品</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rPr>
        <w:t>包括除了油条油饼外，以小麦粉为主要原料（包含添加少量杂粮面类），经过和面、醒发或不醒发、成型，并经过油炸（浸油）熟制的其他油炸面制品，可抽取麻叶、</w:t>
      </w:r>
      <w:r>
        <w:rPr>
          <w:rFonts w:hint="eastAsia" w:ascii="Times New Roman" w:hAnsi="Times New Roman" w:eastAsia="仿宋_GB2312"/>
          <w:b w:val="0"/>
          <w:bCs w:val="0"/>
          <w:color w:val="0000FF"/>
          <w:sz w:val="32"/>
          <w:szCs w:val="32"/>
          <w:highlight w:val="none"/>
        </w:rPr>
        <w:t>韭菜盒子（油炸）、馓子、甜甜圈、油炸小馒头、油炸发面饼、炸素丸子。</w:t>
      </w:r>
    </w:p>
    <w:p w14:paraId="33F6ABA9">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米饭</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rPr>
        <w:t>包括以大米（指常见的大米，包括糯米、粳米、籼米、糙米等，不包含黑米、紫米等有色稻米）为主要原料,加水制作、不添加任何辅料的米饭。</w:t>
      </w:r>
    </w:p>
    <w:p w14:paraId="7E4D6BD8">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熏烧烤肉类</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rPr>
        <w:t>包括以鲜</w:t>
      </w:r>
      <w:r>
        <w:rPr>
          <w:rFonts w:hint="eastAsia" w:ascii="Times New Roman" w:hAnsi="Times New Roman" w:eastAsia="仿宋_GB2312"/>
          <w:b w:val="0"/>
          <w:bCs w:val="0"/>
          <w:color w:val="auto"/>
          <w:sz w:val="32"/>
          <w:szCs w:val="32"/>
          <w:highlight w:val="none"/>
          <w:lang w:eastAsia="zh-CN" w:bidi="ar"/>
        </w:rPr>
        <w:t>（冻）</w:t>
      </w:r>
      <w:r>
        <w:rPr>
          <w:rFonts w:hint="eastAsia" w:ascii="Times New Roman" w:hAnsi="Times New Roman" w:eastAsia="仿宋_GB2312"/>
          <w:b w:val="0"/>
          <w:bCs w:val="0"/>
          <w:color w:val="auto"/>
          <w:sz w:val="32"/>
          <w:szCs w:val="32"/>
          <w:highlight w:val="none"/>
        </w:rPr>
        <w:t>畜禽肉及其副产品为主要原料，经过熏、烧、烤制成的肉制品，烤羊肉、烤鸭、烤鸡、烤肠（热狗）、脆皮五花肉。</w:t>
      </w:r>
    </w:p>
    <w:p w14:paraId="579D07B5">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蘸料</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rPr>
        <w:t>包括自制的可直接食用的蘸料类，可抽取芝麻酱、辣椒酱、秘制酱料、海鲜酱。</w:t>
      </w:r>
    </w:p>
    <w:p w14:paraId="048544AF">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其他调味料</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rPr>
        <w:t>可抽取餐饮环节含加工熏烧烤肉制品（餐饮）时使用的孜然粉、辣椒粉，还可抽取烧烤腌料、腌制料、小面调料、做菜的自制调味料。</w:t>
      </w:r>
    </w:p>
    <w:p w14:paraId="12CD5A68">
      <w:pPr>
        <w:pStyle w:val="8"/>
        <w:ind w:firstLine="640" w:firstLineChars="200"/>
        <w:rPr>
          <w:rFonts w:hint="eastAsia" w:ascii="Times New Roman" w:hAnsi="Times New Roman" w:eastAsia="仿宋_GB2312"/>
          <w:b w:val="0"/>
          <w:bCs w:val="0"/>
          <w:color w:val="auto"/>
          <w:sz w:val="32"/>
          <w:szCs w:val="32"/>
          <w:highlight w:val="none"/>
          <w:lang w:eastAsia="zh-CN"/>
        </w:rPr>
      </w:pPr>
      <w:r>
        <w:rPr>
          <w:rFonts w:hint="eastAsia" w:ascii="Times New Roman" w:hAnsi="Times New Roman" w:eastAsia="仿宋_GB2312"/>
          <w:b w:val="0"/>
          <w:bCs w:val="0"/>
          <w:color w:val="auto"/>
          <w:sz w:val="32"/>
          <w:szCs w:val="32"/>
          <w:highlight w:val="none"/>
        </w:rPr>
        <w:t>果蔬汁饮料</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rPr>
        <w:t>包括以水果和</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rPr>
        <w:t>蔬菜</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rPr>
        <w:t>等为原料，经加工或发酵制成的液体饮料，可抽取橙汁、西瓜汁、柠檬水、百香果汁。</w:t>
      </w:r>
      <w:bookmarkStart w:id="0" w:name="_GoBack"/>
      <w:bookmarkEnd w:id="0"/>
    </w:p>
    <w:p w14:paraId="4189AF6C">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 xml:space="preserve">其他饮料（自制）包括含多种复杂原料混合的饮料，可抽取水蜜桃养乐多饮料、可乐、烧仙草、姜汁撞奶、酸梅汤、芒果益菌多饮料、杨枝甘露饮料、红茶饮料、绿茶饮料、咖啡及其饮料、果味饮料。将预包装果蔬汁浓浆，稀释调配而成的饮料，应为其他饮料（自制）。                                                                                                                     </w:t>
      </w:r>
    </w:p>
    <w:p w14:paraId="499CFBE1">
      <w:pPr>
        <w:overflowPunct w:val="0"/>
        <w:topLinePunct/>
        <w:snapToGrid w:val="0"/>
        <w:spacing w:line="560" w:lineRule="exact"/>
        <w:ind w:firstLine="640" w:firstLineChars="200"/>
        <w:rPr>
          <w:rFonts w:hint="eastAsia" w:ascii="Times New Roman" w:hAnsi="Times New Roman" w:eastAsia="仿宋_GB2312"/>
          <w:b w:val="0"/>
          <w:bCs w:val="0"/>
          <w:color w:val="auto"/>
          <w:sz w:val="32"/>
          <w:szCs w:val="32"/>
          <w:highlight w:val="none"/>
          <w:u w:val="none"/>
        </w:rPr>
      </w:pPr>
      <w:r>
        <w:rPr>
          <w:rFonts w:hint="eastAsia" w:ascii="Times New Roman" w:hAnsi="Times New Roman" w:eastAsia="仿宋_GB2312"/>
          <w:b w:val="0"/>
          <w:bCs w:val="0"/>
          <w:color w:val="auto"/>
          <w:sz w:val="32"/>
          <w:szCs w:val="32"/>
          <w:highlight w:val="none"/>
          <w:u w:val="none"/>
        </w:rPr>
        <w:t>煎炸过程用油包括餐饮单位已经用于煎炸食品的煎炸用油。从煎炸用锅等容器内取出约2L（kg）样品于经营单位提供的干净瓷质或铁质容器内，现场冷却后，将约1L（kg）样品盛装于清洁干燥的样品容器内。</w:t>
      </w:r>
    </w:p>
    <w:p w14:paraId="5F94E393">
      <w:pPr>
        <w:overflowPunct w:val="0"/>
        <w:topLinePunct/>
        <w:snapToGrid w:val="0"/>
        <w:spacing w:before="156" w:beforeLines="50" w:after="156" w:afterLines="50" w:line="560" w:lineRule="exact"/>
        <w:ind w:firstLine="640" w:firstLineChars="200"/>
        <w:rPr>
          <w:rFonts w:ascii="Times New Roman" w:hAnsi="Times New Roman" w:eastAsia="黑体"/>
          <w:b w:val="0"/>
          <w:bCs w:val="0"/>
          <w:color w:val="auto"/>
          <w:sz w:val="32"/>
          <w:szCs w:val="32"/>
          <w:highlight w:val="none"/>
        </w:rPr>
      </w:pPr>
      <w:r>
        <w:rPr>
          <w:rFonts w:ascii="Times New Roman" w:hAnsi="Times New Roman" w:eastAsia="黑体"/>
          <w:b w:val="0"/>
          <w:bCs w:val="0"/>
          <w:color w:val="auto"/>
          <w:sz w:val="32"/>
          <w:szCs w:val="32"/>
          <w:highlight w:val="none"/>
        </w:rPr>
        <w:t xml:space="preserve">3 </w:t>
      </w:r>
      <w:r>
        <w:rPr>
          <w:rFonts w:hint="eastAsia" w:ascii="Times New Roman" w:hAnsi="Times New Roman" w:eastAsia="黑体"/>
          <w:b w:val="0"/>
          <w:bCs w:val="0"/>
          <w:color w:val="auto"/>
          <w:sz w:val="32"/>
          <w:szCs w:val="32"/>
          <w:highlight w:val="none"/>
        </w:rPr>
        <w:t>检验依据</w:t>
      </w:r>
    </w:p>
    <w:p w14:paraId="0BAE2657">
      <w:pPr>
        <w:overflowPunct w:val="0"/>
        <w:topLinePunct/>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下列文件凡是注明日期的，其随后所有的修改单或修订版均不适用于本细则。凡是不注明日期的，其最新版本适用于本细则。</w:t>
      </w:r>
    </w:p>
    <w:p w14:paraId="2094780D">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ascii="Times New Roman" w:hAnsi="Times New Roman" w:eastAsia="仿宋_GB2312"/>
          <w:b w:val="0"/>
          <w:bCs w:val="0"/>
          <w:color w:val="auto"/>
          <w:kern w:val="0"/>
          <w:sz w:val="32"/>
          <w:szCs w:val="32"/>
          <w:highlight w:val="none"/>
        </w:rPr>
        <w:t xml:space="preserve">GB 2760 </w:t>
      </w:r>
      <w:r>
        <w:rPr>
          <w:rFonts w:hint="eastAsia" w:ascii="Times New Roman" w:hAnsi="Times New Roman" w:eastAsia="仿宋_GB2312"/>
          <w:b w:val="0"/>
          <w:bCs w:val="0"/>
          <w:color w:val="auto"/>
          <w:kern w:val="0"/>
          <w:sz w:val="32"/>
          <w:szCs w:val="32"/>
          <w:highlight w:val="none"/>
        </w:rPr>
        <w:t>食品安全国家标准</w:t>
      </w:r>
      <w:r>
        <w:rPr>
          <w:rFonts w:ascii="Times New Roman" w:hAnsi="Times New Roman" w:eastAsia="仿宋_GB2312"/>
          <w:b w:val="0"/>
          <w:bCs w:val="0"/>
          <w:color w:val="auto"/>
          <w:kern w:val="0"/>
          <w:sz w:val="32"/>
          <w:szCs w:val="32"/>
          <w:highlight w:val="none"/>
        </w:rPr>
        <w:t xml:space="preserve"> </w:t>
      </w:r>
      <w:r>
        <w:rPr>
          <w:rFonts w:hint="eastAsia" w:ascii="Times New Roman" w:hAnsi="Times New Roman" w:eastAsia="仿宋_GB2312"/>
          <w:b w:val="0"/>
          <w:bCs w:val="0"/>
          <w:color w:val="auto"/>
          <w:kern w:val="0"/>
          <w:sz w:val="32"/>
          <w:szCs w:val="32"/>
          <w:highlight w:val="none"/>
        </w:rPr>
        <w:t>食品添加剂使用标准</w:t>
      </w:r>
    </w:p>
    <w:p w14:paraId="4D6E131D">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ascii="Times New Roman" w:hAnsi="Times New Roman" w:eastAsia="仿宋_GB2312"/>
          <w:b w:val="0"/>
          <w:bCs w:val="0"/>
          <w:color w:val="auto"/>
          <w:kern w:val="0"/>
          <w:sz w:val="32"/>
          <w:szCs w:val="32"/>
          <w:highlight w:val="none"/>
        </w:rPr>
        <w:t xml:space="preserve">GB 2762 </w:t>
      </w:r>
      <w:r>
        <w:rPr>
          <w:rFonts w:hint="eastAsia" w:ascii="Times New Roman" w:hAnsi="Times New Roman" w:eastAsia="仿宋_GB2312"/>
          <w:b w:val="0"/>
          <w:bCs w:val="0"/>
          <w:color w:val="auto"/>
          <w:kern w:val="0"/>
          <w:sz w:val="32"/>
          <w:szCs w:val="32"/>
          <w:highlight w:val="none"/>
        </w:rPr>
        <w:t>食品安全国家标准</w:t>
      </w:r>
      <w:r>
        <w:rPr>
          <w:rFonts w:ascii="Times New Roman" w:hAnsi="Times New Roman" w:eastAsia="仿宋_GB2312"/>
          <w:b w:val="0"/>
          <w:bCs w:val="0"/>
          <w:color w:val="auto"/>
          <w:kern w:val="0"/>
          <w:sz w:val="32"/>
          <w:szCs w:val="32"/>
          <w:highlight w:val="none"/>
        </w:rPr>
        <w:t xml:space="preserve"> </w:t>
      </w:r>
      <w:r>
        <w:rPr>
          <w:rFonts w:hint="eastAsia" w:ascii="Times New Roman" w:hAnsi="Times New Roman" w:eastAsia="仿宋_GB2312"/>
          <w:b w:val="0"/>
          <w:bCs w:val="0"/>
          <w:color w:val="auto"/>
          <w:kern w:val="0"/>
          <w:sz w:val="32"/>
          <w:szCs w:val="32"/>
          <w:highlight w:val="none"/>
        </w:rPr>
        <w:t>食品中污染物限量</w:t>
      </w:r>
    </w:p>
    <w:p w14:paraId="0AD53704">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ascii="Times New Roman" w:hAnsi="Times New Roman" w:eastAsia="仿宋_GB2312"/>
          <w:b w:val="0"/>
          <w:bCs w:val="0"/>
          <w:color w:val="auto"/>
          <w:kern w:val="0"/>
          <w:sz w:val="32"/>
          <w:szCs w:val="32"/>
          <w:highlight w:val="none"/>
        </w:rPr>
        <w:t>GB 2763</w:t>
      </w:r>
      <w:r>
        <w:rPr>
          <w:rFonts w:hint="eastAsia" w:ascii="Times New Roman" w:hAnsi="Times New Roman" w:eastAsia="仿宋_GB2312"/>
          <w:b w:val="0"/>
          <w:bCs w:val="0"/>
          <w:color w:val="auto"/>
          <w:kern w:val="0"/>
          <w:sz w:val="32"/>
          <w:szCs w:val="32"/>
          <w:highlight w:val="none"/>
        </w:rPr>
        <w:t xml:space="preserve"> </w:t>
      </w:r>
      <w:r>
        <w:rPr>
          <w:rFonts w:ascii="Times New Roman" w:hAnsi="Times New Roman" w:eastAsia="仿宋_GB2312"/>
          <w:b w:val="0"/>
          <w:bCs w:val="0"/>
          <w:color w:val="auto"/>
          <w:kern w:val="0"/>
          <w:sz w:val="32"/>
          <w:szCs w:val="32"/>
          <w:highlight w:val="none"/>
        </w:rPr>
        <w:t>食品安全国家标准 食品中农药最大残留限量</w:t>
      </w:r>
    </w:p>
    <w:p w14:paraId="3EC7A3AA">
      <w:pPr>
        <w:overflowPunct w:val="0"/>
        <w:topLinePunct/>
        <w:snapToGrid w:val="0"/>
        <w:spacing w:line="560" w:lineRule="exact"/>
        <w:ind w:firstLine="640" w:firstLineChars="200"/>
        <w:rPr>
          <w:rFonts w:hint="default" w:ascii="Times New Roman" w:hAnsi="Times New Roman" w:eastAsia="仿宋_GB2312"/>
          <w:b w:val="0"/>
          <w:bCs w:val="0"/>
          <w:color w:val="auto"/>
          <w:kern w:val="0"/>
          <w:sz w:val="32"/>
          <w:szCs w:val="32"/>
          <w:highlight w:val="none"/>
          <w:lang w:val="en-US" w:eastAsia="zh-CN"/>
        </w:rPr>
      </w:pPr>
      <w:r>
        <w:rPr>
          <w:rFonts w:hint="eastAsia" w:ascii="Times New Roman" w:hAnsi="Times New Roman" w:eastAsia="仿宋_GB2312"/>
          <w:b w:val="0"/>
          <w:bCs w:val="0"/>
          <w:color w:val="auto"/>
          <w:kern w:val="0"/>
          <w:sz w:val="32"/>
          <w:szCs w:val="32"/>
          <w:highlight w:val="none"/>
        </w:rPr>
        <w:t xml:space="preserve">GB 2716 食品安全国家标准 </w:t>
      </w:r>
      <w:r>
        <w:rPr>
          <w:rFonts w:hint="eastAsia" w:ascii="Times New Roman" w:hAnsi="Times New Roman" w:eastAsia="仿宋_GB2312"/>
          <w:b w:val="0"/>
          <w:bCs w:val="0"/>
          <w:color w:val="auto"/>
          <w:kern w:val="0"/>
          <w:sz w:val="32"/>
          <w:szCs w:val="32"/>
          <w:highlight w:val="none"/>
          <w:lang w:eastAsia="zh-CN"/>
        </w:rPr>
        <w:t>食品安全国家标准</w:t>
      </w:r>
      <w:r>
        <w:rPr>
          <w:rFonts w:hint="eastAsia" w:ascii="Times New Roman" w:hAnsi="Times New Roman" w:eastAsia="仿宋_GB2312"/>
          <w:b w:val="0"/>
          <w:bCs w:val="0"/>
          <w:color w:val="auto"/>
          <w:kern w:val="0"/>
          <w:sz w:val="32"/>
          <w:szCs w:val="32"/>
          <w:highlight w:val="none"/>
          <w:lang w:val="en-US" w:eastAsia="zh-CN"/>
        </w:rPr>
        <w:t xml:space="preserve"> 植物油</w:t>
      </w:r>
    </w:p>
    <w:p w14:paraId="510A0C1B">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ascii="Times New Roman" w:hAnsi="Times New Roman" w:eastAsia="仿宋_GB2312"/>
          <w:b w:val="0"/>
          <w:bCs w:val="0"/>
          <w:color w:val="auto"/>
          <w:kern w:val="0"/>
          <w:sz w:val="32"/>
          <w:szCs w:val="32"/>
          <w:highlight w:val="none"/>
        </w:rPr>
        <w:t>GB 23200.113 食品安全国家标准 植物源性食品中208种农药及其代谢物残留量的测定 气相色谱-质谱联用法</w:t>
      </w:r>
    </w:p>
    <w:p w14:paraId="23D4D22B">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ascii="Times New Roman" w:hAnsi="Times New Roman" w:eastAsia="仿宋_GB2312"/>
          <w:b w:val="0"/>
          <w:bCs w:val="0"/>
          <w:color w:val="auto"/>
          <w:kern w:val="0"/>
          <w:sz w:val="32"/>
          <w:szCs w:val="32"/>
          <w:highlight w:val="none"/>
        </w:rPr>
        <w:t xml:space="preserve">GB 5009.12 </w:t>
      </w:r>
      <w:r>
        <w:rPr>
          <w:rFonts w:hint="eastAsia" w:ascii="Times New Roman" w:hAnsi="Times New Roman" w:eastAsia="仿宋_GB2312"/>
          <w:b w:val="0"/>
          <w:bCs w:val="0"/>
          <w:color w:val="auto"/>
          <w:kern w:val="0"/>
          <w:sz w:val="32"/>
          <w:szCs w:val="32"/>
          <w:highlight w:val="none"/>
        </w:rPr>
        <w:t>食品安全国家标准</w:t>
      </w:r>
      <w:r>
        <w:rPr>
          <w:rFonts w:ascii="Times New Roman" w:hAnsi="Times New Roman" w:eastAsia="仿宋_GB2312"/>
          <w:b w:val="0"/>
          <w:bCs w:val="0"/>
          <w:color w:val="auto"/>
          <w:kern w:val="0"/>
          <w:sz w:val="32"/>
          <w:szCs w:val="32"/>
          <w:highlight w:val="none"/>
        </w:rPr>
        <w:t xml:space="preserve"> </w:t>
      </w:r>
      <w:r>
        <w:rPr>
          <w:rFonts w:hint="eastAsia" w:ascii="Times New Roman" w:hAnsi="Times New Roman" w:eastAsia="仿宋_GB2312"/>
          <w:b w:val="0"/>
          <w:bCs w:val="0"/>
          <w:color w:val="auto"/>
          <w:kern w:val="0"/>
          <w:sz w:val="32"/>
          <w:szCs w:val="32"/>
          <w:highlight w:val="none"/>
        </w:rPr>
        <w:t>食品中铅的测定</w:t>
      </w:r>
    </w:p>
    <w:p w14:paraId="58FC6343">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ascii="Times New Roman" w:hAnsi="Times New Roman" w:eastAsia="仿宋_GB2312"/>
          <w:b w:val="0"/>
          <w:bCs w:val="0"/>
          <w:color w:val="auto"/>
          <w:kern w:val="0"/>
          <w:sz w:val="32"/>
          <w:szCs w:val="32"/>
          <w:highlight w:val="none"/>
        </w:rPr>
        <w:t xml:space="preserve">GB 5009.27 </w:t>
      </w:r>
      <w:r>
        <w:rPr>
          <w:rFonts w:hint="eastAsia" w:ascii="Times New Roman" w:hAnsi="Times New Roman" w:eastAsia="仿宋_GB2312"/>
          <w:b w:val="0"/>
          <w:bCs w:val="0"/>
          <w:color w:val="auto"/>
          <w:kern w:val="0"/>
          <w:sz w:val="32"/>
          <w:szCs w:val="32"/>
          <w:highlight w:val="none"/>
        </w:rPr>
        <w:t>食品安全国家标准</w:t>
      </w:r>
      <w:r>
        <w:rPr>
          <w:rFonts w:ascii="Times New Roman" w:hAnsi="Times New Roman" w:eastAsia="仿宋_GB2312"/>
          <w:b w:val="0"/>
          <w:bCs w:val="0"/>
          <w:color w:val="auto"/>
          <w:kern w:val="0"/>
          <w:sz w:val="32"/>
          <w:szCs w:val="32"/>
          <w:highlight w:val="none"/>
        </w:rPr>
        <w:t xml:space="preserve"> </w:t>
      </w:r>
      <w:r>
        <w:rPr>
          <w:rFonts w:hint="eastAsia" w:ascii="Times New Roman" w:hAnsi="Times New Roman" w:eastAsia="仿宋_GB2312"/>
          <w:b w:val="0"/>
          <w:bCs w:val="0"/>
          <w:color w:val="auto"/>
          <w:kern w:val="0"/>
          <w:sz w:val="32"/>
          <w:szCs w:val="32"/>
          <w:highlight w:val="none"/>
        </w:rPr>
        <w:t>食品中苯并</w:t>
      </w:r>
      <w:r>
        <w:rPr>
          <w:rFonts w:ascii="Times New Roman" w:hAnsi="Times New Roman" w:eastAsia="仿宋_GB2312"/>
          <w:b w:val="0"/>
          <w:bCs w:val="0"/>
          <w:color w:val="auto"/>
          <w:kern w:val="0"/>
          <w:sz w:val="32"/>
          <w:szCs w:val="32"/>
          <w:highlight w:val="none"/>
        </w:rPr>
        <w:t>(a)</w:t>
      </w:r>
      <w:r>
        <w:rPr>
          <w:rFonts w:hint="eastAsia" w:ascii="Times New Roman" w:hAnsi="Times New Roman" w:eastAsia="仿宋_GB2312"/>
          <w:b w:val="0"/>
          <w:bCs w:val="0"/>
          <w:color w:val="auto"/>
          <w:kern w:val="0"/>
          <w:sz w:val="32"/>
          <w:szCs w:val="32"/>
          <w:highlight w:val="none"/>
        </w:rPr>
        <w:t>芘的测定</w:t>
      </w:r>
    </w:p>
    <w:p w14:paraId="53161260">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ascii="Times New Roman" w:hAnsi="Times New Roman" w:eastAsia="仿宋_GB2312"/>
          <w:b w:val="0"/>
          <w:bCs w:val="0"/>
          <w:color w:val="auto"/>
          <w:kern w:val="0"/>
          <w:sz w:val="32"/>
          <w:szCs w:val="32"/>
          <w:highlight w:val="none"/>
        </w:rPr>
        <w:t xml:space="preserve">GB 5009.28 </w:t>
      </w:r>
      <w:r>
        <w:rPr>
          <w:rFonts w:hint="eastAsia" w:ascii="Times New Roman" w:hAnsi="Times New Roman" w:eastAsia="仿宋_GB2312"/>
          <w:b w:val="0"/>
          <w:bCs w:val="0"/>
          <w:color w:val="auto"/>
          <w:kern w:val="0"/>
          <w:sz w:val="32"/>
          <w:szCs w:val="32"/>
          <w:highlight w:val="none"/>
        </w:rPr>
        <w:t>食品安全国家标准</w:t>
      </w:r>
      <w:r>
        <w:rPr>
          <w:rFonts w:ascii="Times New Roman" w:hAnsi="Times New Roman" w:eastAsia="仿宋_GB2312"/>
          <w:b w:val="0"/>
          <w:bCs w:val="0"/>
          <w:color w:val="auto"/>
          <w:kern w:val="0"/>
          <w:sz w:val="32"/>
          <w:szCs w:val="32"/>
          <w:highlight w:val="none"/>
        </w:rPr>
        <w:t xml:space="preserve"> </w:t>
      </w:r>
      <w:r>
        <w:rPr>
          <w:rFonts w:hint="eastAsia" w:ascii="Times New Roman" w:hAnsi="Times New Roman" w:eastAsia="仿宋_GB2312"/>
          <w:b w:val="0"/>
          <w:bCs w:val="0"/>
          <w:color w:val="auto"/>
          <w:kern w:val="0"/>
          <w:sz w:val="32"/>
          <w:szCs w:val="32"/>
          <w:highlight w:val="none"/>
        </w:rPr>
        <w:t>食品中苯甲酸、山梨酸和糖精钠的测定</w:t>
      </w:r>
    </w:p>
    <w:p w14:paraId="34ED2599">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ascii="Times New Roman" w:hAnsi="Times New Roman" w:eastAsia="仿宋_GB2312"/>
          <w:b w:val="0"/>
          <w:bCs w:val="0"/>
          <w:color w:val="auto"/>
          <w:kern w:val="0"/>
          <w:sz w:val="32"/>
          <w:szCs w:val="32"/>
          <w:highlight w:val="none"/>
        </w:rPr>
        <w:t xml:space="preserve">GB 5009.33 </w:t>
      </w:r>
      <w:r>
        <w:rPr>
          <w:rFonts w:hint="eastAsia" w:ascii="Times New Roman" w:hAnsi="Times New Roman" w:eastAsia="仿宋_GB2312"/>
          <w:b w:val="0"/>
          <w:bCs w:val="0"/>
          <w:color w:val="auto"/>
          <w:kern w:val="0"/>
          <w:sz w:val="32"/>
          <w:szCs w:val="32"/>
          <w:highlight w:val="none"/>
        </w:rPr>
        <w:t>食品安全国家标准</w:t>
      </w:r>
      <w:r>
        <w:rPr>
          <w:rFonts w:ascii="Times New Roman" w:hAnsi="Times New Roman" w:eastAsia="仿宋_GB2312"/>
          <w:b w:val="0"/>
          <w:bCs w:val="0"/>
          <w:color w:val="auto"/>
          <w:kern w:val="0"/>
          <w:sz w:val="32"/>
          <w:szCs w:val="32"/>
          <w:highlight w:val="none"/>
        </w:rPr>
        <w:t xml:space="preserve"> </w:t>
      </w:r>
      <w:r>
        <w:rPr>
          <w:rFonts w:hint="eastAsia" w:ascii="Times New Roman" w:hAnsi="Times New Roman" w:eastAsia="仿宋_GB2312"/>
          <w:b w:val="0"/>
          <w:bCs w:val="0"/>
          <w:color w:val="auto"/>
          <w:kern w:val="0"/>
          <w:sz w:val="32"/>
          <w:szCs w:val="32"/>
          <w:highlight w:val="none"/>
        </w:rPr>
        <w:t>食品中亚硝酸盐与硝酸盐的测定</w:t>
      </w:r>
    </w:p>
    <w:p w14:paraId="3243F683">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hint="eastAsia" w:ascii="Times New Roman" w:hAnsi="Times New Roman" w:eastAsia="仿宋_GB2312"/>
          <w:b w:val="0"/>
          <w:bCs w:val="0"/>
          <w:color w:val="auto"/>
          <w:kern w:val="0"/>
          <w:sz w:val="32"/>
          <w:szCs w:val="32"/>
          <w:highlight w:val="none"/>
        </w:rPr>
        <w:t>GB 5009.35 食品安全国家标准 食品中合成着色剂的测定</w:t>
      </w:r>
    </w:p>
    <w:p w14:paraId="391E21D5">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hint="eastAsia" w:ascii="Times New Roman" w:hAnsi="Times New Roman" w:eastAsia="仿宋_GB2312"/>
          <w:b w:val="0"/>
          <w:bCs w:val="0"/>
          <w:color w:val="auto"/>
          <w:kern w:val="0"/>
          <w:sz w:val="32"/>
          <w:szCs w:val="32"/>
          <w:highlight w:val="none"/>
        </w:rPr>
        <w:t>GB 5009.97 食品安全国家标准 食品中环己基氨基磺酸钠的测定</w:t>
      </w:r>
    </w:p>
    <w:p w14:paraId="563981CE">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hint="eastAsia" w:ascii="Times New Roman" w:hAnsi="Times New Roman" w:eastAsia="仿宋_GB2312"/>
          <w:b w:val="0"/>
          <w:bCs w:val="0"/>
          <w:color w:val="auto"/>
          <w:kern w:val="0"/>
          <w:sz w:val="32"/>
          <w:szCs w:val="32"/>
          <w:highlight w:val="none"/>
        </w:rPr>
        <w:t>GB 5009.120 食品安全国家标准 食品中丙酸钠、丙酸钙的测定</w:t>
      </w:r>
    </w:p>
    <w:p w14:paraId="60CA89CC">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ascii="Times New Roman" w:hAnsi="Times New Roman" w:eastAsia="仿宋_GB2312"/>
          <w:b w:val="0"/>
          <w:bCs w:val="0"/>
          <w:color w:val="auto"/>
          <w:kern w:val="0"/>
          <w:sz w:val="32"/>
          <w:szCs w:val="32"/>
          <w:highlight w:val="none"/>
        </w:rPr>
        <w:t xml:space="preserve">GB 5009.121 </w:t>
      </w:r>
      <w:r>
        <w:rPr>
          <w:rFonts w:hint="eastAsia" w:ascii="Times New Roman" w:hAnsi="Times New Roman" w:eastAsia="仿宋_GB2312"/>
          <w:b w:val="0"/>
          <w:bCs w:val="0"/>
          <w:color w:val="auto"/>
          <w:kern w:val="0"/>
          <w:sz w:val="32"/>
          <w:szCs w:val="32"/>
          <w:highlight w:val="none"/>
        </w:rPr>
        <w:t>食品安全国家标准</w:t>
      </w:r>
      <w:r>
        <w:rPr>
          <w:rFonts w:ascii="Times New Roman" w:hAnsi="Times New Roman" w:eastAsia="仿宋_GB2312"/>
          <w:b w:val="0"/>
          <w:bCs w:val="0"/>
          <w:color w:val="auto"/>
          <w:kern w:val="0"/>
          <w:sz w:val="32"/>
          <w:szCs w:val="32"/>
          <w:highlight w:val="none"/>
        </w:rPr>
        <w:t xml:space="preserve"> </w:t>
      </w:r>
      <w:r>
        <w:rPr>
          <w:rFonts w:hint="eastAsia" w:ascii="Times New Roman" w:hAnsi="Times New Roman" w:eastAsia="仿宋_GB2312"/>
          <w:b w:val="0"/>
          <w:bCs w:val="0"/>
          <w:color w:val="auto"/>
          <w:kern w:val="0"/>
          <w:sz w:val="32"/>
          <w:szCs w:val="32"/>
          <w:highlight w:val="none"/>
        </w:rPr>
        <w:t>食品中脱氢乙酸的测定</w:t>
      </w:r>
    </w:p>
    <w:p w14:paraId="360ED036">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hint="eastAsia" w:ascii="Times New Roman" w:hAnsi="Times New Roman" w:eastAsia="仿宋_GB2312"/>
          <w:b w:val="0"/>
          <w:bCs w:val="0"/>
          <w:color w:val="auto"/>
          <w:kern w:val="0"/>
          <w:sz w:val="32"/>
          <w:szCs w:val="32"/>
          <w:highlight w:val="none"/>
        </w:rPr>
        <w:t>GB 5009.182 食品安全国家标准 食品中铝的测定</w:t>
      </w:r>
    </w:p>
    <w:p w14:paraId="0129C496">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ascii="Times New Roman" w:hAnsi="Times New Roman" w:eastAsia="仿宋_GB2312"/>
          <w:b w:val="0"/>
          <w:bCs w:val="0"/>
          <w:color w:val="auto"/>
          <w:kern w:val="0"/>
          <w:sz w:val="32"/>
          <w:szCs w:val="32"/>
          <w:highlight w:val="none"/>
        </w:rPr>
        <w:t>GB 5009.123 食品安全国家标准 食品中铬的测定</w:t>
      </w:r>
    </w:p>
    <w:p w14:paraId="7BBD724A">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ascii="Times New Roman" w:hAnsi="Times New Roman" w:eastAsia="仿宋_GB2312"/>
          <w:b w:val="0"/>
          <w:bCs w:val="0"/>
          <w:color w:val="auto"/>
          <w:kern w:val="0"/>
          <w:sz w:val="32"/>
          <w:szCs w:val="32"/>
          <w:highlight w:val="none"/>
        </w:rPr>
        <w:t>GB 5009.202</w:t>
      </w:r>
      <w:r>
        <w:rPr>
          <w:rFonts w:hint="eastAsia" w:ascii="Times New Roman" w:hAnsi="Times New Roman" w:eastAsia="仿宋_GB2312"/>
          <w:b w:val="0"/>
          <w:bCs w:val="0"/>
          <w:color w:val="auto"/>
          <w:kern w:val="0"/>
          <w:sz w:val="32"/>
          <w:szCs w:val="32"/>
          <w:highlight w:val="none"/>
        </w:rPr>
        <w:t xml:space="preserve"> </w:t>
      </w:r>
      <w:r>
        <w:rPr>
          <w:rFonts w:ascii="Times New Roman" w:hAnsi="Times New Roman" w:eastAsia="仿宋_GB2312"/>
          <w:b w:val="0"/>
          <w:bCs w:val="0"/>
          <w:color w:val="auto"/>
          <w:kern w:val="0"/>
          <w:sz w:val="32"/>
          <w:szCs w:val="32"/>
          <w:highlight w:val="none"/>
        </w:rPr>
        <w:t>食品安全国家标准 食用油中极性组分（PC）的测定</w:t>
      </w:r>
    </w:p>
    <w:p w14:paraId="0373073D">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hint="eastAsia" w:ascii="Times New Roman" w:hAnsi="Times New Roman" w:eastAsia="仿宋_GB2312"/>
          <w:b w:val="0"/>
          <w:bCs w:val="0"/>
          <w:color w:val="auto"/>
          <w:kern w:val="0"/>
          <w:sz w:val="32"/>
          <w:szCs w:val="32"/>
          <w:highlight w:val="none"/>
        </w:rPr>
        <w:t>GB 5009.229 食品安全国家标准 食品中酸价的测定</w:t>
      </w:r>
    </w:p>
    <w:p w14:paraId="07546915">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ascii="Times New Roman" w:hAnsi="Times New Roman" w:eastAsia="仿宋_GB2312"/>
          <w:b w:val="0"/>
          <w:bCs w:val="0"/>
          <w:color w:val="auto"/>
          <w:kern w:val="0"/>
          <w:sz w:val="32"/>
          <w:szCs w:val="32"/>
          <w:highlight w:val="none"/>
        </w:rPr>
        <w:t xml:space="preserve">GB/T 19681 </w:t>
      </w:r>
      <w:r>
        <w:rPr>
          <w:rFonts w:hint="eastAsia" w:ascii="Times New Roman" w:hAnsi="Times New Roman" w:eastAsia="仿宋_GB2312"/>
          <w:b w:val="0"/>
          <w:bCs w:val="0"/>
          <w:color w:val="auto"/>
          <w:kern w:val="0"/>
          <w:sz w:val="32"/>
          <w:szCs w:val="32"/>
          <w:highlight w:val="none"/>
        </w:rPr>
        <w:t>食品中苏丹红染料的检测方法</w:t>
      </w:r>
      <w:r>
        <w:rPr>
          <w:rFonts w:ascii="Times New Roman" w:hAnsi="Times New Roman" w:eastAsia="仿宋_GB2312"/>
          <w:b w:val="0"/>
          <w:bCs w:val="0"/>
          <w:color w:val="auto"/>
          <w:kern w:val="0"/>
          <w:sz w:val="32"/>
          <w:szCs w:val="32"/>
          <w:highlight w:val="none"/>
        </w:rPr>
        <w:t xml:space="preserve"> </w:t>
      </w:r>
      <w:r>
        <w:rPr>
          <w:rFonts w:hint="eastAsia" w:ascii="Times New Roman" w:hAnsi="Times New Roman" w:eastAsia="仿宋_GB2312"/>
          <w:b w:val="0"/>
          <w:bCs w:val="0"/>
          <w:color w:val="auto"/>
          <w:kern w:val="0"/>
          <w:sz w:val="32"/>
          <w:szCs w:val="32"/>
          <w:highlight w:val="none"/>
        </w:rPr>
        <w:t>高效液相色谱法</w:t>
      </w:r>
    </w:p>
    <w:p w14:paraId="0C06CFFD">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ascii="Times New Roman" w:hAnsi="Times New Roman" w:eastAsia="仿宋_GB2312"/>
          <w:b w:val="0"/>
          <w:bCs w:val="0"/>
          <w:color w:val="auto"/>
          <w:kern w:val="0"/>
          <w:sz w:val="32"/>
          <w:szCs w:val="32"/>
          <w:highlight w:val="none"/>
        </w:rPr>
        <w:t>GB/T 22338 动物源性食品中氯霉素类药物残留量测定</w:t>
      </w:r>
    </w:p>
    <w:p w14:paraId="53DC0C9E">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hint="eastAsia" w:ascii="Times New Roman" w:hAnsi="Times New Roman" w:eastAsia="仿宋_GB2312"/>
          <w:b w:val="0"/>
          <w:bCs w:val="0"/>
          <w:color w:val="auto"/>
          <w:kern w:val="0"/>
          <w:sz w:val="32"/>
          <w:szCs w:val="32"/>
          <w:highlight w:val="none"/>
        </w:rPr>
        <w:t>SN/T 2430 进出口食品中罗丹明B的检测方法</w:t>
      </w:r>
    </w:p>
    <w:p w14:paraId="5DB96D19">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hint="eastAsia" w:ascii="Times New Roman" w:hAnsi="Times New Roman" w:eastAsia="仿宋_GB2312"/>
          <w:b w:val="0"/>
          <w:bCs w:val="0"/>
          <w:color w:val="auto"/>
          <w:kern w:val="0"/>
          <w:sz w:val="32"/>
          <w:szCs w:val="32"/>
          <w:highlight w:val="none"/>
        </w:rPr>
        <w:t>BJS 201802 食品中吗啡、可待因、罂粟碱、那可丁和蒂巴因的测定</w:t>
      </w:r>
    </w:p>
    <w:p w14:paraId="5B2A0AE5">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hint="eastAsia" w:ascii="Times New Roman" w:hAnsi="Times New Roman" w:eastAsia="仿宋_GB2312"/>
          <w:b w:val="0"/>
          <w:bCs w:val="0"/>
          <w:color w:val="auto"/>
          <w:kern w:val="0"/>
          <w:sz w:val="32"/>
          <w:szCs w:val="32"/>
          <w:highlight w:val="none"/>
        </w:rPr>
        <w:t>BJS 201905 食品中罗丹明B的测定</w:t>
      </w:r>
    </w:p>
    <w:p w14:paraId="3B03165F">
      <w:pPr>
        <w:overflowPunct w:val="0"/>
        <w:topLinePunct/>
        <w:snapToGrid w:val="0"/>
        <w:spacing w:line="560" w:lineRule="exact"/>
        <w:ind w:firstLine="640" w:firstLineChars="200"/>
        <w:rPr>
          <w:rFonts w:ascii="Times New Roman" w:hAnsi="Times New Roman" w:eastAsia="仿宋_GB2312"/>
          <w:b w:val="0"/>
          <w:bCs w:val="0"/>
          <w:color w:val="auto"/>
          <w:kern w:val="0"/>
          <w:sz w:val="32"/>
          <w:szCs w:val="32"/>
          <w:highlight w:val="none"/>
        </w:rPr>
      </w:pPr>
      <w:r>
        <w:rPr>
          <w:rFonts w:hint="eastAsia" w:ascii="Times New Roman" w:hAnsi="Times New Roman" w:eastAsia="仿宋_GB2312"/>
          <w:b w:val="0"/>
          <w:bCs w:val="0"/>
          <w:color w:val="auto"/>
          <w:kern w:val="0"/>
          <w:sz w:val="32"/>
          <w:szCs w:val="32"/>
          <w:highlight w:val="none"/>
        </w:rPr>
        <w:t>食品整治办〔</w:t>
      </w:r>
      <w:r>
        <w:rPr>
          <w:rFonts w:ascii="Times New Roman" w:hAnsi="Times New Roman" w:eastAsia="仿宋_GB2312"/>
          <w:b w:val="0"/>
          <w:bCs w:val="0"/>
          <w:color w:val="auto"/>
          <w:kern w:val="0"/>
          <w:sz w:val="32"/>
          <w:szCs w:val="32"/>
          <w:highlight w:val="none"/>
        </w:rPr>
        <w:t>2008</w:t>
      </w:r>
      <w:r>
        <w:rPr>
          <w:rFonts w:hint="eastAsia" w:ascii="Times New Roman" w:hAnsi="Times New Roman" w:eastAsia="仿宋_GB2312"/>
          <w:b w:val="0"/>
          <w:bCs w:val="0"/>
          <w:color w:val="auto"/>
          <w:kern w:val="0"/>
          <w:sz w:val="32"/>
          <w:szCs w:val="32"/>
          <w:highlight w:val="none"/>
        </w:rPr>
        <w:t>〕</w:t>
      </w:r>
      <w:r>
        <w:rPr>
          <w:rFonts w:ascii="Times New Roman" w:hAnsi="Times New Roman" w:eastAsia="仿宋_GB2312"/>
          <w:b w:val="0"/>
          <w:bCs w:val="0"/>
          <w:color w:val="auto"/>
          <w:kern w:val="0"/>
          <w:sz w:val="32"/>
          <w:szCs w:val="32"/>
          <w:highlight w:val="none"/>
        </w:rPr>
        <w:t>3</w:t>
      </w:r>
      <w:r>
        <w:rPr>
          <w:rFonts w:hint="eastAsia" w:ascii="Times New Roman" w:hAnsi="Times New Roman" w:eastAsia="仿宋_GB2312"/>
          <w:b w:val="0"/>
          <w:bCs w:val="0"/>
          <w:color w:val="auto"/>
          <w:kern w:val="0"/>
          <w:sz w:val="32"/>
          <w:szCs w:val="32"/>
          <w:highlight w:val="none"/>
        </w:rPr>
        <w:t>号</w:t>
      </w:r>
      <w:r>
        <w:rPr>
          <w:rFonts w:ascii="Times New Roman" w:hAnsi="Times New Roman" w:eastAsia="仿宋_GB2312"/>
          <w:b w:val="0"/>
          <w:bCs w:val="0"/>
          <w:color w:val="auto"/>
          <w:kern w:val="0"/>
          <w:sz w:val="32"/>
          <w:szCs w:val="32"/>
          <w:highlight w:val="none"/>
        </w:rPr>
        <w:t xml:space="preserve"> </w:t>
      </w:r>
      <w:r>
        <w:rPr>
          <w:rFonts w:hint="eastAsia" w:ascii="Times New Roman" w:hAnsi="Times New Roman" w:eastAsia="仿宋_GB2312"/>
          <w:b w:val="0"/>
          <w:bCs w:val="0"/>
          <w:color w:val="auto"/>
          <w:kern w:val="0"/>
          <w:sz w:val="32"/>
          <w:szCs w:val="32"/>
          <w:highlight w:val="none"/>
        </w:rPr>
        <w:t>全国打击违法添加非食用物质和滥用食品添加剂专项整治领导小组关于印发《食品中可能违法添加的非食用物质和易滥用的食品添加剂品种名单（第一批）》的通知</w:t>
      </w:r>
      <w:r>
        <w:rPr>
          <w:rFonts w:ascii="Times New Roman" w:hAnsi="Times New Roman" w:eastAsia="仿宋_GB2312"/>
          <w:b w:val="0"/>
          <w:bCs w:val="0"/>
          <w:color w:val="auto"/>
          <w:kern w:val="0"/>
          <w:sz w:val="32"/>
          <w:szCs w:val="32"/>
          <w:highlight w:val="none"/>
        </w:rPr>
        <w:t xml:space="preserve"> </w:t>
      </w:r>
    </w:p>
    <w:p w14:paraId="1913A1A8">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整顿办函〔</w:t>
      </w:r>
      <w:r>
        <w:rPr>
          <w:rFonts w:ascii="Times New Roman" w:hAnsi="Times New Roman" w:eastAsia="仿宋_GB2312"/>
          <w:b w:val="0"/>
          <w:bCs w:val="0"/>
          <w:color w:val="auto"/>
          <w:sz w:val="32"/>
          <w:szCs w:val="32"/>
          <w:highlight w:val="none"/>
        </w:rPr>
        <w:t>2011</w:t>
      </w:r>
      <w:r>
        <w:rPr>
          <w:rFonts w:hint="eastAsia" w:ascii="Times New Roman" w:hAnsi="Times New Roman" w:eastAsia="仿宋_GB2312"/>
          <w:b w:val="0"/>
          <w:bCs w:val="0"/>
          <w:color w:val="auto"/>
          <w:sz w:val="32"/>
          <w:szCs w:val="32"/>
          <w:highlight w:val="none"/>
        </w:rPr>
        <w:t>〕</w:t>
      </w:r>
      <w:r>
        <w:rPr>
          <w:rFonts w:ascii="Times New Roman" w:hAnsi="Times New Roman" w:eastAsia="仿宋_GB2312"/>
          <w:b w:val="0"/>
          <w:bCs w:val="0"/>
          <w:color w:val="auto"/>
          <w:sz w:val="32"/>
          <w:szCs w:val="32"/>
          <w:highlight w:val="none"/>
        </w:rPr>
        <w:t>1</w:t>
      </w:r>
      <w:r>
        <w:rPr>
          <w:rFonts w:hint="eastAsia" w:ascii="Times New Roman" w:hAnsi="Times New Roman" w:eastAsia="仿宋_GB2312"/>
          <w:b w:val="0"/>
          <w:bCs w:val="0"/>
          <w:color w:val="auto"/>
          <w:sz w:val="32"/>
          <w:szCs w:val="32"/>
          <w:highlight w:val="none"/>
        </w:rPr>
        <w:t>号</w:t>
      </w:r>
      <w:r>
        <w:rPr>
          <w:rFonts w:ascii="Times New Roman" w:hAnsi="Times New Roman" w:eastAsia="仿宋_GB2312"/>
          <w:b w:val="0"/>
          <w:bCs w:val="0"/>
          <w:color w:val="auto"/>
          <w:sz w:val="32"/>
          <w:szCs w:val="32"/>
          <w:highlight w:val="none"/>
        </w:rPr>
        <w:t xml:space="preserve"> </w:t>
      </w:r>
      <w:r>
        <w:rPr>
          <w:rFonts w:hint="eastAsia" w:ascii="Times New Roman" w:hAnsi="Times New Roman" w:eastAsia="仿宋_GB2312"/>
          <w:b w:val="0"/>
          <w:bCs w:val="0"/>
          <w:color w:val="auto"/>
          <w:sz w:val="32"/>
          <w:szCs w:val="32"/>
          <w:highlight w:val="none"/>
        </w:rPr>
        <w:t>全国食品安全整顿工作办公室关于印发《食品中可能违法添加的非食用物质和易滥用的食品添加剂品种名单（第五批）》的通知</w:t>
      </w:r>
    </w:p>
    <w:p w14:paraId="0FBDE173">
      <w:pPr>
        <w:overflowPunct w:val="0"/>
        <w:topLinePunct/>
        <w:snapToGrid w:val="0"/>
        <w:spacing w:line="560" w:lineRule="exact"/>
        <w:ind w:firstLine="640" w:firstLineChars="200"/>
        <w:rPr>
          <w:rFonts w:hint="eastAsia" w:ascii="Times New Roman" w:hAnsi="Times New Roman" w:eastAsia="仿宋_GB2312"/>
          <w:b w:val="0"/>
          <w:bCs w:val="0"/>
          <w:color w:val="auto"/>
          <w:kern w:val="0"/>
          <w:sz w:val="32"/>
          <w:szCs w:val="32"/>
          <w:highlight w:val="none"/>
        </w:rPr>
      </w:pPr>
      <w:r>
        <w:rPr>
          <w:rFonts w:hint="eastAsia" w:ascii="Times New Roman" w:hAnsi="Times New Roman" w:eastAsia="仿宋_GB2312"/>
          <w:b w:val="0"/>
          <w:bCs w:val="0"/>
          <w:color w:val="auto"/>
          <w:kern w:val="0"/>
          <w:sz w:val="32"/>
          <w:szCs w:val="32"/>
          <w:highlight w:val="none"/>
        </w:rPr>
        <w:t>中华人民共和国卫生部、国家食品药品监督管理局公告（</w:t>
      </w:r>
      <w:r>
        <w:rPr>
          <w:rFonts w:ascii="Times New Roman" w:hAnsi="Times New Roman" w:eastAsia="仿宋_GB2312"/>
          <w:b w:val="0"/>
          <w:bCs w:val="0"/>
          <w:color w:val="auto"/>
          <w:kern w:val="0"/>
          <w:sz w:val="32"/>
          <w:szCs w:val="32"/>
          <w:highlight w:val="none"/>
        </w:rPr>
        <w:t>2012</w:t>
      </w:r>
      <w:r>
        <w:rPr>
          <w:rFonts w:hint="eastAsia" w:ascii="Times New Roman" w:hAnsi="Times New Roman" w:eastAsia="仿宋_GB2312"/>
          <w:b w:val="0"/>
          <w:bCs w:val="0"/>
          <w:color w:val="auto"/>
          <w:kern w:val="0"/>
          <w:sz w:val="32"/>
          <w:szCs w:val="32"/>
          <w:highlight w:val="none"/>
        </w:rPr>
        <w:t>年第</w:t>
      </w:r>
      <w:r>
        <w:rPr>
          <w:rFonts w:ascii="Times New Roman" w:hAnsi="Times New Roman" w:eastAsia="仿宋_GB2312"/>
          <w:b w:val="0"/>
          <w:bCs w:val="0"/>
          <w:color w:val="auto"/>
          <w:kern w:val="0"/>
          <w:sz w:val="32"/>
          <w:szCs w:val="32"/>
          <w:highlight w:val="none"/>
        </w:rPr>
        <w:t>10</w:t>
      </w:r>
      <w:r>
        <w:rPr>
          <w:rFonts w:hint="eastAsia" w:ascii="Times New Roman" w:hAnsi="Times New Roman" w:eastAsia="仿宋_GB2312"/>
          <w:b w:val="0"/>
          <w:bCs w:val="0"/>
          <w:color w:val="auto"/>
          <w:kern w:val="0"/>
          <w:sz w:val="32"/>
          <w:szCs w:val="32"/>
          <w:highlight w:val="none"/>
        </w:rPr>
        <w:t>号）</w:t>
      </w:r>
    </w:p>
    <w:p w14:paraId="66664FC4">
      <w:pPr>
        <w:overflowPunct w:val="0"/>
        <w:topLinePunct/>
        <w:snapToGrid w:val="0"/>
        <w:spacing w:line="560" w:lineRule="exact"/>
        <w:ind w:firstLine="640" w:firstLineChars="200"/>
        <w:rPr>
          <w:rFonts w:hint="eastAsia" w:ascii="Times New Roman" w:hAnsi="Times New Roman" w:eastAsia="仿宋_GB2312"/>
          <w:b w:val="0"/>
          <w:bCs w:val="0"/>
          <w:color w:val="auto"/>
          <w:kern w:val="0"/>
          <w:sz w:val="32"/>
          <w:szCs w:val="32"/>
          <w:highlight w:val="none"/>
          <w:lang w:eastAsia="zh-CN"/>
        </w:rPr>
      </w:pPr>
      <w:r>
        <w:rPr>
          <w:rFonts w:hint="eastAsia" w:ascii="Times New Roman" w:hAnsi="Times New Roman" w:eastAsia="仿宋_GB2312"/>
          <w:b w:val="0"/>
          <w:bCs w:val="0"/>
          <w:color w:val="auto"/>
          <w:kern w:val="0"/>
          <w:sz w:val="32"/>
          <w:szCs w:val="32"/>
          <w:highlight w:val="none"/>
          <w:lang w:eastAsia="zh-CN"/>
        </w:rPr>
        <w:t>国家食品药品监督管理总局关于餐饮服务提供者禁用亚硝酸盐、加强醇基燃料管理的公告（2018年第18号）</w:t>
      </w:r>
    </w:p>
    <w:p w14:paraId="003416B1">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4 抽样</w:t>
      </w:r>
    </w:p>
    <w:p w14:paraId="63259E82">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4.1 抽样地点</w:t>
      </w:r>
    </w:p>
    <w:p w14:paraId="1C17E384">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抽样场所应尽可能覆盖各类餐饮服务单位业态，包括：餐馆（特大型餐馆、大型餐馆、中型餐馆、小型餐馆、微型餐馆）、食堂（机关食堂、学校／托幼食堂、企事业单位食堂、建筑工地食堂）、小吃店、快餐店、饮品店、集体用餐配送单位和中央厨房、网络食品经营平台。</w:t>
      </w:r>
    </w:p>
    <w:p w14:paraId="232A7D45">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4.2 抽样方法及数量</w:t>
      </w:r>
    </w:p>
    <w:p w14:paraId="540ED38D">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原则上抽取样品数量不少于1kg</w:t>
      </w:r>
      <w:r>
        <w:rPr>
          <w:rFonts w:hint="eastAsia" w:ascii="Times New Roman" w:hAnsi="Times New Roman" w:eastAsia="仿宋_GB2312"/>
          <w:b w:val="0"/>
          <w:bCs w:val="0"/>
          <w:color w:val="auto"/>
          <w:sz w:val="32"/>
          <w:szCs w:val="32"/>
          <w:highlight w:val="none"/>
          <w:lang w:eastAsia="zh-CN"/>
        </w:rPr>
        <w:t>；其中，</w:t>
      </w:r>
      <w:r>
        <w:rPr>
          <w:rFonts w:hint="eastAsia" w:ascii="Times New Roman" w:hAnsi="Times New Roman" w:eastAsia="仿宋_GB2312"/>
          <w:b w:val="0"/>
          <w:bCs w:val="0"/>
          <w:color w:val="auto"/>
          <w:sz w:val="32"/>
          <w:szCs w:val="32"/>
          <w:highlight w:val="none"/>
        </w:rPr>
        <w:t>熏烧烤肉类（自制），蘸料（自制），其他调味料（自制），月饼（自制），抽样量不少于2kg。</w:t>
      </w:r>
      <w:r>
        <w:rPr>
          <w:rFonts w:hint="eastAsia" w:ascii="Times New Roman" w:hAnsi="Times New Roman" w:eastAsia="仿宋_GB2312"/>
          <w:b w:val="0"/>
          <w:bCs w:val="0"/>
          <w:color w:val="auto"/>
          <w:sz w:val="32"/>
          <w:szCs w:val="32"/>
          <w:highlight w:val="none"/>
          <w:lang w:val="en-US" w:eastAsia="zh-CN"/>
        </w:rPr>
        <w:t>煎炸过程用油</w:t>
      </w:r>
      <w:r>
        <w:rPr>
          <w:rFonts w:hint="eastAsia" w:ascii="Times New Roman" w:hAnsi="Times New Roman" w:eastAsia="仿宋_GB2312"/>
          <w:b w:val="0"/>
          <w:bCs w:val="0"/>
          <w:color w:val="auto"/>
          <w:sz w:val="32"/>
          <w:szCs w:val="32"/>
          <w:highlight w:val="none"/>
        </w:rPr>
        <w:t>从煎炸用锅等容器内取出约2L（kg）样品于经营单位提供的干净瓷质或铁质容器内，现场冷却后，将约1L（kg）样品盛装于清洁干燥的样品容器内。</w:t>
      </w:r>
    </w:p>
    <w:p w14:paraId="56B6E6A6">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所抽取样品分为2份，约1/2为检验样品，约1/2为复检备份样品（备份样品封存在承检机构，应注意保存，避免变质）。</w:t>
      </w:r>
    </w:p>
    <w:p w14:paraId="0777DFAE">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抽取样品量、检验及复检备份所需样品量可根据检验和复检需要适量调整。</w:t>
      </w:r>
    </w:p>
    <w:p w14:paraId="7FB26C7D">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注：在本细则的规定中，检验机构在检验过程中自行对检验结果进行复验时所采用的样品，应为抽取的检验样品，不得采用复检备份样品。</w:t>
      </w:r>
    </w:p>
    <w:p w14:paraId="288A1F05">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4.3 抽样要求</w:t>
      </w:r>
    </w:p>
    <w:p w14:paraId="5D26151D">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承担抽样任务的人员应了解抽样目的，并做好采样文书、工具、容器、仪器设备、材料和试剂的准备工作。</w:t>
      </w:r>
    </w:p>
    <w:p w14:paraId="4AF5482A">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4.3.1 餐饮食品包装的要求</w:t>
      </w:r>
    </w:p>
    <w:p w14:paraId="2FBE4573">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抽取的餐饮食品可采用餐饮单位用于盛装食品的包装。盛装液体的包装，可用带塞玻璃瓶或塑料瓶等；盛装固体、半固体样品的包装，可用玻璃瓶或塑料袋等。</w:t>
      </w:r>
    </w:p>
    <w:p w14:paraId="205DB3FE">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4.3.2 不同形态样品的抽样要求</w:t>
      </w:r>
    </w:p>
    <w:p w14:paraId="6558B4DD">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采集餐饮食品时，预先对包装内食品充分混合，然后从不同部位采集分样混合成一份样品。固体从盛放样品包装的上、中、下不同的部位多点采样，混合后按四分法对角采样，再进行混合，最后取有代表性样品放入采样包装中；散装半固体这类较稠的物料不易充分混匀，打开包装，用采样器分上、中、下三层分别取出检样，将样品混合均匀。固体、半固体可使用小勺或镊子采样；散装液体（如饮料等）样品应先充分混合后，再取中间部位的样品，采样时可使用玻璃吸管或倾倒方式。</w:t>
      </w:r>
    </w:p>
    <w:p w14:paraId="22504EA1">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4.3.3其他要求</w:t>
      </w:r>
    </w:p>
    <w:p w14:paraId="49E98FFA">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只抽取餐饮环节加工出来的最终产品，不得抽取餐饮原材料。原材料等按照各自对应食品大类进行抽检（比如餐饮原料蔬菜按照食用农产品进行抽检、餐饮环节原料面粉按照粮食加工品进行抽检），抽检环节选择餐饮环节。在抽取熏烧烤肉制品时，如果被抽样单位使用孜然粉、辣椒粉，可同时抽取孜然粉、辣椒粉。</w:t>
      </w:r>
    </w:p>
    <w:p w14:paraId="3869C18C">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4.4 抽样单</w:t>
      </w:r>
    </w:p>
    <w:p w14:paraId="7DAD3C17">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应按有关规定填写抽样单，并记录所抽样品及餐饮企业相关信息。</w:t>
      </w:r>
    </w:p>
    <w:p w14:paraId="3EE2062D">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4.5 封样和样品运输、贮存</w:t>
      </w:r>
    </w:p>
    <w:p w14:paraId="4AE294F8">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抽样完成后由抽样人与被抽样单位在抽样单和封条上签字或者盖章确认，当场封样，检验样品、备份样品分别封样。为保证样品的真实性，要有相应的防拆封措施，并保证封条在运输过程中不会破损。</w:t>
      </w:r>
    </w:p>
    <w:p w14:paraId="7544D4F4">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在网络食品经营平台抽样时，抽样单和封条无需被抽样单位签字、盖章。</w:t>
      </w:r>
    </w:p>
    <w:p w14:paraId="53F74CB8">
      <w:pPr>
        <w:overflowPunct w:val="0"/>
        <w:topLinePunct/>
        <w:snapToGrid w:val="0"/>
        <w:spacing w:line="560" w:lineRule="exact"/>
        <w:ind w:firstLine="64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抽样人员应采取有效的防护措施，保证样品在运输、贮存过程中符合国家相关规定及包装标识要求，不发生影响检验结论的变化。</w:t>
      </w:r>
    </w:p>
    <w:p w14:paraId="5F8A6E05">
      <w:pPr>
        <w:overflowPunct w:val="0"/>
        <w:topLinePunct/>
        <w:snapToGrid w:val="0"/>
        <w:spacing w:before="156" w:beforeLines="50" w:after="156" w:afterLines="50" w:line="560" w:lineRule="exact"/>
        <w:ind w:firstLine="640" w:firstLineChars="200"/>
        <w:rPr>
          <w:rFonts w:ascii="Times New Roman" w:hAnsi="Times New Roman" w:eastAsia="黑体"/>
          <w:b w:val="0"/>
          <w:bCs w:val="0"/>
          <w:color w:val="auto"/>
          <w:sz w:val="32"/>
          <w:szCs w:val="32"/>
          <w:highlight w:val="none"/>
        </w:rPr>
      </w:pPr>
      <w:r>
        <w:rPr>
          <w:rFonts w:ascii="Times New Roman" w:hAnsi="Times New Roman" w:eastAsia="黑体"/>
          <w:b w:val="0"/>
          <w:bCs w:val="0"/>
          <w:color w:val="auto"/>
          <w:sz w:val="32"/>
          <w:szCs w:val="32"/>
          <w:highlight w:val="none"/>
        </w:rPr>
        <w:t xml:space="preserve">5 </w:t>
      </w:r>
      <w:r>
        <w:rPr>
          <w:rFonts w:hint="eastAsia" w:ascii="Times New Roman" w:hAnsi="Times New Roman" w:eastAsia="黑体"/>
          <w:b w:val="0"/>
          <w:bCs w:val="0"/>
          <w:color w:val="auto"/>
          <w:sz w:val="32"/>
          <w:szCs w:val="32"/>
          <w:highlight w:val="none"/>
        </w:rPr>
        <w:t>检验项目及检测方法</w:t>
      </w:r>
    </w:p>
    <w:p w14:paraId="32A1DA1C">
      <w:pPr>
        <w:ind w:firstLine="640" w:firstLineChars="200"/>
        <w:rPr>
          <w:rFonts w:ascii="Times New Roman" w:hAnsi="Times New Roman" w:eastAsia="黑体"/>
          <w:b w:val="0"/>
          <w:bCs w:val="0"/>
          <w:color w:val="auto"/>
          <w:sz w:val="28"/>
          <w:szCs w:val="28"/>
          <w:highlight w:val="none"/>
        </w:rPr>
      </w:pPr>
      <w:r>
        <w:rPr>
          <w:rFonts w:hint="eastAsia" w:ascii="Times New Roman" w:hAnsi="Times New Roman" w:eastAsia="仿宋_GB2312"/>
          <w:b w:val="0"/>
          <w:bCs w:val="0"/>
          <w:color w:val="auto"/>
          <w:sz w:val="32"/>
          <w:szCs w:val="32"/>
          <w:highlight w:val="none"/>
          <w:lang w:bidi="ar"/>
        </w:rPr>
        <w:t>餐饮食品其他生制面制品</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、凉皮类</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、其他熟制面制品</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、其他油炸面制品</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、米饭</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、熏烧烤肉类</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、蘸料</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、其他调味料</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、果蔬汁饮料</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、其他饮料</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、煎炸过程用油、粽子</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、月饼</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自制</w:t>
      </w:r>
      <w:r>
        <w:rPr>
          <w:rFonts w:hint="eastAsia" w:ascii="Times New Roman" w:hAnsi="Times New Roman" w:eastAsia="仿宋_GB2312"/>
          <w:b w:val="0"/>
          <w:bCs w:val="0"/>
          <w:color w:val="auto"/>
          <w:sz w:val="32"/>
          <w:szCs w:val="32"/>
          <w:highlight w:val="none"/>
          <w:lang w:eastAsia="zh-CN" w:bidi="ar"/>
        </w:rPr>
        <w:t>）</w:t>
      </w:r>
      <w:r>
        <w:rPr>
          <w:rFonts w:hint="eastAsia" w:ascii="Times New Roman" w:hAnsi="Times New Roman" w:eastAsia="仿宋_GB2312"/>
          <w:b w:val="0"/>
          <w:bCs w:val="0"/>
          <w:color w:val="auto"/>
          <w:sz w:val="32"/>
          <w:szCs w:val="32"/>
          <w:highlight w:val="none"/>
          <w:lang w:bidi="ar"/>
        </w:rPr>
        <w:t>的检验项目、检测方法详见表4-1~4-12。</w:t>
      </w:r>
    </w:p>
    <w:p w14:paraId="58EEA8E7">
      <w:pPr>
        <w:widowControl/>
        <w:spacing w:before="156" w:beforeLines="50" w:after="156" w:afterLines="50" w:line="36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表4-1</w:t>
      </w:r>
      <w:r>
        <w:rPr>
          <w:rFonts w:ascii="Times New Roman" w:hAnsi="Times New Roman" w:eastAsia="黑体"/>
          <w:b w:val="0"/>
          <w:bCs w:val="0"/>
          <w:color w:val="auto"/>
          <w:sz w:val="28"/>
          <w:szCs w:val="28"/>
          <w:highlight w:val="none"/>
        </w:rPr>
        <w:t xml:space="preserve">  </w:t>
      </w:r>
      <w:r>
        <w:rPr>
          <w:rFonts w:hint="eastAsia" w:ascii="Times New Roman" w:hAnsi="Times New Roman" w:eastAsia="黑体"/>
          <w:b w:val="0"/>
          <w:bCs w:val="0"/>
          <w:color w:val="auto"/>
          <w:sz w:val="28"/>
          <w:szCs w:val="28"/>
          <w:highlight w:val="none"/>
        </w:rPr>
        <w:t>其他生制面制品(自制)检验项目及检测方法</w:t>
      </w:r>
    </w:p>
    <w:tbl>
      <w:tblPr>
        <w:tblStyle w:val="27"/>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075"/>
        <w:gridCol w:w="2786"/>
        <w:gridCol w:w="2299"/>
      </w:tblGrid>
      <w:tr w14:paraId="1CB2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tblHeader/>
          <w:jc w:val="center"/>
        </w:trPr>
        <w:tc>
          <w:tcPr>
            <w:tcW w:w="852" w:type="dxa"/>
            <w:vAlign w:val="center"/>
          </w:tcPr>
          <w:p w14:paraId="490CC4F5">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序号</w:t>
            </w:r>
            <w:r>
              <w:rPr>
                <w:rFonts w:ascii="Times New Roman" w:hAnsi="Times New Roman" w:eastAsia="黑体"/>
                <w:b w:val="0"/>
                <w:bCs w:val="0"/>
                <w:color w:val="auto"/>
                <w:sz w:val="28"/>
                <w:szCs w:val="28"/>
                <w:highlight w:val="none"/>
              </w:rPr>
              <w:t xml:space="preserve">                                                                                                                                                                                                                                                                                                                                                                                                                                                                                                                                                                                                                                                                                                                                                                                                                                                                                                                                                 </w:t>
            </w:r>
          </w:p>
        </w:tc>
        <w:tc>
          <w:tcPr>
            <w:tcW w:w="3075" w:type="dxa"/>
            <w:vAlign w:val="center"/>
          </w:tcPr>
          <w:p w14:paraId="1EEC937F">
            <w:pPr>
              <w:overflowPunct w:val="0"/>
              <w:topLinePunct/>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检验项目</w:t>
            </w:r>
          </w:p>
        </w:tc>
        <w:tc>
          <w:tcPr>
            <w:tcW w:w="2786" w:type="dxa"/>
            <w:vAlign w:val="center"/>
          </w:tcPr>
          <w:p w14:paraId="3F5BF7AC">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依据法律法规或标准</w:t>
            </w:r>
          </w:p>
        </w:tc>
        <w:tc>
          <w:tcPr>
            <w:tcW w:w="2299" w:type="dxa"/>
            <w:vAlign w:val="center"/>
          </w:tcPr>
          <w:p w14:paraId="44A9AE61">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检测方法</w:t>
            </w:r>
          </w:p>
        </w:tc>
      </w:tr>
      <w:tr w14:paraId="0C1E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7027F305">
            <w:pPr>
              <w:overflowPunct w:val="0"/>
              <w:topLinePunct/>
              <w:spacing w:line="40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1</w:t>
            </w:r>
          </w:p>
        </w:tc>
        <w:tc>
          <w:tcPr>
            <w:tcW w:w="3075" w:type="dxa"/>
            <w:vAlign w:val="center"/>
          </w:tcPr>
          <w:p w14:paraId="4697CD4F">
            <w:pPr>
              <w:overflowPunct w:val="0"/>
              <w:topLinePunct/>
              <w:snapToGrid w:val="0"/>
              <w:spacing w:line="40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铅（以</w:t>
            </w:r>
            <w:r>
              <w:rPr>
                <w:rFonts w:ascii="Times New Roman" w:hAnsi="Times New Roman" w:eastAsia="仿宋_GB2312"/>
                <w:b w:val="0"/>
                <w:bCs w:val="0"/>
                <w:color w:val="auto"/>
                <w:sz w:val="28"/>
                <w:szCs w:val="28"/>
                <w:highlight w:val="none"/>
              </w:rPr>
              <w:t>Pb</w:t>
            </w:r>
            <w:r>
              <w:rPr>
                <w:rFonts w:hint="eastAsia" w:ascii="Times New Roman" w:hAnsi="Times New Roman" w:eastAsia="仿宋_GB2312"/>
                <w:b w:val="0"/>
                <w:bCs w:val="0"/>
                <w:color w:val="auto"/>
                <w:sz w:val="28"/>
                <w:szCs w:val="28"/>
                <w:highlight w:val="none"/>
              </w:rPr>
              <w:t>计）</w:t>
            </w:r>
          </w:p>
        </w:tc>
        <w:tc>
          <w:tcPr>
            <w:tcW w:w="2786" w:type="dxa"/>
            <w:vAlign w:val="center"/>
          </w:tcPr>
          <w:p w14:paraId="32B2C973">
            <w:pPr>
              <w:widowControl/>
              <w:spacing w:line="400" w:lineRule="exact"/>
              <w:jc w:val="center"/>
              <w:textAlignment w:val="center"/>
              <w:rPr>
                <w:rFonts w:ascii="Times New Roman" w:hAnsi="Times New Roman" w:eastAsia="仿宋"/>
                <w:b w:val="0"/>
                <w:bCs w:val="0"/>
                <w:color w:val="auto"/>
                <w:kern w:val="0"/>
                <w:sz w:val="28"/>
                <w:szCs w:val="28"/>
                <w:highlight w:val="none"/>
              </w:rPr>
            </w:pPr>
            <w:r>
              <w:rPr>
                <w:rFonts w:ascii="Times New Roman" w:hAnsi="Times New Roman" w:eastAsia="仿宋"/>
                <w:b w:val="0"/>
                <w:bCs w:val="0"/>
                <w:color w:val="auto"/>
                <w:kern w:val="0"/>
                <w:sz w:val="28"/>
                <w:szCs w:val="28"/>
                <w:highlight w:val="none"/>
              </w:rPr>
              <w:t>GB 2762</w:t>
            </w:r>
          </w:p>
        </w:tc>
        <w:tc>
          <w:tcPr>
            <w:tcW w:w="2299" w:type="dxa"/>
            <w:vAlign w:val="center"/>
          </w:tcPr>
          <w:p w14:paraId="79829324">
            <w:pPr>
              <w:overflowPunct w:val="0"/>
              <w:topLinePunct/>
              <w:snapToGrid w:val="0"/>
              <w:spacing w:line="400" w:lineRule="exact"/>
              <w:jc w:val="center"/>
              <w:rPr>
                <w:rFonts w:eastAsia="仿宋_GB2312"/>
                <w:b w:val="0"/>
                <w:bCs w:val="0"/>
                <w:color w:val="auto"/>
                <w:sz w:val="28"/>
                <w:szCs w:val="28"/>
                <w:highlight w:val="none"/>
              </w:rPr>
            </w:pPr>
            <w:r>
              <w:rPr>
                <w:rFonts w:ascii="Times New Roman" w:hAnsi="Times New Roman" w:eastAsia="仿宋"/>
                <w:b w:val="0"/>
                <w:bCs w:val="0"/>
                <w:color w:val="auto"/>
                <w:sz w:val="28"/>
                <w:szCs w:val="28"/>
                <w:highlight w:val="none"/>
              </w:rPr>
              <w:t>GB 5009.12</w:t>
            </w:r>
          </w:p>
        </w:tc>
      </w:tr>
      <w:tr w14:paraId="59DB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exact"/>
          <w:jc w:val="center"/>
        </w:trPr>
        <w:tc>
          <w:tcPr>
            <w:tcW w:w="852" w:type="dxa"/>
            <w:vAlign w:val="center"/>
          </w:tcPr>
          <w:p w14:paraId="421947A9">
            <w:pPr>
              <w:overflowPunct w:val="0"/>
              <w:topLinePunct/>
              <w:spacing w:line="40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2</w:t>
            </w:r>
          </w:p>
        </w:tc>
        <w:tc>
          <w:tcPr>
            <w:tcW w:w="3075" w:type="dxa"/>
            <w:vAlign w:val="center"/>
          </w:tcPr>
          <w:p w14:paraId="73F540F0">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苯甲酸及其钠盐（以苯甲酸计）</w:t>
            </w:r>
          </w:p>
        </w:tc>
        <w:tc>
          <w:tcPr>
            <w:tcW w:w="2786" w:type="dxa"/>
            <w:vAlign w:val="center"/>
          </w:tcPr>
          <w:p w14:paraId="5DDFAF39">
            <w:pPr>
              <w:widowControl/>
              <w:snapToGrid w:val="0"/>
              <w:spacing w:line="360" w:lineRule="exact"/>
              <w:jc w:val="center"/>
              <w:rPr>
                <w:rFonts w:ascii="Times New Roman" w:hAnsi="Times New Roman" w:eastAsia="仿宋"/>
                <w:b w:val="0"/>
                <w:bCs w:val="0"/>
                <w:color w:val="auto"/>
                <w:sz w:val="28"/>
                <w:szCs w:val="28"/>
                <w:highlight w:val="none"/>
              </w:rPr>
            </w:pPr>
            <w:r>
              <w:rPr>
                <w:rFonts w:ascii="Times New Roman" w:hAnsi="Times New Roman" w:eastAsia="仿宋_GB2312"/>
                <w:b w:val="0"/>
                <w:bCs w:val="0"/>
                <w:color w:val="auto"/>
                <w:sz w:val="28"/>
                <w:szCs w:val="28"/>
                <w:highlight w:val="none"/>
              </w:rPr>
              <w:t>GB 2760</w:t>
            </w:r>
          </w:p>
        </w:tc>
        <w:tc>
          <w:tcPr>
            <w:tcW w:w="2299" w:type="dxa"/>
            <w:vAlign w:val="center"/>
          </w:tcPr>
          <w:p w14:paraId="7D2342D3">
            <w:pPr>
              <w:widowControl/>
              <w:snapToGrid w:val="0"/>
              <w:spacing w:line="360" w:lineRule="exact"/>
              <w:jc w:val="center"/>
              <w:rPr>
                <w:rFonts w:ascii="Times New Roman" w:hAnsi="Times New Roman" w:eastAsia="仿宋"/>
                <w:b w:val="0"/>
                <w:bCs w:val="0"/>
                <w:color w:val="auto"/>
                <w:sz w:val="28"/>
                <w:szCs w:val="28"/>
                <w:highlight w:val="none"/>
              </w:rPr>
            </w:pPr>
            <w:r>
              <w:rPr>
                <w:rFonts w:ascii="Times New Roman" w:hAnsi="Times New Roman" w:eastAsia="仿宋_GB2312"/>
                <w:b w:val="0"/>
                <w:bCs w:val="0"/>
                <w:color w:val="auto"/>
                <w:sz w:val="28"/>
                <w:szCs w:val="28"/>
                <w:highlight w:val="none"/>
              </w:rPr>
              <w:t>GB 5009.28</w:t>
            </w:r>
          </w:p>
        </w:tc>
      </w:tr>
      <w:tr w14:paraId="6BD5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exact"/>
          <w:jc w:val="center"/>
        </w:trPr>
        <w:tc>
          <w:tcPr>
            <w:tcW w:w="852" w:type="dxa"/>
            <w:vAlign w:val="center"/>
          </w:tcPr>
          <w:p w14:paraId="220F6CFD">
            <w:pPr>
              <w:overflowPunct w:val="0"/>
              <w:topLinePunct/>
              <w:spacing w:line="40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3</w:t>
            </w:r>
          </w:p>
        </w:tc>
        <w:tc>
          <w:tcPr>
            <w:tcW w:w="3075" w:type="dxa"/>
            <w:vAlign w:val="center"/>
          </w:tcPr>
          <w:p w14:paraId="67F2DEDB">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山梨酸及其钾盐（以山梨酸计）</w:t>
            </w:r>
          </w:p>
        </w:tc>
        <w:tc>
          <w:tcPr>
            <w:tcW w:w="2786" w:type="dxa"/>
            <w:vAlign w:val="center"/>
          </w:tcPr>
          <w:p w14:paraId="5D1A1C87">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2760</w:t>
            </w:r>
          </w:p>
        </w:tc>
        <w:tc>
          <w:tcPr>
            <w:tcW w:w="2299" w:type="dxa"/>
            <w:vAlign w:val="center"/>
          </w:tcPr>
          <w:p w14:paraId="6A8CBF8A">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5009.28</w:t>
            </w:r>
          </w:p>
        </w:tc>
      </w:tr>
      <w:tr w14:paraId="09FB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exact"/>
          <w:jc w:val="center"/>
        </w:trPr>
        <w:tc>
          <w:tcPr>
            <w:tcW w:w="852" w:type="dxa"/>
            <w:vAlign w:val="center"/>
          </w:tcPr>
          <w:p w14:paraId="4C045F57">
            <w:pPr>
              <w:overflowPunct w:val="0"/>
              <w:topLinePunct/>
              <w:snapToGrid w:val="0"/>
              <w:spacing w:line="40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4</w:t>
            </w:r>
          </w:p>
        </w:tc>
        <w:tc>
          <w:tcPr>
            <w:tcW w:w="3075" w:type="dxa"/>
            <w:vAlign w:val="center"/>
          </w:tcPr>
          <w:p w14:paraId="3208DAC4">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脱氢乙酸及其钠盐（以脱氢乙酸计）</w:t>
            </w:r>
          </w:p>
        </w:tc>
        <w:tc>
          <w:tcPr>
            <w:tcW w:w="2786" w:type="dxa"/>
            <w:vAlign w:val="center"/>
          </w:tcPr>
          <w:p w14:paraId="18ABE020">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2760</w:t>
            </w:r>
          </w:p>
        </w:tc>
        <w:tc>
          <w:tcPr>
            <w:tcW w:w="2299" w:type="dxa"/>
            <w:vAlign w:val="center"/>
          </w:tcPr>
          <w:p w14:paraId="2105D2F6">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5009.121</w:t>
            </w:r>
          </w:p>
        </w:tc>
      </w:tr>
    </w:tbl>
    <w:p w14:paraId="545CFB94">
      <w:pPr>
        <w:widowControl/>
        <w:spacing w:before="156" w:beforeLines="50" w:after="156" w:afterLines="50" w:line="360" w:lineRule="exact"/>
        <w:rPr>
          <w:rFonts w:ascii="Times New Roman" w:hAnsi="Times New Roman" w:eastAsia="黑体"/>
          <w:b w:val="0"/>
          <w:bCs w:val="0"/>
          <w:color w:val="auto"/>
          <w:sz w:val="28"/>
          <w:szCs w:val="28"/>
          <w:highlight w:val="none"/>
        </w:rPr>
      </w:pPr>
    </w:p>
    <w:p w14:paraId="00E8A330">
      <w:pPr>
        <w:widowControl/>
        <w:spacing w:before="156" w:beforeLines="50" w:after="156" w:afterLines="50" w:line="36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表4-2</w:t>
      </w:r>
      <w:r>
        <w:rPr>
          <w:rFonts w:ascii="Times New Roman" w:hAnsi="Times New Roman" w:eastAsia="黑体"/>
          <w:b w:val="0"/>
          <w:bCs w:val="0"/>
          <w:color w:val="auto"/>
          <w:sz w:val="28"/>
          <w:szCs w:val="28"/>
          <w:highlight w:val="none"/>
        </w:rPr>
        <w:t xml:space="preserve"> </w:t>
      </w:r>
      <w:r>
        <w:rPr>
          <w:rFonts w:hint="eastAsia" w:ascii="Times New Roman" w:hAnsi="Times New Roman" w:eastAsia="黑体"/>
          <w:b w:val="0"/>
          <w:bCs w:val="0"/>
          <w:color w:val="auto"/>
          <w:sz w:val="28"/>
          <w:szCs w:val="28"/>
          <w:highlight w:val="none"/>
        </w:rPr>
        <w:t>凉皮类(自制)检验项目及检测方法</w:t>
      </w:r>
    </w:p>
    <w:tbl>
      <w:tblPr>
        <w:tblStyle w:val="27"/>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621"/>
        <w:gridCol w:w="3410"/>
        <w:gridCol w:w="2129"/>
      </w:tblGrid>
      <w:tr w14:paraId="576F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exact"/>
          <w:tblHeader/>
          <w:jc w:val="center"/>
        </w:trPr>
        <w:tc>
          <w:tcPr>
            <w:tcW w:w="852" w:type="dxa"/>
            <w:vAlign w:val="center"/>
          </w:tcPr>
          <w:p w14:paraId="78A473DC">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序号</w:t>
            </w:r>
            <w:r>
              <w:rPr>
                <w:rFonts w:ascii="Times New Roman" w:hAnsi="Times New Roman" w:eastAsia="黑体"/>
                <w:b w:val="0"/>
                <w:bCs w:val="0"/>
                <w:color w:val="auto"/>
                <w:sz w:val="28"/>
                <w:szCs w:val="28"/>
                <w:highlight w:val="none"/>
              </w:rPr>
              <w:t xml:space="preserve">                                                                                                                                                                                                                                                                                                                                                                                                                                                                                                                                                                                                                                                                                                                                                                                                                                                                                                                                                 </w:t>
            </w:r>
          </w:p>
        </w:tc>
        <w:tc>
          <w:tcPr>
            <w:tcW w:w="2621" w:type="dxa"/>
            <w:vAlign w:val="center"/>
          </w:tcPr>
          <w:p w14:paraId="39CFE2B9">
            <w:pPr>
              <w:overflowPunct w:val="0"/>
              <w:topLinePunct/>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检验项目</w:t>
            </w:r>
          </w:p>
        </w:tc>
        <w:tc>
          <w:tcPr>
            <w:tcW w:w="3410" w:type="dxa"/>
            <w:vAlign w:val="center"/>
          </w:tcPr>
          <w:p w14:paraId="6960BBDC">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依据法律法规或标准</w:t>
            </w:r>
          </w:p>
        </w:tc>
        <w:tc>
          <w:tcPr>
            <w:tcW w:w="2129" w:type="dxa"/>
            <w:vAlign w:val="center"/>
          </w:tcPr>
          <w:p w14:paraId="08804915">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检测方法</w:t>
            </w:r>
          </w:p>
        </w:tc>
      </w:tr>
      <w:tr w14:paraId="0B34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exact"/>
          <w:jc w:val="center"/>
        </w:trPr>
        <w:tc>
          <w:tcPr>
            <w:tcW w:w="852" w:type="dxa"/>
            <w:vAlign w:val="center"/>
          </w:tcPr>
          <w:p w14:paraId="6CDE9228">
            <w:pPr>
              <w:overflowPunct w:val="0"/>
              <w:topLinePunct/>
              <w:spacing w:line="40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1</w:t>
            </w:r>
          </w:p>
        </w:tc>
        <w:tc>
          <w:tcPr>
            <w:tcW w:w="2621" w:type="dxa"/>
            <w:vAlign w:val="center"/>
          </w:tcPr>
          <w:p w14:paraId="006EDC9F">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脱氢乙酸及其钠盐（以脱氢乙酸计）</w:t>
            </w:r>
          </w:p>
        </w:tc>
        <w:tc>
          <w:tcPr>
            <w:tcW w:w="3410" w:type="dxa"/>
            <w:vAlign w:val="center"/>
          </w:tcPr>
          <w:p w14:paraId="51D80FED">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2760</w:t>
            </w:r>
          </w:p>
        </w:tc>
        <w:tc>
          <w:tcPr>
            <w:tcW w:w="2129" w:type="dxa"/>
            <w:vAlign w:val="center"/>
          </w:tcPr>
          <w:p w14:paraId="63D6F2B8">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5009.121</w:t>
            </w:r>
          </w:p>
        </w:tc>
      </w:tr>
      <w:tr w14:paraId="123A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184674C0">
            <w:pPr>
              <w:overflowPunct w:val="0"/>
              <w:topLinePunct/>
              <w:spacing w:line="40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2</w:t>
            </w:r>
          </w:p>
        </w:tc>
        <w:tc>
          <w:tcPr>
            <w:tcW w:w="2621" w:type="dxa"/>
            <w:vAlign w:val="center"/>
          </w:tcPr>
          <w:p w14:paraId="67FF9F20">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lang w:val="en-US" w:eastAsia="zh-CN"/>
              </w:rPr>
              <w:t>*</w:t>
            </w:r>
            <w:commentRangeStart w:id="0"/>
            <w:r>
              <w:rPr>
                <w:rFonts w:hint="eastAsia" w:ascii="Times New Roman" w:hAnsi="Times New Roman" w:eastAsia="仿宋_GB2312"/>
                <w:b w:val="0"/>
                <w:bCs w:val="0"/>
                <w:color w:val="auto"/>
                <w:sz w:val="28"/>
                <w:szCs w:val="28"/>
                <w:highlight w:val="none"/>
              </w:rPr>
              <w:t>合成着色剂（柠檬黄、日落黄）</w:t>
            </w:r>
            <w:commentRangeEnd w:id="0"/>
            <w:r>
              <w:rPr>
                <w:b w:val="0"/>
                <w:bCs w:val="0"/>
                <w:color w:val="auto"/>
                <w:highlight w:val="none"/>
              </w:rPr>
              <w:commentReference w:id="0"/>
            </w:r>
          </w:p>
        </w:tc>
        <w:tc>
          <w:tcPr>
            <w:tcW w:w="3410" w:type="dxa"/>
            <w:vAlign w:val="center"/>
          </w:tcPr>
          <w:p w14:paraId="48A50FA2">
            <w:pPr>
              <w:widowControl/>
              <w:spacing w:line="400" w:lineRule="exact"/>
              <w:jc w:val="center"/>
              <w:textAlignment w:val="center"/>
              <w:rPr>
                <w:rFonts w:ascii="Times New Roman" w:hAnsi="Times New Roman" w:eastAsia="仿宋"/>
                <w:b w:val="0"/>
                <w:bCs w:val="0"/>
                <w:color w:val="auto"/>
                <w:kern w:val="0"/>
                <w:sz w:val="28"/>
                <w:szCs w:val="28"/>
                <w:highlight w:val="none"/>
              </w:rPr>
            </w:pPr>
            <w:r>
              <w:rPr>
                <w:rFonts w:ascii="Times New Roman" w:hAnsi="Times New Roman" w:eastAsia="仿宋"/>
                <w:b w:val="0"/>
                <w:bCs w:val="0"/>
                <w:color w:val="auto"/>
                <w:kern w:val="0"/>
                <w:sz w:val="28"/>
                <w:szCs w:val="28"/>
                <w:highlight w:val="none"/>
              </w:rPr>
              <w:t>GB 276</w:t>
            </w:r>
            <w:r>
              <w:rPr>
                <w:rFonts w:hint="eastAsia" w:ascii="Times New Roman" w:hAnsi="Times New Roman" w:eastAsia="仿宋"/>
                <w:b w:val="0"/>
                <w:bCs w:val="0"/>
                <w:color w:val="auto"/>
                <w:kern w:val="0"/>
                <w:sz w:val="28"/>
                <w:szCs w:val="28"/>
                <w:highlight w:val="none"/>
              </w:rPr>
              <w:t>0</w:t>
            </w:r>
          </w:p>
        </w:tc>
        <w:tc>
          <w:tcPr>
            <w:tcW w:w="2129" w:type="dxa"/>
            <w:vAlign w:val="center"/>
          </w:tcPr>
          <w:p w14:paraId="1190A374">
            <w:pPr>
              <w:overflowPunct w:val="0"/>
              <w:topLinePunct/>
              <w:snapToGrid w:val="0"/>
              <w:spacing w:line="400" w:lineRule="exact"/>
              <w:jc w:val="center"/>
              <w:rPr>
                <w:rFonts w:eastAsia="仿宋_GB2312"/>
                <w:b w:val="0"/>
                <w:bCs w:val="0"/>
                <w:color w:val="auto"/>
                <w:sz w:val="28"/>
                <w:szCs w:val="28"/>
                <w:highlight w:val="none"/>
              </w:rPr>
            </w:pPr>
            <w:r>
              <w:rPr>
                <w:rFonts w:ascii="Times New Roman" w:hAnsi="Times New Roman" w:eastAsia="仿宋"/>
                <w:b w:val="0"/>
                <w:bCs w:val="0"/>
                <w:color w:val="auto"/>
                <w:sz w:val="28"/>
                <w:szCs w:val="28"/>
                <w:highlight w:val="none"/>
              </w:rPr>
              <w:t>GB 5009.</w:t>
            </w:r>
            <w:r>
              <w:rPr>
                <w:rFonts w:hint="eastAsia" w:ascii="Times New Roman" w:hAnsi="Times New Roman" w:eastAsia="仿宋"/>
                <w:b w:val="0"/>
                <w:bCs w:val="0"/>
                <w:color w:val="auto"/>
                <w:sz w:val="28"/>
                <w:szCs w:val="28"/>
                <w:highlight w:val="none"/>
              </w:rPr>
              <w:t>35</w:t>
            </w:r>
            <w:r>
              <w:rPr>
                <w:b w:val="0"/>
                <w:bCs w:val="0"/>
                <w:color w:val="auto"/>
                <w:highlight w:val="none"/>
              </w:rPr>
              <w:commentReference w:id="1"/>
            </w:r>
          </w:p>
        </w:tc>
      </w:tr>
      <w:tr w14:paraId="19E5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exact"/>
          <w:jc w:val="center"/>
        </w:trPr>
        <w:tc>
          <w:tcPr>
            <w:tcW w:w="9012" w:type="dxa"/>
            <w:gridSpan w:val="4"/>
            <w:vAlign w:val="center"/>
          </w:tcPr>
          <w:p w14:paraId="3FCE90B3">
            <w:pPr>
              <w:overflowPunct w:val="0"/>
              <w:topLinePunct/>
              <w:spacing w:line="240" w:lineRule="exact"/>
              <w:jc w:val="left"/>
              <w:rPr>
                <w:rFonts w:hint="default" w:ascii="Times New Roman" w:hAnsi="Times New Roman" w:eastAsia="宋体"/>
                <w:b w:val="0"/>
                <w:bCs w:val="0"/>
                <w:color w:val="auto"/>
                <w:highlight w:val="none"/>
                <w:lang w:val="en-US" w:eastAsia="zh-CN"/>
              </w:rPr>
            </w:pPr>
            <w:r>
              <w:rPr>
                <w:rFonts w:hint="eastAsia" w:ascii="Times New Roman" w:hAnsi="Times New Roman" w:eastAsia="仿宋_GB2312"/>
                <w:b w:val="0"/>
                <w:bCs w:val="0"/>
                <w:color w:val="auto"/>
                <w:highlight w:val="none"/>
              </w:rPr>
              <w:t>注：</w:t>
            </w:r>
            <w:r>
              <w:rPr>
                <w:rFonts w:hint="eastAsia" w:ascii="Times New Roman" w:hAnsi="Times New Roman" w:eastAsia="仿宋_GB2312"/>
                <w:b w:val="0"/>
                <w:bCs w:val="0"/>
                <w:color w:val="auto"/>
                <w:highlight w:val="none"/>
                <w:lang w:val="en-US" w:eastAsia="zh-CN"/>
              </w:rPr>
              <w:t>*：1.</w:t>
            </w:r>
            <w:r>
              <w:rPr>
                <w:rFonts w:hint="eastAsia" w:ascii="方正仿宋_GB2312" w:hAnsi="方正仿宋_GB2312" w:eastAsia="方正仿宋_GB2312" w:cs="方正仿宋_GB2312"/>
                <w:b w:val="0"/>
                <w:bCs w:val="0"/>
                <w:color w:val="auto"/>
                <w:sz w:val="21"/>
                <w:szCs w:val="21"/>
                <w:highlight w:val="none"/>
              </w:rPr>
              <w:t>视产品具体色泽而定</w:t>
            </w:r>
            <w:r>
              <w:rPr>
                <w:rFonts w:hint="eastAsia" w:ascii="方正仿宋_GB2312" w:hAnsi="方正仿宋_GB2312" w:eastAsia="方正仿宋_GB2312" w:cs="方正仿宋_GB2312"/>
                <w:b w:val="0"/>
                <w:bCs w:val="0"/>
                <w:color w:val="auto"/>
                <w:sz w:val="21"/>
                <w:szCs w:val="21"/>
                <w:highlight w:val="none"/>
                <w:lang w:eastAsia="zh-CN"/>
              </w:rPr>
              <w:t>；</w:t>
            </w:r>
            <w:r>
              <w:rPr>
                <w:rFonts w:hint="eastAsia" w:ascii="方正仿宋_GB2312" w:hAnsi="方正仿宋_GB2312" w:eastAsia="方正仿宋_GB2312" w:cs="方正仿宋_GB2312"/>
                <w:b w:val="0"/>
                <w:bCs w:val="0"/>
                <w:color w:val="auto"/>
                <w:sz w:val="21"/>
                <w:szCs w:val="21"/>
                <w:highlight w:val="none"/>
                <w:lang w:val="en-US" w:eastAsia="zh-CN"/>
              </w:rPr>
              <w:t>2.</w:t>
            </w:r>
            <w:r>
              <w:rPr>
                <w:rFonts w:hint="eastAsia" w:ascii="方正仿宋_GB2312" w:hAnsi="方正仿宋_GB2312" w:eastAsia="方正仿宋_GB2312" w:cs="方正仿宋_GB2312"/>
                <w:b w:val="0"/>
                <w:bCs w:val="0"/>
                <w:color w:val="auto"/>
                <w:sz w:val="21"/>
                <w:szCs w:val="21"/>
                <w:highlight w:val="none"/>
              </w:rPr>
              <w:t>GB 5009.35</w:t>
            </w:r>
            <w:r>
              <w:rPr>
                <w:rFonts w:hint="eastAsia" w:ascii="方正仿宋_GB2312" w:hAnsi="方正仿宋_GB2312" w:eastAsia="方正仿宋_GB2312" w:cs="方正仿宋_GB2312"/>
                <w:b w:val="0"/>
                <w:bCs w:val="0"/>
                <w:color w:val="auto"/>
                <w:sz w:val="21"/>
                <w:szCs w:val="21"/>
                <w:highlight w:val="none"/>
              </w:rPr>
              <w:commentReference w:id="2"/>
            </w:r>
            <w:r>
              <w:rPr>
                <w:rFonts w:hint="eastAsia" w:ascii="方正仿宋_GB2312" w:hAnsi="方正仿宋_GB2312" w:eastAsia="方正仿宋_GB2312" w:cs="方正仿宋_GB2312"/>
                <w:b w:val="0"/>
                <w:bCs w:val="0"/>
                <w:color w:val="auto"/>
                <w:sz w:val="21"/>
                <w:szCs w:val="21"/>
                <w:highlight w:val="none"/>
                <w:lang w:val="en-US" w:eastAsia="zh-CN"/>
              </w:rPr>
              <w:t>更新后视情再执行。</w:t>
            </w:r>
          </w:p>
        </w:tc>
      </w:tr>
    </w:tbl>
    <w:p w14:paraId="2F16F2F8">
      <w:pPr>
        <w:overflowPunct w:val="0"/>
        <w:topLinePunct/>
        <w:snapToGrid w:val="0"/>
        <w:spacing w:line="400" w:lineRule="exact"/>
        <w:jc w:val="center"/>
        <w:rPr>
          <w:rFonts w:ascii="Times New Roman" w:hAnsi="Times New Roman" w:eastAsia="仿宋_GB2312"/>
          <w:b w:val="0"/>
          <w:bCs w:val="0"/>
          <w:color w:val="auto"/>
          <w:sz w:val="28"/>
          <w:szCs w:val="28"/>
          <w:highlight w:val="none"/>
        </w:rPr>
      </w:pPr>
    </w:p>
    <w:p w14:paraId="2FA61EF1">
      <w:pPr>
        <w:widowControl/>
        <w:spacing w:before="156" w:beforeLines="50" w:after="156" w:afterLines="50" w:line="36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表4-3 其他熟制面制品(自制)</w:t>
      </w:r>
      <w:r>
        <w:rPr>
          <w:rFonts w:ascii="Times New Roman" w:hAnsi="Times New Roman" w:eastAsia="黑体"/>
          <w:b w:val="0"/>
          <w:bCs w:val="0"/>
          <w:color w:val="auto"/>
          <w:sz w:val="28"/>
          <w:szCs w:val="28"/>
          <w:highlight w:val="none"/>
        </w:rPr>
        <w:t xml:space="preserve"> </w:t>
      </w:r>
      <w:r>
        <w:rPr>
          <w:rFonts w:hint="eastAsia" w:ascii="Times New Roman" w:hAnsi="Times New Roman" w:eastAsia="黑体"/>
          <w:b w:val="0"/>
          <w:bCs w:val="0"/>
          <w:color w:val="auto"/>
          <w:sz w:val="28"/>
          <w:szCs w:val="28"/>
          <w:highlight w:val="none"/>
        </w:rPr>
        <w:t>检验项目及检测方法</w:t>
      </w:r>
    </w:p>
    <w:tbl>
      <w:tblPr>
        <w:tblStyle w:val="2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480"/>
        <w:gridCol w:w="3534"/>
        <w:gridCol w:w="2205"/>
      </w:tblGrid>
      <w:tr w14:paraId="0B1B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tblHeader/>
          <w:jc w:val="center"/>
        </w:trPr>
        <w:tc>
          <w:tcPr>
            <w:tcW w:w="820" w:type="dxa"/>
            <w:vAlign w:val="center"/>
          </w:tcPr>
          <w:p w14:paraId="4560EFA3">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序号</w:t>
            </w:r>
          </w:p>
        </w:tc>
        <w:tc>
          <w:tcPr>
            <w:tcW w:w="2480" w:type="dxa"/>
            <w:vAlign w:val="center"/>
          </w:tcPr>
          <w:p w14:paraId="2B6B509C">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检验项目</w:t>
            </w:r>
          </w:p>
        </w:tc>
        <w:tc>
          <w:tcPr>
            <w:tcW w:w="3534" w:type="dxa"/>
            <w:vAlign w:val="center"/>
          </w:tcPr>
          <w:p w14:paraId="0FB124C3">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依据法律法规或标准</w:t>
            </w:r>
          </w:p>
        </w:tc>
        <w:tc>
          <w:tcPr>
            <w:tcW w:w="2205" w:type="dxa"/>
            <w:vAlign w:val="center"/>
          </w:tcPr>
          <w:p w14:paraId="16B64B5A">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检测方法</w:t>
            </w:r>
          </w:p>
        </w:tc>
      </w:tr>
      <w:tr w14:paraId="7B4C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exact"/>
          <w:jc w:val="center"/>
        </w:trPr>
        <w:tc>
          <w:tcPr>
            <w:tcW w:w="820" w:type="dxa"/>
            <w:vAlign w:val="center"/>
          </w:tcPr>
          <w:p w14:paraId="30F8E2E6">
            <w:pPr>
              <w:overflowPunct w:val="0"/>
              <w:topLinePunct/>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1</w:t>
            </w:r>
          </w:p>
        </w:tc>
        <w:tc>
          <w:tcPr>
            <w:tcW w:w="2480" w:type="dxa"/>
            <w:vAlign w:val="center"/>
          </w:tcPr>
          <w:p w14:paraId="0D9262C3">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苯甲酸及其钠盐（以苯甲酸计）</w:t>
            </w:r>
          </w:p>
        </w:tc>
        <w:tc>
          <w:tcPr>
            <w:tcW w:w="3534" w:type="dxa"/>
            <w:vAlign w:val="center"/>
          </w:tcPr>
          <w:p w14:paraId="3127F5D3">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2760</w:t>
            </w:r>
          </w:p>
        </w:tc>
        <w:tc>
          <w:tcPr>
            <w:tcW w:w="2205" w:type="dxa"/>
            <w:vAlign w:val="center"/>
          </w:tcPr>
          <w:p w14:paraId="3383CAE2">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5009.28</w:t>
            </w:r>
          </w:p>
        </w:tc>
      </w:tr>
      <w:tr w14:paraId="5EFC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exact"/>
          <w:jc w:val="center"/>
        </w:trPr>
        <w:tc>
          <w:tcPr>
            <w:tcW w:w="820" w:type="dxa"/>
            <w:vAlign w:val="center"/>
          </w:tcPr>
          <w:p w14:paraId="01320888">
            <w:pPr>
              <w:overflowPunct w:val="0"/>
              <w:topLinePunct/>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2</w:t>
            </w:r>
          </w:p>
        </w:tc>
        <w:tc>
          <w:tcPr>
            <w:tcW w:w="2480" w:type="dxa"/>
            <w:vAlign w:val="center"/>
          </w:tcPr>
          <w:p w14:paraId="0037BFC0">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山梨酸及其钾盐（以山梨酸计）</w:t>
            </w:r>
          </w:p>
        </w:tc>
        <w:tc>
          <w:tcPr>
            <w:tcW w:w="3534" w:type="dxa"/>
            <w:vAlign w:val="center"/>
          </w:tcPr>
          <w:p w14:paraId="5891E15C">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2760</w:t>
            </w:r>
          </w:p>
        </w:tc>
        <w:tc>
          <w:tcPr>
            <w:tcW w:w="2205" w:type="dxa"/>
            <w:vAlign w:val="center"/>
          </w:tcPr>
          <w:p w14:paraId="603911B0">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5009.28</w:t>
            </w:r>
          </w:p>
        </w:tc>
      </w:tr>
      <w:tr w14:paraId="69B9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820" w:type="dxa"/>
            <w:vAlign w:val="center"/>
          </w:tcPr>
          <w:p w14:paraId="17FCA1DF">
            <w:pPr>
              <w:overflowPunct w:val="0"/>
              <w:topLinePunct/>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3</w:t>
            </w:r>
          </w:p>
        </w:tc>
        <w:tc>
          <w:tcPr>
            <w:tcW w:w="2480" w:type="dxa"/>
            <w:vAlign w:val="center"/>
          </w:tcPr>
          <w:p w14:paraId="2579DC19">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糖精钠（以糖精计）</w:t>
            </w:r>
          </w:p>
        </w:tc>
        <w:tc>
          <w:tcPr>
            <w:tcW w:w="3534" w:type="dxa"/>
            <w:vAlign w:val="center"/>
          </w:tcPr>
          <w:p w14:paraId="37367421">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2760</w:t>
            </w:r>
          </w:p>
        </w:tc>
        <w:tc>
          <w:tcPr>
            <w:tcW w:w="2205" w:type="dxa"/>
            <w:vAlign w:val="center"/>
          </w:tcPr>
          <w:p w14:paraId="6403D5E6">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5009.28</w:t>
            </w:r>
          </w:p>
        </w:tc>
      </w:tr>
      <w:tr w14:paraId="50CC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exact"/>
          <w:jc w:val="center"/>
        </w:trPr>
        <w:tc>
          <w:tcPr>
            <w:tcW w:w="820" w:type="dxa"/>
            <w:vAlign w:val="center"/>
          </w:tcPr>
          <w:p w14:paraId="6AA0B5FE">
            <w:pPr>
              <w:overflowPunct w:val="0"/>
              <w:topLinePunct/>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4</w:t>
            </w:r>
          </w:p>
        </w:tc>
        <w:tc>
          <w:tcPr>
            <w:tcW w:w="2480" w:type="dxa"/>
            <w:vAlign w:val="center"/>
          </w:tcPr>
          <w:p w14:paraId="2C3AE9C7">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脱氢乙酸及其钠盐（以脱氢乙酸计）</w:t>
            </w:r>
          </w:p>
        </w:tc>
        <w:tc>
          <w:tcPr>
            <w:tcW w:w="3534" w:type="dxa"/>
            <w:vAlign w:val="center"/>
          </w:tcPr>
          <w:p w14:paraId="5A2B94C4">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2760</w:t>
            </w:r>
          </w:p>
        </w:tc>
        <w:tc>
          <w:tcPr>
            <w:tcW w:w="2205" w:type="dxa"/>
            <w:vAlign w:val="center"/>
          </w:tcPr>
          <w:p w14:paraId="37E7D965">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5009.121</w:t>
            </w:r>
          </w:p>
        </w:tc>
      </w:tr>
      <w:tr w14:paraId="4B7F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jc w:val="center"/>
        </w:trPr>
        <w:tc>
          <w:tcPr>
            <w:tcW w:w="820" w:type="dxa"/>
            <w:vAlign w:val="center"/>
          </w:tcPr>
          <w:p w14:paraId="452BAC6B">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5</w:t>
            </w:r>
          </w:p>
        </w:tc>
        <w:tc>
          <w:tcPr>
            <w:tcW w:w="2480" w:type="dxa"/>
            <w:vAlign w:val="center"/>
          </w:tcPr>
          <w:p w14:paraId="24B37FD2">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lang w:val="en-US" w:eastAsia="zh-CN"/>
              </w:rPr>
              <w:t>*</w:t>
            </w:r>
            <w:r>
              <w:rPr>
                <w:rFonts w:hint="eastAsia" w:ascii="Times New Roman" w:hAnsi="Times New Roman" w:eastAsia="仿宋_GB2312"/>
                <w:b w:val="0"/>
                <w:bCs w:val="0"/>
                <w:color w:val="auto"/>
                <w:sz w:val="28"/>
                <w:szCs w:val="28"/>
                <w:highlight w:val="none"/>
              </w:rPr>
              <w:t>合成着色剂（柠檬黄、日落黄）</w:t>
            </w:r>
          </w:p>
        </w:tc>
        <w:tc>
          <w:tcPr>
            <w:tcW w:w="3534" w:type="dxa"/>
            <w:vAlign w:val="center"/>
          </w:tcPr>
          <w:p w14:paraId="098908E2">
            <w:pPr>
              <w:widowControl/>
              <w:spacing w:line="400" w:lineRule="exact"/>
              <w:jc w:val="center"/>
              <w:textAlignment w:val="center"/>
              <w:rPr>
                <w:rFonts w:ascii="Times New Roman" w:hAnsi="Times New Roman" w:eastAsia="仿宋_GB2312"/>
                <w:b w:val="0"/>
                <w:bCs w:val="0"/>
                <w:color w:val="auto"/>
                <w:sz w:val="28"/>
                <w:szCs w:val="28"/>
                <w:highlight w:val="none"/>
              </w:rPr>
            </w:pPr>
            <w:r>
              <w:rPr>
                <w:rFonts w:ascii="Times New Roman" w:hAnsi="Times New Roman" w:eastAsia="仿宋"/>
                <w:b w:val="0"/>
                <w:bCs w:val="0"/>
                <w:color w:val="auto"/>
                <w:kern w:val="0"/>
                <w:sz w:val="28"/>
                <w:szCs w:val="28"/>
                <w:highlight w:val="none"/>
              </w:rPr>
              <w:t>GB 276</w:t>
            </w:r>
            <w:r>
              <w:rPr>
                <w:rFonts w:hint="eastAsia" w:ascii="Times New Roman" w:hAnsi="Times New Roman" w:eastAsia="仿宋"/>
                <w:b w:val="0"/>
                <w:bCs w:val="0"/>
                <w:color w:val="auto"/>
                <w:kern w:val="0"/>
                <w:sz w:val="28"/>
                <w:szCs w:val="28"/>
                <w:highlight w:val="none"/>
              </w:rPr>
              <w:t>0</w:t>
            </w:r>
          </w:p>
        </w:tc>
        <w:tc>
          <w:tcPr>
            <w:tcW w:w="2205" w:type="dxa"/>
            <w:vAlign w:val="center"/>
          </w:tcPr>
          <w:p w14:paraId="1EAE4E52">
            <w:pPr>
              <w:overflowPunct w:val="0"/>
              <w:topLinePunct/>
              <w:snapToGrid w:val="0"/>
              <w:spacing w:line="400" w:lineRule="exact"/>
              <w:jc w:val="center"/>
              <w:rPr>
                <w:rFonts w:ascii="Times New Roman" w:hAnsi="Times New Roman" w:eastAsia="仿宋_GB2312"/>
                <w:b w:val="0"/>
                <w:bCs w:val="0"/>
                <w:color w:val="auto"/>
                <w:sz w:val="28"/>
                <w:szCs w:val="28"/>
                <w:highlight w:val="none"/>
              </w:rPr>
            </w:pPr>
            <w:r>
              <w:rPr>
                <w:rFonts w:ascii="Times New Roman" w:hAnsi="Times New Roman" w:eastAsia="仿宋"/>
                <w:b w:val="0"/>
                <w:bCs w:val="0"/>
                <w:color w:val="auto"/>
                <w:sz w:val="28"/>
                <w:szCs w:val="28"/>
                <w:highlight w:val="none"/>
              </w:rPr>
              <w:t>GB 5009.</w:t>
            </w:r>
            <w:r>
              <w:rPr>
                <w:rFonts w:hint="eastAsia" w:ascii="Times New Roman" w:hAnsi="Times New Roman" w:eastAsia="仿宋"/>
                <w:b w:val="0"/>
                <w:bCs w:val="0"/>
                <w:color w:val="auto"/>
                <w:sz w:val="28"/>
                <w:szCs w:val="28"/>
                <w:highlight w:val="none"/>
              </w:rPr>
              <w:t>35</w:t>
            </w:r>
            <w:r>
              <w:rPr>
                <w:b w:val="0"/>
                <w:bCs w:val="0"/>
                <w:color w:val="auto"/>
                <w:highlight w:val="none"/>
              </w:rPr>
              <w:commentReference w:id="3"/>
            </w:r>
          </w:p>
        </w:tc>
      </w:tr>
      <w:tr w14:paraId="2D44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jc w:val="center"/>
        </w:trPr>
        <w:tc>
          <w:tcPr>
            <w:tcW w:w="9039" w:type="dxa"/>
            <w:gridSpan w:val="4"/>
            <w:vAlign w:val="center"/>
          </w:tcPr>
          <w:p w14:paraId="615994E3">
            <w:pPr>
              <w:overflowPunct w:val="0"/>
              <w:topLinePunct/>
              <w:snapToGrid w:val="0"/>
              <w:spacing w:line="400" w:lineRule="exact"/>
              <w:jc w:val="left"/>
              <w:rPr>
                <w:rFonts w:ascii="Times New Roman" w:hAnsi="Times New Roman" w:eastAsia="仿宋"/>
                <w:b w:val="0"/>
                <w:bCs w:val="0"/>
                <w:color w:val="auto"/>
                <w:sz w:val="28"/>
                <w:szCs w:val="28"/>
                <w:highlight w:val="none"/>
              </w:rPr>
            </w:pPr>
            <w:r>
              <w:rPr>
                <w:rFonts w:hint="eastAsia" w:ascii="Times New Roman" w:hAnsi="Times New Roman" w:eastAsia="仿宋_GB2312"/>
                <w:b w:val="0"/>
                <w:bCs w:val="0"/>
                <w:color w:val="auto"/>
                <w:highlight w:val="none"/>
              </w:rPr>
              <w:t>注：</w:t>
            </w:r>
            <w:r>
              <w:rPr>
                <w:rFonts w:hint="eastAsia" w:ascii="Times New Roman" w:hAnsi="Times New Roman" w:eastAsia="仿宋_GB2312"/>
                <w:b w:val="0"/>
                <w:bCs w:val="0"/>
                <w:color w:val="auto"/>
                <w:highlight w:val="none"/>
                <w:lang w:val="en-US" w:eastAsia="zh-CN"/>
              </w:rPr>
              <w:t>*：1.</w:t>
            </w:r>
            <w:r>
              <w:rPr>
                <w:rFonts w:hint="eastAsia" w:ascii="方正仿宋_GB2312" w:hAnsi="方正仿宋_GB2312" w:eastAsia="方正仿宋_GB2312" w:cs="方正仿宋_GB2312"/>
                <w:b w:val="0"/>
                <w:bCs w:val="0"/>
                <w:color w:val="auto"/>
                <w:sz w:val="21"/>
                <w:szCs w:val="21"/>
                <w:highlight w:val="none"/>
              </w:rPr>
              <w:t>视产品具体色泽而定</w:t>
            </w:r>
            <w:r>
              <w:rPr>
                <w:rFonts w:hint="eastAsia" w:ascii="方正仿宋_GB2312" w:hAnsi="方正仿宋_GB2312" w:eastAsia="方正仿宋_GB2312" w:cs="方正仿宋_GB2312"/>
                <w:b w:val="0"/>
                <w:bCs w:val="0"/>
                <w:color w:val="auto"/>
                <w:sz w:val="21"/>
                <w:szCs w:val="21"/>
                <w:highlight w:val="none"/>
                <w:lang w:eastAsia="zh-CN"/>
              </w:rPr>
              <w:t>；</w:t>
            </w:r>
            <w:r>
              <w:rPr>
                <w:rFonts w:hint="eastAsia" w:ascii="方正仿宋_GB2312" w:hAnsi="方正仿宋_GB2312" w:eastAsia="方正仿宋_GB2312" w:cs="方正仿宋_GB2312"/>
                <w:b w:val="0"/>
                <w:bCs w:val="0"/>
                <w:color w:val="auto"/>
                <w:sz w:val="21"/>
                <w:szCs w:val="21"/>
                <w:highlight w:val="none"/>
                <w:lang w:val="en-US" w:eastAsia="zh-CN"/>
              </w:rPr>
              <w:t>2.</w:t>
            </w:r>
            <w:r>
              <w:rPr>
                <w:rFonts w:hint="eastAsia" w:ascii="方正仿宋_GB2312" w:hAnsi="方正仿宋_GB2312" w:eastAsia="方正仿宋_GB2312" w:cs="方正仿宋_GB2312"/>
                <w:b w:val="0"/>
                <w:bCs w:val="0"/>
                <w:color w:val="auto"/>
                <w:sz w:val="21"/>
                <w:szCs w:val="21"/>
                <w:highlight w:val="none"/>
              </w:rPr>
              <w:t>GB 5009.35</w:t>
            </w:r>
            <w:r>
              <w:rPr>
                <w:rFonts w:hint="eastAsia" w:ascii="方正仿宋_GB2312" w:hAnsi="方正仿宋_GB2312" w:eastAsia="方正仿宋_GB2312" w:cs="方正仿宋_GB2312"/>
                <w:b w:val="0"/>
                <w:bCs w:val="0"/>
                <w:color w:val="auto"/>
                <w:sz w:val="21"/>
                <w:szCs w:val="21"/>
                <w:highlight w:val="none"/>
              </w:rPr>
              <w:commentReference w:id="4"/>
            </w:r>
            <w:r>
              <w:rPr>
                <w:rFonts w:hint="eastAsia" w:ascii="方正仿宋_GB2312" w:hAnsi="方正仿宋_GB2312" w:eastAsia="方正仿宋_GB2312" w:cs="方正仿宋_GB2312"/>
                <w:b w:val="0"/>
                <w:bCs w:val="0"/>
                <w:color w:val="auto"/>
                <w:sz w:val="21"/>
                <w:szCs w:val="21"/>
                <w:highlight w:val="none"/>
                <w:lang w:val="en-US" w:eastAsia="zh-CN"/>
              </w:rPr>
              <w:t>更新后视情再执行。</w:t>
            </w:r>
          </w:p>
        </w:tc>
      </w:tr>
    </w:tbl>
    <w:p w14:paraId="15DFA04A">
      <w:pPr>
        <w:widowControl/>
        <w:spacing w:before="156" w:beforeLines="50" w:after="156" w:afterLines="50" w:line="36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 xml:space="preserve">   </w:t>
      </w:r>
    </w:p>
    <w:p w14:paraId="2362CC76">
      <w:pPr>
        <w:widowControl/>
        <w:spacing w:before="156" w:beforeLines="50" w:after="156" w:afterLines="50" w:line="36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表4-4 其他油炸面制品(自制)检验项目及检测方法</w:t>
      </w:r>
    </w:p>
    <w:tbl>
      <w:tblPr>
        <w:tblStyle w:val="27"/>
        <w:tblW w:w="9027"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482"/>
        <w:gridCol w:w="3573"/>
        <w:gridCol w:w="2154"/>
      </w:tblGrid>
      <w:tr w14:paraId="319B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blHeader/>
        </w:trPr>
        <w:tc>
          <w:tcPr>
            <w:tcW w:w="818" w:type="dxa"/>
            <w:vAlign w:val="center"/>
          </w:tcPr>
          <w:p w14:paraId="26BB07BB">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序号</w:t>
            </w:r>
          </w:p>
        </w:tc>
        <w:tc>
          <w:tcPr>
            <w:tcW w:w="2482" w:type="dxa"/>
            <w:vAlign w:val="center"/>
          </w:tcPr>
          <w:p w14:paraId="42C09611">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检验项目</w:t>
            </w:r>
          </w:p>
        </w:tc>
        <w:tc>
          <w:tcPr>
            <w:tcW w:w="3573" w:type="dxa"/>
            <w:vAlign w:val="center"/>
          </w:tcPr>
          <w:p w14:paraId="538CC01C">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依据法律法规或标准</w:t>
            </w:r>
          </w:p>
        </w:tc>
        <w:tc>
          <w:tcPr>
            <w:tcW w:w="2154" w:type="dxa"/>
            <w:vAlign w:val="center"/>
          </w:tcPr>
          <w:p w14:paraId="748CB96C">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检测方法</w:t>
            </w:r>
          </w:p>
        </w:tc>
      </w:tr>
      <w:tr w14:paraId="321A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818" w:type="dxa"/>
            <w:vAlign w:val="center"/>
          </w:tcPr>
          <w:p w14:paraId="580931F6">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1</w:t>
            </w:r>
          </w:p>
        </w:tc>
        <w:tc>
          <w:tcPr>
            <w:tcW w:w="2482" w:type="dxa"/>
            <w:vAlign w:val="center"/>
          </w:tcPr>
          <w:p w14:paraId="03605DCC">
            <w:pPr>
              <w:overflowPunct w:val="0"/>
              <w:topLinePunct/>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铝的残留量（干样品，以Al计）</w:t>
            </w:r>
          </w:p>
        </w:tc>
        <w:tc>
          <w:tcPr>
            <w:tcW w:w="3573" w:type="dxa"/>
            <w:vAlign w:val="center"/>
          </w:tcPr>
          <w:p w14:paraId="2C404081">
            <w:pPr>
              <w:widowControl/>
              <w:spacing w:line="400" w:lineRule="exact"/>
              <w:jc w:val="center"/>
              <w:textAlignment w:val="center"/>
              <w:rPr>
                <w:rFonts w:ascii="Times New Roman" w:hAnsi="Times New Roman" w:eastAsia="仿宋_GB2312"/>
                <w:b w:val="0"/>
                <w:bCs w:val="0"/>
                <w:color w:val="auto"/>
                <w:sz w:val="28"/>
                <w:szCs w:val="28"/>
                <w:highlight w:val="none"/>
              </w:rPr>
            </w:pPr>
            <w:r>
              <w:rPr>
                <w:rFonts w:ascii="Times New Roman" w:hAnsi="Times New Roman" w:eastAsia="仿宋"/>
                <w:b w:val="0"/>
                <w:bCs w:val="0"/>
                <w:color w:val="auto"/>
                <w:kern w:val="0"/>
                <w:sz w:val="28"/>
                <w:szCs w:val="28"/>
                <w:highlight w:val="none"/>
              </w:rPr>
              <w:t>GB 276</w:t>
            </w:r>
            <w:r>
              <w:rPr>
                <w:rFonts w:hint="eastAsia" w:ascii="Times New Roman" w:hAnsi="Times New Roman" w:eastAsia="仿宋"/>
                <w:b w:val="0"/>
                <w:bCs w:val="0"/>
                <w:color w:val="auto"/>
                <w:kern w:val="0"/>
                <w:sz w:val="28"/>
                <w:szCs w:val="28"/>
                <w:highlight w:val="none"/>
              </w:rPr>
              <w:t>0</w:t>
            </w:r>
          </w:p>
        </w:tc>
        <w:tc>
          <w:tcPr>
            <w:tcW w:w="2154" w:type="dxa"/>
            <w:vAlign w:val="center"/>
          </w:tcPr>
          <w:p w14:paraId="44FBB1C7">
            <w:pPr>
              <w:overflowPunct w:val="0"/>
              <w:topLinePunct/>
              <w:snapToGrid w:val="0"/>
              <w:spacing w:line="400" w:lineRule="exact"/>
              <w:jc w:val="center"/>
              <w:rPr>
                <w:rFonts w:ascii="Times New Roman" w:hAnsi="Times New Roman" w:eastAsia="仿宋"/>
                <w:b w:val="0"/>
                <w:bCs w:val="0"/>
                <w:color w:val="auto"/>
                <w:sz w:val="28"/>
                <w:szCs w:val="28"/>
                <w:highlight w:val="none"/>
              </w:rPr>
            </w:pPr>
            <w:r>
              <w:rPr>
                <w:rFonts w:ascii="Times New Roman" w:hAnsi="Times New Roman" w:eastAsia="仿宋"/>
                <w:b w:val="0"/>
                <w:bCs w:val="0"/>
                <w:color w:val="auto"/>
                <w:sz w:val="28"/>
                <w:szCs w:val="28"/>
                <w:highlight w:val="none"/>
              </w:rPr>
              <w:t>GB 5009.</w:t>
            </w:r>
            <w:r>
              <w:rPr>
                <w:rFonts w:hint="eastAsia" w:ascii="Times New Roman" w:hAnsi="Times New Roman" w:eastAsia="仿宋"/>
                <w:b w:val="0"/>
                <w:bCs w:val="0"/>
                <w:color w:val="auto"/>
                <w:sz w:val="28"/>
                <w:szCs w:val="28"/>
                <w:highlight w:val="none"/>
              </w:rPr>
              <w:t>182</w:t>
            </w:r>
          </w:p>
        </w:tc>
      </w:tr>
      <w:tr w14:paraId="729C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trPr>
        <w:tc>
          <w:tcPr>
            <w:tcW w:w="9027" w:type="dxa"/>
            <w:gridSpan w:val="4"/>
            <w:vAlign w:val="center"/>
          </w:tcPr>
          <w:p w14:paraId="0A6FABDE">
            <w:pPr>
              <w:overflowPunct w:val="0"/>
              <w:topLinePunct/>
              <w:snapToGrid w:val="0"/>
              <w:spacing w:line="400" w:lineRule="exact"/>
              <w:jc w:val="center"/>
              <w:rPr>
                <w:rFonts w:ascii="Times New Roman" w:hAnsi="Times New Roman" w:eastAsia="仿宋"/>
                <w:b w:val="0"/>
                <w:bCs w:val="0"/>
                <w:color w:val="auto"/>
                <w:sz w:val="28"/>
                <w:szCs w:val="28"/>
                <w:highlight w:val="none"/>
              </w:rPr>
            </w:pPr>
            <w:r>
              <w:rPr>
                <w:rFonts w:hint="eastAsia" w:ascii="Times New Roman" w:hAnsi="Times New Roman" w:eastAsia="仿宋_GB2312"/>
                <w:b w:val="0"/>
                <w:bCs w:val="0"/>
                <w:color w:val="auto"/>
                <w:highlight w:val="none"/>
              </w:rPr>
              <w:t>注：可抽取麻叶、韭菜盒子（油炸）、馓子、甜甜圈、油炸小馒头、油炸发面饼、炸素丸子。</w:t>
            </w:r>
          </w:p>
        </w:tc>
      </w:tr>
    </w:tbl>
    <w:p w14:paraId="237E7F50">
      <w:pPr>
        <w:widowControl/>
        <w:spacing w:before="156" w:beforeLines="50" w:after="156" w:afterLines="50" w:line="360" w:lineRule="exact"/>
        <w:rPr>
          <w:rFonts w:ascii="Times New Roman" w:hAnsi="Times New Roman" w:eastAsia="黑体"/>
          <w:b w:val="0"/>
          <w:bCs w:val="0"/>
          <w:color w:val="auto"/>
          <w:sz w:val="28"/>
          <w:szCs w:val="28"/>
          <w:highlight w:val="none"/>
        </w:rPr>
      </w:pPr>
    </w:p>
    <w:p w14:paraId="4E325589">
      <w:pPr>
        <w:widowControl/>
        <w:spacing w:before="156" w:beforeLines="50" w:after="156" w:afterLines="50" w:line="36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表4-5 米饭(自制)检验项目及检测方法</w:t>
      </w:r>
    </w:p>
    <w:tbl>
      <w:tblPr>
        <w:tblStyle w:val="27"/>
        <w:tblW w:w="9000"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482"/>
        <w:gridCol w:w="3572"/>
        <w:gridCol w:w="2127"/>
      </w:tblGrid>
      <w:tr w14:paraId="0DE6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exact"/>
          <w:tblHeader/>
        </w:trPr>
        <w:tc>
          <w:tcPr>
            <w:tcW w:w="819" w:type="dxa"/>
            <w:vAlign w:val="center"/>
          </w:tcPr>
          <w:p w14:paraId="7A5DBB1E">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序号</w:t>
            </w:r>
          </w:p>
        </w:tc>
        <w:tc>
          <w:tcPr>
            <w:tcW w:w="2482" w:type="dxa"/>
            <w:vAlign w:val="center"/>
          </w:tcPr>
          <w:p w14:paraId="19DA8204">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检验项目</w:t>
            </w:r>
          </w:p>
        </w:tc>
        <w:tc>
          <w:tcPr>
            <w:tcW w:w="3572" w:type="dxa"/>
            <w:vAlign w:val="center"/>
          </w:tcPr>
          <w:p w14:paraId="7CE1B011">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依据法律法规或标准</w:t>
            </w:r>
          </w:p>
        </w:tc>
        <w:tc>
          <w:tcPr>
            <w:tcW w:w="2127" w:type="dxa"/>
            <w:vAlign w:val="center"/>
          </w:tcPr>
          <w:p w14:paraId="76D07195">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检测方法</w:t>
            </w:r>
          </w:p>
        </w:tc>
      </w:tr>
      <w:tr w14:paraId="423D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819" w:type="dxa"/>
            <w:vAlign w:val="center"/>
          </w:tcPr>
          <w:p w14:paraId="0D855A79">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1</w:t>
            </w:r>
          </w:p>
        </w:tc>
        <w:tc>
          <w:tcPr>
            <w:tcW w:w="2482" w:type="dxa"/>
            <w:vAlign w:val="center"/>
          </w:tcPr>
          <w:p w14:paraId="4B7889E0">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铅（以 Pb计）</w:t>
            </w:r>
          </w:p>
        </w:tc>
        <w:tc>
          <w:tcPr>
            <w:tcW w:w="3572" w:type="dxa"/>
            <w:vAlign w:val="center"/>
          </w:tcPr>
          <w:p w14:paraId="21F89EF2">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2762</w:t>
            </w:r>
          </w:p>
        </w:tc>
        <w:tc>
          <w:tcPr>
            <w:tcW w:w="2127" w:type="dxa"/>
            <w:vAlign w:val="center"/>
          </w:tcPr>
          <w:p w14:paraId="5963486A">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5009.12</w:t>
            </w:r>
          </w:p>
        </w:tc>
      </w:tr>
    </w:tbl>
    <w:p w14:paraId="0A233ADB">
      <w:pPr>
        <w:widowControl/>
        <w:spacing w:before="156" w:beforeLines="50" w:after="156" w:afterLines="50" w:line="360" w:lineRule="exact"/>
        <w:rPr>
          <w:rFonts w:ascii="Times New Roman" w:hAnsi="Times New Roman" w:eastAsia="黑体"/>
          <w:b w:val="0"/>
          <w:bCs w:val="0"/>
          <w:color w:val="auto"/>
          <w:sz w:val="28"/>
          <w:szCs w:val="28"/>
          <w:highlight w:val="none"/>
        </w:rPr>
      </w:pPr>
    </w:p>
    <w:p w14:paraId="18FFA887">
      <w:pPr>
        <w:widowControl/>
        <w:spacing w:before="156" w:beforeLines="50" w:after="156" w:afterLines="50" w:line="360" w:lineRule="exact"/>
        <w:jc w:val="center"/>
        <w:rPr>
          <w:rFonts w:ascii="Times New Roman" w:hAnsi="Times New Roman" w:eastAsia="黑体"/>
          <w:color w:val="auto"/>
          <w:sz w:val="28"/>
          <w:szCs w:val="28"/>
          <w:highlight w:val="none"/>
          <w:u w:val="none"/>
        </w:rPr>
      </w:pPr>
      <w:r>
        <w:rPr>
          <w:rFonts w:hint="eastAsia" w:ascii="Times New Roman" w:hAnsi="Times New Roman" w:eastAsia="黑体"/>
          <w:color w:val="auto"/>
          <w:sz w:val="28"/>
          <w:szCs w:val="28"/>
          <w:highlight w:val="none"/>
          <w:u w:val="none"/>
        </w:rPr>
        <w:t>表</w:t>
      </w:r>
      <w:r>
        <w:rPr>
          <w:rFonts w:hint="eastAsia" w:ascii="Times New Roman" w:hAnsi="Times New Roman" w:eastAsia="黑体"/>
          <w:color w:val="auto"/>
          <w:sz w:val="28"/>
          <w:szCs w:val="28"/>
          <w:highlight w:val="none"/>
          <w:u w:val="none"/>
          <w:lang w:val="en-US" w:eastAsia="zh-CN"/>
        </w:rPr>
        <w:t>4-6 糕点</w:t>
      </w:r>
      <w:r>
        <w:rPr>
          <w:rFonts w:hint="eastAsia" w:ascii="Times New Roman" w:hAnsi="Times New Roman" w:eastAsia="黑体"/>
          <w:color w:val="auto"/>
          <w:sz w:val="28"/>
          <w:szCs w:val="28"/>
          <w:highlight w:val="none"/>
          <w:u w:val="none"/>
        </w:rPr>
        <w:t>(自制)检验项目及检测方法</w:t>
      </w:r>
    </w:p>
    <w:tbl>
      <w:tblPr>
        <w:tblStyle w:val="27"/>
        <w:tblW w:w="9000"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482"/>
        <w:gridCol w:w="3572"/>
        <w:gridCol w:w="2127"/>
      </w:tblGrid>
      <w:tr w14:paraId="68B5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exact"/>
          <w:tblHeader/>
        </w:trPr>
        <w:tc>
          <w:tcPr>
            <w:tcW w:w="819" w:type="dxa"/>
            <w:noWrap w:val="0"/>
            <w:vAlign w:val="center"/>
          </w:tcPr>
          <w:p w14:paraId="756301F0">
            <w:pPr>
              <w:overflowPunct w:val="0"/>
              <w:topLinePunct/>
              <w:snapToGrid w:val="0"/>
              <w:spacing w:line="400" w:lineRule="exact"/>
              <w:jc w:val="center"/>
              <w:rPr>
                <w:rFonts w:ascii="Times New Roman" w:hAnsi="Times New Roman" w:eastAsia="黑体"/>
                <w:color w:val="auto"/>
                <w:sz w:val="28"/>
                <w:szCs w:val="28"/>
                <w:highlight w:val="none"/>
                <w:u w:val="none"/>
              </w:rPr>
            </w:pPr>
            <w:r>
              <w:rPr>
                <w:rFonts w:hint="eastAsia" w:ascii="Times New Roman" w:hAnsi="Times New Roman" w:eastAsia="黑体"/>
                <w:color w:val="auto"/>
                <w:sz w:val="28"/>
                <w:szCs w:val="28"/>
                <w:highlight w:val="none"/>
                <w:u w:val="none"/>
              </w:rPr>
              <w:t>序号</w:t>
            </w:r>
          </w:p>
        </w:tc>
        <w:tc>
          <w:tcPr>
            <w:tcW w:w="2482" w:type="dxa"/>
            <w:noWrap w:val="0"/>
            <w:vAlign w:val="center"/>
          </w:tcPr>
          <w:p w14:paraId="649A2AA1">
            <w:pPr>
              <w:overflowPunct w:val="0"/>
              <w:topLinePunct/>
              <w:snapToGrid w:val="0"/>
              <w:spacing w:line="400" w:lineRule="exact"/>
              <w:jc w:val="center"/>
              <w:rPr>
                <w:rFonts w:ascii="Times New Roman" w:hAnsi="Times New Roman" w:eastAsia="黑体"/>
                <w:color w:val="auto"/>
                <w:sz w:val="28"/>
                <w:szCs w:val="28"/>
                <w:highlight w:val="none"/>
                <w:u w:val="none"/>
              </w:rPr>
            </w:pPr>
            <w:r>
              <w:rPr>
                <w:rFonts w:hint="eastAsia" w:ascii="Times New Roman" w:hAnsi="Times New Roman" w:eastAsia="黑体"/>
                <w:color w:val="auto"/>
                <w:sz w:val="28"/>
                <w:szCs w:val="28"/>
                <w:highlight w:val="none"/>
                <w:u w:val="none"/>
              </w:rPr>
              <w:t>检验项目</w:t>
            </w:r>
          </w:p>
        </w:tc>
        <w:tc>
          <w:tcPr>
            <w:tcW w:w="3572" w:type="dxa"/>
            <w:noWrap w:val="0"/>
            <w:vAlign w:val="center"/>
          </w:tcPr>
          <w:p w14:paraId="6CCFA1BF">
            <w:pPr>
              <w:overflowPunct w:val="0"/>
              <w:topLinePunct/>
              <w:snapToGrid w:val="0"/>
              <w:spacing w:line="400" w:lineRule="exact"/>
              <w:jc w:val="center"/>
              <w:rPr>
                <w:rFonts w:ascii="Times New Roman" w:hAnsi="Times New Roman" w:eastAsia="黑体"/>
                <w:color w:val="auto"/>
                <w:sz w:val="28"/>
                <w:szCs w:val="28"/>
                <w:highlight w:val="none"/>
                <w:u w:val="none"/>
              </w:rPr>
            </w:pPr>
            <w:r>
              <w:rPr>
                <w:rFonts w:hint="eastAsia" w:ascii="Times New Roman" w:hAnsi="Times New Roman" w:eastAsia="黑体"/>
                <w:color w:val="auto"/>
                <w:sz w:val="28"/>
                <w:szCs w:val="28"/>
                <w:highlight w:val="none"/>
                <w:u w:val="none"/>
              </w:rPr>
              <w:t>依据法律法规或标准</w:t>
            </w:r>
          </w:p>
        </w:tc>
        <w:tc>
          <w:tcPr>
            <w:tcW w:w="2127" w:type="dxa"/>
            <w:noWrap w:val="0"/>
            <w:vAlign w:val="center"/>
          </w:tcPr>
          <w:p w14:paraId="24481D12">
            <w:pPr>
              <w:overflowPunct w:val="0"/>
              <w:topLinePunct/>
              <w:snapToGrid w:val="0"/>
              <w:spacing w:line="400" w:lineRule="exact"/>
              <w:jc w:val="center"/>
              <w:rPr>
                <w:rFonts w:ascii="Times New Roman" w:hAnsi="Times New Roman" w:eastAsia="黑体"/>
                <w:color w:val="auto"/>
                <w:sz w:val="28"/>
                <w:szCs w:val="28"/>
                <w:highlight w:val="none"/>
                <w:u w:val="none"/>
              </w:rPr>
            </w:pPr>
            <w:r>
              <w:rPr>
                <w:rFonts w:hint="eastAsia" w:ascii="Times New Roman" w:hAnsi="Times New Roman" w:eastAsia="黑体"/>
                <w:color w:val="auto"/>
                <w:sz w:val="28"/>
                <w:szCs w:val="28"/>
                <w:highlight w:val="none"/>
                <w:u w:val="none"/>
              </w:rPr>
              <w:t>检测方法</w:t>
            </w:r>
          </w:p>
        </w:tc>
      </w:tr>
      <w:tr w14:paraId="7FB2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819" w:type="dxa"/>
            <w:noWrap w:val="0"/>
            <w:vAlign w:val="center"/>
          </w:tcPr>
          <w:p w14:paraId="34CAE940">
            <w:pPr>
              <w:widowControl/>
              <w:snapToGrid w:val="0"/>
              <w:spacing w:line="360" w:lineRule="exact"/>
              <w:jc w:val="center"/>
              <w:rPr>
                <w:rFonts w:hint="default" w:ascii="Times New Roman" w:hAnsi="Times New Roman" w:eastAsia="仿宋_GB2312"/>
                <w:color w:val="auto"/>
                <w:sz w:val="28"/>
                <w:szCs w:val="28"/>
                <w:highlight w:val="none"/>
                <w:u w:val="none"/>
                <w:lang w:val="en-US" w:eastAsia="zh-CN"/>
              </w:rPr>
            </w:pPr>
            <w:r>
              <w:rPr>
                <w:rFonts w:hint="eastAsia" w:ascii="Times New Roman" w:hAnsi="Times New Roman" w:eastAsia="仿宋_GB2312"/>
                <w:color w:val="auto"/>
                <w:sz w:val="28"/>
                <w:szCs w:val="28"/>
                <w:highlight w:val="none"/>
                <w:u w:val="none"/>
                <w:lang w:val="en-US" w:eastAsia="zh-CN"/>
              </w:rPr>
              <w:t>1</w:t>
            </w:r>
          </w:p>
        </w:tc>
        <w:tc>
          <w:tcPr>
            <w:tcW w:w="2482" w:type="dxa"/>
            <w:noWrap w:val="0"/>
            <w:vAlign w:val="center"/>
          </w:tcPr>
          <w:p w14:paraId="45ABEA47">
            <w:pPr>
              <w:widowControl/>
              <w:snapToGrid w:val="0"/>
              <w:spacing w:line="360" w:lineRule="exact"/>
              <w:jc w:val="center"/>
              <w:rPr>
                <w:rFonts w:hint="eastAsia"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lang w:eastAsia="zh-CN"/>
              </w:rPr>
              <w:t>丙酸及其钠盐、钙盐（以丙酸计）</w:t>
            </w:r>
          </w:p>
        </w:tc>
        <w:tc>
          <w:tcPr>
            <w:tcW w:w="3572" w:type="dxa"/>
            <w:noWrap w:val="0"/>
            <w:vAlign w:val="center"/>
          </w:tcPr>
          <w:p w14:paraId="6083AFA7">
            <w:pPr>
              <w:widowControl/>
              <w:snapToGrid w:val="0"/>
              <w:spacing w:line="360" w:lineRule="exact"/>
              <w:jc w:val="center"/>
              <w:rPr>
                <w:rFonts w:hint="eastAsia"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GB</w:t>
            </w:r>
            <w:r>
              <w:rPr>
                <w:rFonts w:hint="eastAsia" w:ascii="Times New Roman" w:hAnsi="Times New Roman" w:eastAsia="仿宋_GB2312"/>
                <w:color w:val="auto"/>
                <w:sz w:val="28"/>
                <w:szCs w:val="28"/>
                <w:highlight w:val="none"/>
                <w:u w:val="none"/>
                <w:lang w:val="en-US" w:eastAsia="zh-CN"/>
              </w:rPr>
              <w:t xml:space="preserve"> </w:t>
            </w:r>
            <w:r>
              <w:rPr>
                <w:rFonts w:hint="eastAsia" w:ascii="Times New Roman" w:hAnsi="Times New Roman" w:eastAsia="仿宋_GB2312"/>
                <w:color w:val="auto"/>
                <w:sz w:val="28"/>
                <w:szCs w:val="28"/>
                <w:highlight w:val="none"/>
                <w:u w:val="none"/>
              </w:rPr>
              <w:t>276</w:t>
            </w:r>
            <w:r>
              <w:rPr>
                <w:rFonts w:hint="eastAsia" w:ascii="Times New Roman" w:hAnsi="Times New Roman" w:eastAsia="仿宋_GB2312"/>
                <w:color w:val="auto"/>
                <w:sz w:val="28"/>
                <w:szCs w:val="28"/>
                <w:highlight w:val="none"/>
                <w:u w:val="none"/>
                <w:lang w:val="en-US" w:eastAsia="zh-CN"/>
              </w:rPr>
              <w:t>0</w:t>
            </w:r>
          </w:p>
        </w:tc>
        <w:tc>
          <w:tcPr>
            <w:tcW w:w="2127" w:type="dxa"/>
            <w:noWrap w:val="0"/>
            <w:vAlign w:val="center"/>
          </w:tcPr>
          <w:p w14:paraId="11547D67">
            <w:pPr>
              <w:widowControl/>
              <w:snapToGrid w:val="0"/>
              <w:spacing w:line="360" w:lineRule="exact"/>
              <w:jc w:val="center"/>
              <w:rPr>
                <w:rFonts w:hint="eastAsia"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GB 5009.120</w:t>
            </w:r>
          </w:p>
        </w:tc>
      </w:tr>
    </w:tbl>
    <w:p w14:paraId="2C62F553">
      <w:pPr>
        <w:widowControl/>
        <w:spacing w:before="156" w:beforeLines="50" w:after="156" w:afterLines="50" w:line="360" w:lineRule="exact"/>
        <w:jc w:val="both"/>
        <w:rPr>
          <w:rFonts w:hint="eastAsia" w:ascii="Times New Roman" w:hAnsi="Times New Roman" w:eastAsia="黑体"/>
          <w:b w:val="0"/>
          <w:bCs w:val="0"/>
          <w:color w:val="auto"/>
          <w:sz w:val="28"/>
          <w:szCs w:val="28"/>
          <w:highlight w:val="none"/>
        </w:rPr>
      </w:pPr>
    </w:p>
    <w:p w14:paraId="619D926D">
      <w:pPr>
        <w:widowControl/>
        <w:spacing w:before="156" w:beforeLines="50" w:after="156" w:afterLines="50" w:line="36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表4-</w:t>
      </w:r>
      <w:r>
        <w:rPr>
          <w:rFonts w:hint="eastAsia" w:ascii="Times New Roman" w:hAnsi="Times New Roman" w:eastAsia="黑体"/>
          <w:b w:val="0"/>
          <w:bCs w:val="0"/>
          <w:color w:val="auto"/>
          <w:sz w:val="28"/>
          <w:szCs w:val="28"/>
          <w:highlight w:val="none"/>
          <w:lang w:val="en-US" w:eastAsia="zh-CN"/>
        </w:rPr>
        <w:t>7</w:t>
      </w:r>
      <w:r>
        <w:rPr>
          <w:rFonts w:hint="eastAsia" w:ascii="Times New Roman" w:hAnsi="Times New Roman" w:eastAsia="黑体"/>
          <w:b w:val="0"/>
          <w:bCs w:val="0"/>
          <w:color w:val="auto"/>
          <w:sz w:val="28"/>
          <w:szCs w:val="28"/>
          <w:highlight w:val="none"/>
        </w:rPr>
        <w:t>熏烧烤肉制品（餐饮）检验项目及检测方法</w:t>
      </w:r>
    </w:p>
    <w:tbl>
      <w:tblPr>
        <w:tblStyle w:val="27"/>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445"/>
        <w:gridCol w:w="3586"/>
        <w:gridCol w:w="2129"/>
      </w:tblGrid>
      <w:tr w14:paraId="25B6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exact"/>
          <w:tblHeader/>
          <w:jc w:val="center"/>
        </w:trPr>
        <w:tc>
          <w:tcPr>
            <w:tcW w:w="852" w:type="dxa"/>
            <w:vAlign w:val="center"/>
          </w:tcPr>
          <w:p w14:paraId="35302FD7">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序号</w:t>
            </w:r>
            <w:r>
              <w:rPr>
                <w:rFonts w:ascii="Times New Roman" w:hAnsi="Times New Roman" w:eastAsia="黑体"/>
                <w:b w:val="0"/>
                <w:bCs w:val="0"/>
                <w:color w:val="auto"/>
                <w:sz w:val="28"/>
                <w:szCs w:val="28"/>
                <w:highlight w:val="none"/>
              </w:rPr>
              <w:t xml:space="preserve">                                                                                                                                                                                                                                                                                                                                                                                                                                                                                                                                                                                                                                                                                                                                                                                                                                                                                                                                                 </w:t>
            </w:r>
          </w:p>
        </w:tc>
        <w:tc>
          <w:tcPr>
            <w:tcW w:w="2445" w:type="dxa"/>
            <w:vAlign w:val="center"/>
          </w:tcPr>
          <w:p w14:paraId="109E3615">
            <w:pPr>
              <w:overflowPunct w:val="0"/>
              <w:topLinePunct/>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检验项目</w:t>
            </w:r>
          </w:p>
        </w:tc>
        <w:tc>
          <w:tcPr>
            <w:tcW w:w="3586" w:type="dxa"/>
            <w:vAlign w:val="center"/>
          </w:tcPr>
          <w:p w14:paraId="421B2F88">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依据法律法规或标准</w:t>
            </w:r>
          </w:p>
        </w:tc>
        <w:tc>
          <w:tcPr>
            <w:tcW w:w="2129" w:type="dxa"/>
            <w:vAlign w:val="center"/>
          </w:tcPr>
          <w:p w14:paraId="746F6E7E">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检测方法</w:t>
            </w:r>
          </w:p>
        </w:tc>
      </w:tr>
      <w:tr w14:paraId="58DF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72562387">
            <w:pPr>
              <w:overflowPunct w:val="0"/>
              <w:topLinePunct/>
              <w:spacing w:line="40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1</w:t>
            </w:r>
          </w:p>
        </w:tc>
        <w:tc>
          <w:tcPr>
            <w:tcW w:w="2445" w:type="dxa"/>
            <w:vAlign w:val="center"/>
          </w:tcPr>
          <w:p w14:paraId="5B78A62E">
            <w:pPr>
              <w:overflowPunct w:val="0"/>
              <w:topLinePunct/>
              <w:snapToGrid w:val="0"/>
              <w:spacing w:line="40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苯并</w:t>
            </w:r>
            <w:r>
              <w:rPr>
                <w:rFonts w:ascii="Times New Roman" w:hAnsi="Times New Roman" w:eastAsia="仿宋_GB2312"/>
                <w:b w:val="0"/>
                <w:bCs w:val="0"/>
                <w:color w:val="auto"/>
                <w:sz w:val="28"/>
                <w:szCs w:val="28"/>
                <w:highlight w:val="none"/>
              </w:rPr>
              <w:t>[a]</w:t>
            </w:r>
            <w:r>
              <w:rPr>
                <w:rFonts w:hint="eastAsia" w:ascii="Times New Roman" w:hAnsi="Times New Roman" w:eastAsia="仿宋_GB2312"/>
                <w:b w:val="0"/>
                <w:bCs w:val="0"/>
                <w:color w:val="auto"/>
                <w:sz w:val="28"/>
                <w:szCs w:val="28"/>
                <w:highlight w:val="none"/>
              </w:rPr>
              <w:t>芘</w:t>
            </w:r>
          </w:p>
        </w:tc>
        <w:tc>
          <w:tcPr>
            <w:tcW w:w="3586" w:type="dxa"/>
            <w:vAlign w:val="center"/>
          </w:tcPr>
          <w:p w14:paraId="65D0598B">
            <w:pPr>
              <w:widowControl/>
              <w:spacing w:line="400" w:lineRule="exact"/>
              <w:jc w:val="center"/>
              <w:textAlignment w:val="center"/>
              <w:rPr>
                <w:rFonts w:ascii="Times New Roman" w:hAnsi="Times New Roman" w:eastAsia="仿宋"/>
                <w:b w:val="0"/>
                <w:bCs w:val="0"/>
                <w:color w:val="auto"/>
                <w:kern w:val="0"/>
                <w:sz w:val="28"/>
                <w:szCs w:val="28"/>
                <w:highlight w:val="none"/>
              </w:rPr>
            </w:pPr>
            <w:r>
              <w:rPr>
                <w:rFonts w:ascii="Times New Roman" w:hAnsi="Times New Roman" w:eastAsia="仿宋"/>
                <w:b w:val="0"/>
                <w:bCs w:val="0"/>
                <w:color w:val="auto"/>
                <w:kern w:val="0"/>
                <w:sz w:val="28"/>
                <w:szCs w:val="28"/>
                <w:highlight w:val="none"/>
              </w:rPr>
              <w:t>GB 2762</w:t>
            </w:r>
          </w:p>
        </w:tc>
        <w:tc>
          <w:tcPr>
            <w:tcW w:w="2129" w:type="dxa"/>
            <w:vAlign w:val="center"/>
          </w:tcPr>
          <w:p w14:paraId="5C27CFC9">
            <w:pPr>
              <w:pStyle w:val="48"/>
              <w:spacing w:line="400" w:lineRule="exact"/>
              <w:jc w:val="center"/>
              <w:rPr>
                <w:rFonts w:eastAsia="仿宋_GB2312" w:cs="Times New Roman"/>
                <w:b w:val="0"/>
                <w:bCs w:val="0"/>
                <w:color w:val="auto"/>
                <w:kern w:val="2"/>
                <w:sz w:val="28"/>
                <w:szCs w:val="28"/>
                <w:highlight w:val="none"/>
              </w:rPr>
            </w:pPr>
            <w:r>
              <w:rPr>
                <w:rFonts w:eastAsia="仿宋_GB2312" w:cs="Times New Roman"/>
                <w:b w:val="0"/>
                <w:bCs w:val="0"/>
                <w:color w:val="auto"/>
                <w:kern w:val="2"/>
                <w:sz w:val="28"/>
                <w:szCs w:val="28"/>
                <w:highlight w:val="none"/>
              </w:rPr>
              <w:t>GB 5009.27</w:t>
            </w:r>
          </w:p>
        </w:tc>
      </w:tr>
      <w:tr w14:paraId="67B5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exact"/>
          <w:jc w:val="center"/>
        </w:trPr>
        <w:tc>
          <w:tcPr>
            <w:tcW w:w="852" w:type="dxa"/>
            <w:vAlign w:val="center"/>
          </w:tcPr>
          <w:p w14:paraId="519B7B5E">
            <w:pPr>
              <w:overflowPunct w:val="0"/>
              <w:topLinePunct/>
              <w:spacing w:line="40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2</w:t>
            </w:r>
          </w:p>
        </w:tc>
        <w:tc>
          <w:tcPr>
            <w:tcW w:w="2445" w:type="dxa"/>
            <w:vAlign w:val="center"/>
          </w:tcPr>
          <w:p w14:paraId="6AACC1CB">
            <w:pPr>
              <w:overflowPunct w:val="0"/>
              <w:topLinePunct/>
              <w:snapToGrid w:val="0"/>
              <w:spacing w:line="40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铅（以</w:t>
            </w:r>
            <w:r>
              <w:rPr>
                <w:rFonts w:ascii="Times New Roman" w:hAnsi="Times New Roman" w:eastAsia="仿宋_GB2312"/>
                <w:b w:val="0"/>
                <w:bCs w:val="0"/>
                <w:color w:val="auto"/>
                <w:sz w:val="28"/>
                <w:szCs w:val="28"/>
                <w:highlight w:val="none"/>
              </w:rPr>
              <w:t>Pb</w:t>
            </w:r>
            <w:r>
              <w:rPr>
                <w:rFonts w:hint="eastAsia" w:ascii="Times New Roman" w:hAnsi="Times New Roman" w:eastAsia="仿宋_GB2312"/>
                <w:b w:val="0"/>
                <w:bCs w:val="0"/>
                <w:color w:val="auto"/>
                <w:sz w:val="28"/>
                <w:szCs w:val="28"/>
                <w:highlight w:val="none"/>
              </w:rPr>
              <w:t>计）</w:t>
            </w:r>
          </w:p>
        </w:tc>
        <w:tc>
          <w:tcPr>
            <w:tcW w:w="3586" w:type="dxa"/>
            <w:vAlign w:val="center"/>
          </w:tcPr>
          <w:p w14:paraId="5965AA64">
            <w:pPr>
              <w:widowControl/>
              <w:spacing w:line="400" w:lineRule="exact"/>
              <w:jc w:val="center"/>
              <w:textAlignment w:val="center"/>
              <w:rPr>
                <w:rFonts w:ascii="Times New Roman" w:hAnsi="Times New Roman" w:eastAsia="仿宋"/>
                <w:b w:val="0"/>
                <w:bCs w:val="0"/>
                <w:color w:val="auto"/>
                <w:sz w:val="28"/>
                <w:szCs w:val="28"/>
                <w:highlight w:val="none"/>
              </w:rPr>
            </w:pPr>
            <w:r>
              <w:rPr>
                <w:rFonts w:ascii="Times New Roman" w:hAnsi="Times New Roman" w:eastAsia="仿宋"/>
                <w:b w:val="0"/>
                <w:bCs w:val="0"/>
                <w:color w:val="auto"/>
                <w:kern w:val="0"/>
                <w:sz w:val="28"/>
                <w:szCs w:val="28"/>
                <w:highlight w:val="none"/>
              </w:rPr>
              <w:t>GB 2762</w:t>
            </w:r>
          </w:p>
        </w:tc>
        <w:tc>
          <w:tcPr>
            <w:tcW w:w="2129" w:type="dxa"/>
            <w:vAlign w:val="center"/>
          </w:tcPr>
          <w:p w14:paraId="28B5C699">
            <w:pPr>
              <w:overflowPunct w:val="0"/>
              <w:topLinePunct/>
              <w:snapToGrid w:val="0"/>
              <w:spacing w:line="400" w:lineRule="exact"/>
              <w:jc w:val="center"/>
              <w:rPr>
                <w:rFonts w:ascii="Times New Roman" w:hAnsi="Times New Roman" w:eastAsia="仿宋"/>
                <w:b w:val="0"/>
                <w:bCs w:val="0"/>
                <w:color w:val="auto"/>
                <w:sz w:val="28"/>
                <w:szCs w:val="28"/>
                <w:highlight w:val="none"/>
              </w:rPr>
            </w:pPr>
            <w:r>
              <w:rPr>
                <w:rFonts w:ascii="Times New Roman" w:hAnsi="Times New Roman" w:eastAsia="仿宋"/>
                <w:b w:val="0"/>
                <w:bCs w:val="0"/>
                <w:color w:val="auto"/>
                <w:sz w:val="28"/>
                <w:szCs w:val="28"/>
                <w:highlight w:val="none"/>
              </w:rPr>
              <w:t>GB 5009.12</w:t>
            </w:r>
          </w:p>
        </w:tc>
      </w:tr>
      <w:tr w14:paraId="6BFF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exact"/>
          <w:jc w:val="center"/>
        </w:trPr>
        <w:tc>
          <w:tcPr>
            <w:tcW w:w="852" w:type="dxa"/>
            <w:vAlign w:val="center"/>
          </w:tcPr>
          <w:p w14:paraId="639572FC">
            <w:pPr>
              <w:overflowPunct w:val="0"/>
              <w:topLinePunct/>
              <w:spacing w:line="40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3</w:t>
            </w:r>
          </w:p>
        </w:tc>
        <w:tc>
          <w:tcPr>
            <w:tcW w:w="2445" w:type="dxa"/>
            <w:vAlign w:val="center"/>
          </w:tcPr>
          <w:p w14:paraId="585DF5AC">
            <w:pPr>
              <w:overflowPunct w:val="0"/>
              <w:topLinePunct/>
              <w:snapToGrid w:val="0"/>
              <w:spacing w:line="40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铬（以Cr计）</w:t>
            </w:r>
          </w:p>
        </w:tc>
        <w:tc>
          <w:tcPr>
            <w:tcW w:w="3586" w:type="dxa"/>
            <w:vAlign w:val="center"/>
          </w:tcPr>
          <w:p w14:paraId="40135F1A">
            <w:pPr>
              <w:overflowPunct w:val="0"/>
              <w:topLinePunct/>
              <w:snapToGrid w:val="0"/>
              <w:spacing w:line="400" w:lineRule="exact"/>
              <w:jc w:val="center"/>
              <w:rPr>
                <w:rFonts w:ascii="Times New Roman" w:hAnsi="Times New Roman" w:eastAsia="仿宋_GB2312"/>
                <w:b w:val="0"/>
                <w:bCs w:val="0"/>
                <w:color w:val="auto"/>
                <w:sz w:val="28"/>
                <w:szCs w:val="28"/>
                <w:highlight w:val="none"/>
              </w:rPr>
            </w:pPr>
            <w:r>
              <w:rPr>
                <w:rFonts w:ascii="Times New Roman" w:hAnsi="Times New Roman" w:eastAsia="仿宋"/>
                <w:b w:val="0"/>
                <w:bCs w:val="0"/>
                <w:color w:val="auto"/>
                <w:kern w:val="0"/>
                <w:sz w:val="28"/>
                <w:szCs w:val="28"/>
                <w:highlight w:val="none"/>
              </w:rPr>
              <w:t>GB 2762</w:t>
            </w:r>
          </w:p>
        </w:tc>
        <w:tc>
          <w:tcPr>
            <w:tcW w:w="2129" w:type="dxa"/>
            <w:vAlign w:val="center"/>
          </w:tcPr>
          <w:p w14:paraId="402B2FD3">
            <w:pPr>
              <w:overflowPunct w:val="0"/>
              <w:topLinePunct/>
              <w:snapToGrid w:val="0"/>
              <w:spacing w:line="400" w:lineRule="exact"/>
              <w:jc w:val="center"/>
              <w:rPr>
                <w:rFonts w:ascii="Times New Roman" w:hAnsi="Times New Roman" w:eastAsia="仿宋_GB2312"/>
                <w:b w:val="0"/>
                <w:bCs w:val="0"/>
                <w:color w:val="auto"/>
                <w:sz w:val="28"/>
                <w:szCs w:val="28"/>
                <w:highlight w:val="none"/>
              </w:rPr>
            </w:pPr>
            <w:r>
              <w:rPr>
                <w:rFonts w:ascii="Times New Roman" w:hAnsi="Times New Roman" w:eastAsia="仿宋"/>
                <w:b w:val="0"/>
                <w:bCs w:val="0"/>
                <w:color w:val="auto"/>
                <w:sz w:val="28"/>
                <w:szCs w:val="28"/>
                <w:highlight w:val="none"/>
              </w:rPr>
              <w:t>GB 5009.123</w:t>
            </w:r>
          </w:p>
        </w:tc>
      </w:tr>
      <w:tr w14:paraId="4EC6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2" w:hRule="exact"/>
          <w:jc w:val="center"/>
        </w:trPr>
        <w:tc>
          <w:tcPr>
            <w:tcW w:w="852" w:type="dxa"/>
            <w:vAlign w:val="center"/>
          </w:tcPr>
          <w:p w14:paraId="414E95A1">
            <w:pPr>
              <w:overflowPunct w:val="0"/>
              <w:topLinePunct/>
              <w:snapToGrid w:val="0"/>
              <w:spacing w:line="40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4</w:t>
            </w:r>
          </w:p>
        </w:tc>
        <w:tc>
          <w:tcPr>
            <w:tcW w:w="2445" w:type="dxa"/>
            <w:vAlign w:val="center"/>
          </w:tcPr>
          <w:p w14:paraId="72C93EEA">
            <w:pPr>
              <w:overflowPunct w:val="0"/>
              <w:topLinePunct/>
              <w:snapToGrid w:val="0"/>
              <w:spacing w:line="40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亚硝酸盐（以亚硝酸钠计）</w:t>
            </w:r>
          </w:p>
        </w:tc>
        <w:tc>
          <w:tcPr>
            <w:tcW w:w="3586" w:type="dxa"/>
            <w:vAlign w:val="center"/>
          </w:tcPr>
          <w:p w14:paraId="0D83857F">
            <w:pPr>
              <w:overflowPunct w:val="0"/>
              <w:topLinePunct/>
              <w:snapToGrid w:val="0"/>
              <w:spacing w:line="400" w:lineRule="exact"/>
              <w:jc w:val="center"/>
              <w:rPr>
                <w:rFonts w:hint="eastAsia"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中华人民共和国卫生部、国家食品药品监督管理局公告</w:t>
            </w:r>
            <w:r>
              <w:rPr>
                <w:rFonts w:ascii="Times New Roman" w:hAnsi="Times New Roman" w:eastAsia="仿宋_GB2312"/>
                <w:b w:val="0"/>
                <w:bCs w:val="0"/>
                <w:color w:val="auto"/>
                <w:sz w:val="28"/>
                <w:szCs w:val="28"/>
                <w:highlight w:val="none"/>
              </w:rPr>
              <w:t>2012</w:t>
            </w:r>
            <w:r>
              <w:rPr>
                <w:rFonts w:hint="eastAsia" w:ascii="Times New Roman" w:hAnsi="Times New Roman" w:eastAsia="仿宋_GB2312"/>
                <w:b w:val="0"/>
                <w:bCs w:val="0"/>
                <w:color w:val="auto"/>
                <w:sz w:val="28"/>
                <w:szCs w:val="28"/>
                <w:highlight w:val="none"/>
              </w:rPr>
              <w:t>年第</w:t>
            </w:r>
            <w:r>
              <w:rPr>
                <w:rFonts w:ascii="Times New Roman" w:hAnsi="Times New Roman" w:eastAsia="仿宋_GB2312"/>
                <w:b w:val="0"/>
                <w:bCs w:val="0"/>
                <w:color w:val="auto"/>
                <w:sz w:val="28"/>
                <w:szCs w:val="28"/>
                <w:highlight w:val="none"/>
              </w:rPr>
              <w:t>10</w:t>
            </w:r>
            <w:r>
              <w:rPr>
                <w:rFonts w:hint="eastAsia" w:ascii="Times New Roman" w:hAnsi="Times New Roman" w:eastAsia="仿宋_GB2312"/>
                <w:b w:val="0"/>
                <w:bCs w:val="0"/>
                <w:color w:val="auto"/>
                <w:sz w:val="28"/>
                <w:szCs w:val="28"/>
                <w:highlight w:val="none"/>
              </w:rPr>
              <w:t>号</w:t>
            </w:r>
          </w:p>
          <w:p w14:paraId="5ED35E6D">
            <w:pPr>
              <w:overflowPunct w:val="0"/>
              <w:topLinePunct/>
              <w:snapToGrid w:val="0"/>
              <w:spacing w:line="400" w:lineRule="exact"/>
              <w:jc w:val="center"/>
              <w:rPr>
                <w:rFonts w:hint="eastAsia" w:ascii="Times New Roman" w:hAnsi="Times New Roman" w:eastAsia="仿宋_GB2312"/>
                <w:b w:val="0"/>
                <w:bCs w:val="0"/>
                <w:color w:val="auto"/>
                <w:sz w:val="28"/>
                <w:szCs w:val="28"/>
                <w:highlight w:val="none"/>
                <w:lang w:eastAsia="zh-CN"/>
              </w:rPr>
            </w:pPr>
            <w:r>
              <w:rPr>
                <w:rFonts w:hint="eastAsia" w:ascii="Times New Roman" w:hAnsi="Times New Roman" w:eastAsia="仿宋_GB2312"/>
                <w:b w:val="0"/>
                <w:bCs w:val="0"/>
                <w:color w:val="auto"/>
                <w:sz w:val="28"/>
                <w:szCs w:val="28"/>
                <w:highlight w:val="none"/>
                <w:lang w:val="en-US" w:eastAsia="zh-CN"/>
              </w:rPr>
              <w:t>、</w:t>
            </w:r>
            <w:r>
              <w:rPr>
                <w:rFonts w:hint="eastAsia" w:ascii="Times New Roman" w:hAnsi="Times New Roman" w:eastAsia="仿宋_GB2312"/>
                <w:b w:val="0"/>
                <w:bCs w:val="0"/>
                <w:color w:val="auto"/>
                <w:sz w:val="28"/>
                <w:szCs w:val="28"/>
                <w:highlight w:val="none"/>
              </w:rPr>
              <w:t>国家食品药品监督管理总局关于餐饮服务提供者禁用亚硝酸盐、加强醇基燃料管理的公告(2018年第18号)</w:t>
            </w:r>
          </w:p>
          <w:p w14:paraId="7D98E949">
            <w:pPr>
              <w:overflowPunct w:val="0"/>
              <w:topLinePunct/>
              <w:snapToGrid w:val="0"/>
              <w:spacing w:line="400" w:lineRule="exact"/>
              <w:jc w:val="center"/>
              <w:rPr>
                <w:rFonts w:hint="eastAsia" w:ascii="Times New Roman" w:hAnsi="Times New Roman" w:eastAsia="仿宋_GB2312"/>
                <w:b w:val="0"/>
                <w:bCs w:val="0"/>
                <w:color w:val="auto"/>
                <w:sz w:val="28"/>
                <w:szCs w:val="28"/>
                <w:highlight w:val="none"/>
              </w:rPr>
            </w:pPr>
          </w:p>
        </w:tc>
        <w:tc>
          <w:tcPr>
            <w:tcW w:w="2129" w:type="dxa"/>
            <w:vAlign w:val="center"/>
          </w:tcPr>
          <w:p w14:paraId="326E6058">
            <w:pPr>
              <w:overflowPunct w:val="0"/>
              <w:topLinePunct/>
              <w:snapToGrid w:val="0"/>
              <w:spacing w:line="40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5009.33</w:t>
            </w:r>
          </w:p>
        </w:tc>
      </w:tr>
      <w:tr w14:paraId="6B19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155C21E0">
            <w:pPr>
              <w:overflowPunct w:val="0"/>
              <w:topLinePunct/>
              <w:snapToGrid w:val="0"/>
              <w:spacing w:line="40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5</w:t>
            </w:r>
          </w:p>
        </w:tc>
        <w:tc>
          <w:tcPr>
            <w:tcW w:w="2445" w:type="dxa"/>
            <w:vAlign w:val="center"/>
          </w:tcPr>
          <w:p w14:paraId="3208002D">
            <w:pPr>
              <w:overflowPunct w:val="0"/>
              <w:topLinePunct/>
              <w:snapToGrid w:val="0"/>
              <w:spacing w:line="40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氯霉素</w:t>
            </w:r>
          </w:p>
        </w:tc>
        <w:tc>
          <w:tcPr>
            <w:tcW w:w="3586" w:type="dxa"/>
            <w:vAlign w:val="center"/>
          </w:tcPr>
          <w:p w14:paraId="31EF4EEB">
            <w:pPr>
              <w:overflowPunct w:val="0"/>
              <w:topLinePunct/>
              <w:snapToGrid w:val="0"/>
              <w:spacing w:line="40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顿办函〔2011〕1号</w:t>
            </w:r>
          </w:p>
        </w:tc>
        <w:tc>
          <w:tcPr>
            <w:tcW w:w="2129" w:type="dxa"/>
            <w:vAlign w:val="center"/>
          </w:tcPr>
          <w:p w14:paraId="5A9510E1">
            <w:pPr>
              <w:overflowPunct w:val="0"/>
              <w:topLinePunct/>
              <w:snapToGrid w:val="0"/>
              <w:spacing w:line="40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GB/T 22338</w:t>
            </w:r>
          </w:p>
        </w:tc>
      </w:tr>
    </w:tbl>
    <w:p w14:paraId="7381296E">
      <w:pPr>
        <w:widowControl/>
        <w:spacing w:before="156" w:beforeLines="50" w:after="156" w:afterLines="50" w:line="360" w:lineRule="exact"/>
        <w:jc w:val="center"/>
        <w:rPr>
          <w:rFonts w:ascii="Times New Roman" w:hAnsi="Times New Roman" w:eastAsia="黑体"/>
          <w:b w:val="0"/>
          <w:bCs w:val="0"/>
          <w:color w:val="auto"/>
          <w:sz w:val="28"/>
          <w:szCs w:val="28"/>
          <w:highlight w:val="none"/>
        </w:rPr>
      </w:pPr>
    </w:p>
    <w:p w14:paraId="4FCC5554">
      <w:pPr>
        <w:widowControl/>
        <w:spacing w:before="156" w:beforeLines="50" w:after="156" w:afterLines="50" w:line="360" w:lineRule="exact"/>
        <w:jc w:val="center"/>
        <w:rPr>
          <w:rFonts w:ascii="Times New Roman" w:hAnsi="Times New Roman" w:eastAsia="黑体"/>
          <w:b w:val="0"/>
          <w:bCs w:val="0"/>
          <w:color w:val="auto"/>
          <w:sz w:val="28"/>
          <w:szCs w:val="28"/>
          <w:highlight w:val="none"/>
        </w:rPr>
      </w:pPr>
      <w:commentRangeStart w:id="5"/>
      <w:r>
        <w:rPr>
          <w:rFonts w:hint="eastAsia" w:ascii="Times New Roman" w:hAnsi="Times New Roman" w:eastAsia="黑体"/>
          <w:b w:val="0"/>
          <w:bCs w:val="0"/>
          <w:color w:val="auto"/>
          <w:sz w:val="28"/>
          <w:szCs w:val="28"/>
          <w:highlight w:val="none"/>
        </w:rPr>
        <w:t>表4-</w:t>
      </w:r>
      <w:r>
        <w:rPr>
          <w:rFonts w:hint="eastAsia" w:ascii="Times New Roman" w:hAnsi="Times New Roman" w:eastAsia="黑体"/>
          <w:b w:val="0"/>
          <w:bCs w:val="0"/>
          <w:color w:val="auto"/>
          <w:sz w:val="28"/>
          <w:szCs w:val="28"/>
          <w:highlight w:val="none"/>
          <w:lang w:val="en-US" w:eastAsia="zh-CN"/>
        </w:rPr>
        <w:t>8</w:t>
      </w:r>
      <w:r>
        <w:rPr>
          <w:rFonts w:hint="eastAsia" w:ascii="Times New Roman" w:hAnsi="Times New Roman" w:eastAsia="黑体"/>
          <w:b w:val="0"/>
          <w:bCs w:val="0"/>
          <w:color w:val="auto"/>
          <w:sz w:val="28"/>
          <w:szCs w:val="28"/>
          <w:highlight w:val="none"/>
        </w:rPr>
        <w:t xml:space="preserve"> 蘸料(自制)检验项目及检测方法</w:t>
      </w:r>
      <w:commentRangeEnd w:id="5"/>
      <w:r>
        <w:rPr>
          <w:b w:val="0"/>
          <w:bCs w:val="0"/>
          <w:color w:val="auto"/>
          <w:highlight w:val="none"/>
        </w:rPr>
        <w:commentReference w:id="5"/>
      </w:r>
    </w:p>
    <w:tbl>
      <w:tblPr>
        <w:tblStyle w:val="27"/>
        <w:tblW w:w="900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496"/>
        <w:gridCol w:w="3559"/>
        <w:gridCol w:w="2100"/>
      </w:tblGrid>
      <w:tr w14:paraId="0BBC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blHeader/>
        </w:trPr>
        <w:tc>
          <w:tcPr>
            <w:tcW w:w="845" w:type="dxa"/>
            <w:vAlign w:val="center"/>
          </w:tcPr>
          <w:p w14:paraId="2A476887">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序号</w:t>
            </w:r>
          </w:p>
        </w:tc>
        <w:tc>
          <w:tcPr>
            <w:tcW w:w="2496" w:type="dxa"/>
            <w:vAlign w:val="center"/>
          </w:tcPr>
          <w:p w14:paraId="4545CA92">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检验项目</w:t>
            </w:r>
          </w:p>
        </w:tc>
        <w:tc>
          <w:tcPr>
            <w:tcW w:w="3559" w:type="dxa"/>
            <w:vAlign w:val="center"/>
          </w:tcPr>
          <w:p w14:paraId="5E6E4854">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依据法律法规或标准</w:t>
            </w:r>
          </w:p>
        </w:tc>
        <w:tc>
          <w:tcPr>
            <w:tcW w:w="2100" w:type="dxa"/>
            <w:vAlign w:val="center"/>
          </w:tcPr>
          <w:p w14:paraId="3ED07492">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检测方法</w:t>
            </w:r>
          </w:p>
        </w:tc>
      </w:tr>
      <w:tr w14:paraId="4FC8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845" w:type="dxa"/>
            <w:vAlign w:val="center"/>
          </w:tcPr>
          <w:p w14:paraId="5E687BD7">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1</w:t>
            </w:r>
          </w:p>
        </w:tc>
        <w:tc>
          <w:tcPr>
            <w:tcW w:w="2496" w:type="dxa"/>
            <w:vAlign w:val="center"/>
          </w:tcPr>
          <w:p w14:paraId="4E30ED87">
            <w:pPr>
              <w:overflowPunct w:val="0"/>
              <w:topLinePunct/>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罂粟碱</w:t>
            </w:r>
            <w:r>
              <w:rPr>
                <w:rFonts w:hint="eastAsia" w:ascii="Times New Roman" w:hAnsi="Times New Roman" w:eastAsia="仿宋_GB2312"/>
                <w:b w:val="0"/>
                <w:bCs w:val="0"/>
                <w:color w:val="auto"/>
                <w:sz w:val="28"/>
                <w:szCs w:val="28"/>
                <w:highlight w:val="none"/>
                <w:vertAlign w:val="superscript"/>
              </w:rPr>
              <w:t>a</w:t>
            </w:r>
          </w:p>
        </w:tc>
        <w:tc>
          <w:tcPr>
            <w:tcW w:w="3559" w:type="dxa"/>
            <w:vAlign w:val="center"/>
          </w:tcPr>
          <w:p w14:paraId="4F7355B8">
            <w:pPr>
              <w:overflowPunct w:val="0"/>
              <w:topLinePunct/>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整顿办函〔2011〕1 号</w:t>
            </w:r>
          </w:p>
        </w:tc>
        <w:tc>
          <w:tcPr>
            <w:tcW w:w="2100" w:type="dxa"/>
            <w:vAlign w:val="center"/>
          </w:tcPr>
          <w:p w14:paraId="6E48F406">
            <w:pPr>
              <w:overflowPunct w:val="0"/>
              <w:topLinePunct/>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BJS 201802</w:t>
            </w:r>
          </w:p>
        </w:tc>
      </w:tr>
      <w:tr w14:paraId="37BC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845" w:type="dxa"/>
            <w:vAlign w:val="center"/>
          </w:tcPr>
          <w:p w14:paraId="1AD5F87C">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2</w:t>
            </w:r>
          </w:p>
        </w:tc>
        <w:tc>
          <w:tcPr>
            <w:tcW w:w="2496" w:type="dxa"/>
            <w:vAlign w:val="center"/>
          </w:tcPr>
          <w:p w14:paraId="410CE083">
            <w:pPr>
              <w:overflowPunct w:val="0"/>
              <w:topLinePunct/>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吗啡</w:t>
            </w:r>
            <w:r>
              <w:rPr>
                <w:rFonts w:hint="eastAsia" w:ascii="Times New Roman" w:hAnsi="Times New Roman" w:eastAsia="仿宋_GB2312"/>
                <w:b w:val="0"/>
                <w:bCs w:val="0"/>
                <w:color w:val="auto"/>
                <w:sz w:val="28"/>
                <w:szCs w:val="28"/>
                <w:highlight w:val="none"/>
                <w:vertAlign w:val="superscript"/>
              </w:rPr>
              <w:t>a</w:t>
            </w:r>
          </w:p>
        </w:tc>
        <w:tc>
          <w:tcPr>
            <w:tcW w:w="3559" w:type="dxa"/>
            <w:vAlign w:val="center"/>
          </w:tcPr>
          <w:p w14:paraId="7DD18625">
            <w:pPr>
              <w:overflowPunct w:val="0"/>
              <w:topLinePunct/>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整顿办函〔2011〕1 号</w:t>
            </w:r>
          </w:p>
        </w:tc>
        <w:tc>
          <w:tcPr>
            <w:tcW w:w="2100" w:type="dxa"/>
            <w:vAlign w:val="center"/>
          </w:tcPr>
          <w:p w14:paraId="070A03D6">
            <w:pPr>
              <w:overflowPunct w:val="0"/>
              <w:topLinePunct/>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BJS 201802</w:t>
            </w:r>
          </w:p>
        </w:tc>
      </w:tr>
      <w:tr w14:paraId="740A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845" w:type="dxa"/>
            <w:vAlign w:val="center"/>
          </w:tcPr>
          <w:p w14:paraId="0112652C">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3</w:t>
            </w:r>
          </w:p>
        </w:tc>
        <w:tc>
          <w:tcPr>
            <w:tcW w:w="2496" w:type="dxa"/>
            <w:vAlign w:val="center"/>
          </w:tcPr>
          <w:p w14:paraId="2452A862">
            <w:pPr>
              <w:overflowPunct w:val="0"/>
              <w:topLinePunct/>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可待因</w:t>
            </w:r>
            <w:r>
              <w:rPr>
                <w:rFonts w:hint="eastAsia" w:ascii="Times New Roman" w:hAnsi="Times New Roman" w:eastAsia="仿宋_GB2312"/>
                <w:b w:val="0"/>
                <w:bCs w:val="0"/>
                <w:color w:val="auto"/>
                <w:sz w:val="28"/>
                <w:szCs w:val="28"/>
                <w:highlight w:val="none"/>
                <w:vertAlign w:val="superscript"/>
              </w:rPr>
              <w:t>a</w:t>
            </w:r>
          </w:p>
        </w:tc>
        <w:tc>
          <w:tcPr>
            <w:tcW w:w="3559" w:type="dxa"/>
            <w:vAlign w:val="center"/>
          </w:tcPr>
          <w:p w14:paraId="5A09027E">
            <w:pPr>
              <w:overflowPunct w:val="0"/>
              <w:topLinePunct/>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整顿办函〔2011〕1 号</w:t>
            </w:r>
          </w:p>
        </w:tc>
        <w:tc>
          <w:tcPr>
            <w:tcW w:w="2100" w:type="dxa"/>
            <w:vAlign w:val="center"/>
          </w:tcPr>
          <w:p w14:paraId="5EE8DED3">
            <w:pPr>
              <w:overflowPunct w:val="0"/>
              <w:topLinePunct/>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BJS 201802</w:t>
            </w:r>
          </w:p>
        </w:tc>
      </w:tr>
      <w:tr w14:paraId="6EA3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845" w:type="dxa"/>
            <w:vAlign w:val="center"/>
          </w:tcPr>
          <w:p w14:paraId="0AF6B4A7">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4</w:t>
            </w:r>
          </w:p>
        </w:tc>
        <w:tc>
          <w:tcPr>
            <w:tcW w:w="2496" w:type="dxa"/>
            <w:vAlign w:val="center"/>
          </w:tcPr>
          <w:p w14:paraId="1BCED9AA">
            <w:pPr>
              <w:overflowPunct w:val="0"/>
              <w:topLinePunct/>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那可丁</w:t>
            </w:r>
            <w:r>
              <w:rPr>
                <w:rFonts w:hint="eastAsia" w:ascii="Times New Roman" w:hAnsi="Times New Roman" w:eastAsia="仿宋_GB2312"/>
                <w:b w:val="0"/>
                <w:bCs w:val="0"/>
                <w:color w:val="auto"/>
                <w:sz w:val="28"/>
                <w:szCs w:val="28"/>
                <w:highlight w:val="none"/>
                <w:vertAlign w:val="superscript"/>
              </w:rPr>
              <w:t>a</w:t>
            </w:r>
          </w:p>
        </w:tc>
        <w:tc>
          <w:tcPr>
            <w:tcW w:w="3559" w:type="dxa"/>
            <w:vAlign w:val="center"/>
          </w:tcPr>
          <w:p w14:paraId="52CD4BC0">
            <w:pPr>
              <w:overflowPunct w:val="0"/>
              <w:topLinePunct/>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整顿办函〔2011〕1 号</w:t>
            </w:r>
          </w:p>
        </w:tc>
        <w:tc>
          <w:tcPr>
            <w:tcW w:w="2100" w:type="dxa"/>
            <w:vAlign w:val="center"/>
          </w:tcPr>
          <w:p w14:paraId="69995E65">
            <w:pPr>
              <w:overflowPunct w:val="0"/>
              <w:topLinePunct/>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BJS 201802</w:t>
            </w:r>
          </w:p>
        </w:tc>
      </w:tr>
      <w:tr w14:paraId="6F6C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845" w:type="dxa"/>
            <w:vAlign w:val="center"/>
          </w:tcPr>
          <w:p w14:paraId="35D3292D">
            <w:pPr>
              <w:widowControl/>
              <w:snapToGrid w:val="0"/>
              <w:spacing w:line="360" w:lineRule="exact"/>
              <w:jc w:val="center"/>
              <w:rPr>
                <w:rFonts w:hint="eastAsia"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5</w:t>
            </w:r>
          </w:p>
        </w:tc>
        <w:tc>
          <w:tcPr>
            <w:tcW w:w="2496" w:type="dxa"/>
            <w:vAlign w:val="center"/>
          </w:tcPr>
          <w:p w14:paraId="7787A407">
            <w:pPr>
              <w:overflowPunct w:val="0"/>
              <w:topLinePunct/>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黄曲霉毒素B</w:t>
            </w:r>
            <w:r>
              <w:rPr>
                <w:rFonts w:hint="eastAsia" w:ascii="Times New Roman" w:hAnsi="Times New Roman" w:eastAsia="仿宋_GB2312"/>
                <w:b w:val="0"/>
                <w:bCs w:val="0"/>
                <w:color w:val="auto"/>
                <w:sz w:val="28"/>
                <w:szCs w:val="28"/>
                <w:highlight w:val="none"/>
                <w:vertAlign w:val="subscript"/>
              </w:rPr>
              <w:t>1</w:t>
            </w:r>
            <w:r>
              <w:rPr>
                <w:rFonts w:hint="eastAsia" w:ascii="Times New Roman" w:hAnsi="Times New Roman" w:eastAsia="仿宋_GB2312"/>
                <w:b w:val="0"/>
                <w:bCs w:val="0"/>
                <w:color w:val="auto"/>
                <w:sz w:val="28"/>
                <w:szCs w:val="28"/>
                <w:highlight w:val="none"/>
                <w:vertAlign w:val="superscript"/>
              </w:rPr>
              <w:t>b</w:t>
            </w:r>
          </w:p>
        </w:tc>
        <w:tc>
          <w:tcPr>
            <w:tcW w:w="3559" w:type="dxa"/>
            <w:vAlign w:val="center"/>
          </w:tcPr>
          <w:p w14:paraId="0B1BAA82">
            <w:pPr>
              <w:overflowPunct w:val="0"/>
              <w:topLinePunct/>
              <w:snapToGrid w:val="0"/>
              <w:spacing w:line="360" w:lineRule="exact"/>
              <w:jc w:val="center"/>
              <w:rPr>
                <w:rFonts w:hint="eastAsia"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2761-2017</w:t>
            </w:r>
          </w:p>
        </w:tc>
        <w:tc>
          <w:tcPr>
            <w:tcW w:w="2100" w:type="dxa"/>
            <w:vAlign w:val="center"/>
          </w:tcPr>
          <w:p w14:paraId="05FC0EA1">
            <w:pPr>
              <w:overflowPunct w:val="0"/>
              <w:topLinePunct/>
              <w:snapToGrid w:val="0"/>
              <w:spacing w:line="360" w:lineRule="exact"/>
              <w:jc w:val="center"/>
              <w:rPr>
                <w:rFonts w:hint="eastAsia"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5009.22-2016</w:t>
            </w:r>
          </w:p>
        </w:tc>
      </w:tr>
      <w:tr w14:paraId="457F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9000" w:type="dxa"/>
            <w:gridSpan w:val="4"/>
            <w:vAlign w:val="center"/>
          </w:tcPr>
          <w:p w14:paraId="3B2773FF">
            <w:pPr>
              <w:overflowPunct w:val="0"/>
              <w:topLinePunct/>
              <w:spacing w:line="240" w:lineRule="exact"/>
              <w:rPr>
                <w:rFonts w:ascii="Times New Roman" w:hAnsi="Times New Roman" w:eastAsia="仿宋_GB2312"/>
                <w:b w:val="0"/>
                <w:bCs w:val="0"/>
                <w:color w:val="auto"/>
                <w:highlight w:val="none"/>
              </w:rPr>
            </w:pPr>
            <w:r>
              <w:rPr>
                <w:rFonts w:hint="eastAsia" w:ascii="Times New Roman" w:hAnsi="Times New Roman" w:eastAsia="仿宋_GB2312"/>
                <w:b w:val="0"/>
                <w:bCs w:val="0"/>
                <w:color w:val="auto"/>
                <w:highlight w:val="none"/>
              </w:rPr>
              <w:t>注：</w:t>
            </w:r>
            <w:r>
              <w:rPr>
                <w:rFonts w:ascii="Times New Roman" w:hAnsi="Times New Roman" w:eastAsia="仿宋_GB2312"/>
                <w:b w:val="0"/>
                <w:bCs w:val="0"/>
                <w:color w:val="auto"/>
                <w:highlight w:val="none"/>
              </w:rPr>
              <w:t>a.</w:t>
            </w:r>
            <w:r>
              <w:rPr>
                <w:rFonts w:hint="eastAsia" w:ascii="Times New Roman" w:hAnsi="Times New Roman" w:eastAsia="仿宋_GB2312"/>
                <w:b w:val="0"/>
                <w:bCs w:val="0"/>
                <w:color w:val="auto"/>
                <w:highlight w:val="none"/>
              </w:rPr>
              <w:t>限自制的可直接食用的蘸料类，可抽取芝麻酱、</w:t>
            </w:r>
            <w:r>
              <w:rPr>
                <w:rFonts w:hint="eastAsia" w:ascii="Times New Roman" w:hAnsi="Times New Roman" w:eastAsia="仿宋_GB2312"/>
                <w:b w:val="0"/>
                <w:bCs w:val="0"/>
                <w:color w:val="auto"/>
                <w:highlight w:val="none"/>
                <w:lang w:val="en-US" w:eastAsia="zh-CN"/>
              </w:rPr>
              <w:t>花生酱、</w:t>
            </w:r>
            <w:r>
              <w:rPr>
                <w:rFonts w:hint="eastAsia" w:ascii="Times New Roman" w:hAnsi="Times New Roman" w:eastAsia="仿宋_GB2312"/>
                <w:b w:val="0"/>
                <w:bCs w:val="0"/>
                <w:color w:val="auto"/>
                <w:highlight w:val="none"/>
              </w:rPr>
              <w:t>辣椒酱、秘制酱料、海鲜酱。</w:t>
            </w:r>
          </w:p>
          <w:p w14:paraId="20956558">
            <w:pPr>
              <w:overflowPunct w:val="0"/>
              <w:topLinePunct/>
              <w:spacing w:line="240" w:lineRule="exact"/>
              <w:rPr>
                <w:rFonts w:hint="default"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highlight w:val="none"/>
              </w:rPr>
              <w:t xml:space="preserve"> </w:t>
            </w:r>
            <w:r>
              <w:rPr>
                <w:rFonts w:ascii="Times New Roman" w:hAnsi="Times New Roman" w:eastAsia="仿宋_GB2312"/>
                <w:b w:val="0"/>
                <w:bCs w:val="0"/>
                <w:color w:val="auto"/>
                <w:highlight w:val="none"/>
              </w:rPr>
              <w:t xml:space="preserve">   </w:t>
            </w:r>
            <w:r>
              <w:rPr>
                <w:rFonts w:hint="eastAsia" w:ascii="Times New Roman" w:hAnsi="Times New Roman" w:eastAsia="仿宋_GB2312"/>
                <w:b w:val="0"/>
                <w:bCs w:val="0"/>
                <w:color w:val="auto"/>
                <w:highlight w:val="none"/>
              </w:rPr>
              <w:t>b</w:t>
            </w:r>
            <w:r>
              <w:rPr>
                <w:rFonts w:hint="default" w:ascii="Times New Roman" w:hAnsi="Times New Roman" w:eastAsia="仿宋_GB2312"/>
                <w:b w:val="0"/>
                <w:bCs w:val="0"/>
                <w:color w:val="auto"/>
                <w:highlight w:val="none"/>
                <w:lang w:val="en"/>
              </w:rPr>
              <w:t>.</w:t>
            </w:r>
            <w:r>
              <w:rPr>
                <w:rFonts w:hint="eastAsia" w:ascii="Times New Roman" w:hAnsi="Times New Roman" w:eastAsia="仿宋_GB2312"/>
                <w:b w:val="0"/>
                <w:bCs w:val="0"/>
                <w:color w:val="auto"/>
                <w:highlight w:val="none"/>
              </w:rPr>
              <w:t>限芝麻酱</w:t>
            </w:r>
            <w:r>
              <w:rPr>
                <w:rFonts w:hint="eastAsia" w:ascii="Times New Roman" w:hAnsi="Times New Roman" w:eastAsia="仿宋_GB2312"/>
                <w:b w:val="0"/>
                <w:bCs w:val="0"/>
                <w:color w:val="auto"/>
                <w:highlight w:val="none"/>
                <w:lang w:val="en-US" w:eastAsia="zh-CN"/>
              </w:rPr>
              <w:t>和花生酱检测</w:t>
            </w:r>
            <w:r>
              <w:rPr>
                <w:rFonts w:hint="eastAsia" w:ascii="Times New Roman" w:hAnsi="Times New Roman" w:eastAsia="仿宋_GB2312"/>
                <w:b w:val="0"/>
                <w:bCs w:val="0"/>
                <w:color w:val="auto"/>
                <w:highlight w:val="none"/>
              </w:rPr>
              <w:t>。</w:t>
            </w:r>
          </w:p>
        </w:tc>
      </w:tr>
    </w:tbl>
    <w:p w14:paraId="5A8F7A26">
      <w:pPr>
        <w:widowControl/>
        <w:spacing w:before="156" w:beforeLines="50" w:after="156" w:afterLines="50" w:line="360" w:lineRule="exact"/>
        <w:rPr>
          <w:rFonts w:ascii="Times New Roman" w:hAnsi="Times New Roman" w:eastAsia="黑体"/>
          <w:b w:val="0"/>
          <w:bCs w:val="0"/>
          <w:color w:val="auto"/>
          <w:sz w:val="28"/>
          <w:szCs w:val="28"/>
          <w:highlight w:val="none"/>
        </w:rPr>
      </w:pPr>
    </w:p>
    <w:p w14:paraId="1F1A6580">
      <w:pPr>
        <w:widowControl/>
        <w:spacing w:before="156" w:beforeLines="50" w:after="156" w:afterLines="50" w:line="36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表4-</w:t>
      </w:r>
      <w:r>
        <w:rPr>
          <w:rFonts w:hint="eastAsia" w:ascii="Times New Roman" w:hAnsi="Times New Roman" w:eastAsia="黑体"/>
          <w:b w:val="0"/>
          <w:bCs w:val="0"/>
          <w:color w:val="auto"/>
          <w:sz w:val="28"/>
          <w:szCs w:val="28"/>
          <w:highlight w:val="none"/>
          <w:lang w:val="en-US" w:eastAsia="zh-CN"/>
        </w:rPr>
        <w:t>9</w:t>
      </w:r>
      <w:r>
        <w:rPr>
          <w:rFonts w:hint="eastAsia" w:ascii="Times New Roman" w:hAnsi="Times New Roman" w:eastAsia="黑体"/>
          <w:b w:val="0"/>
          <w:bCs w:val="0"/>
          <w:color w:val="auto"/>
          <w:sz w:val="28"/>
          <w:szCs w:val="28"/>
          <w:highlight w:val="none"/>
        </w:rPr>
        <w:t xml:space="preserve"> 其他调味料(自制)检验项目及检测方法</w:t>
      </w:r>
    </w:p>
    <w:tbl>
      <w:tblPr>
        <w:tblStyle w:val="27"/>
        <w:tblpPr w:leftFromText="180" w:rightFromText="180" w:vertAnchor="text" w:horzAnchor="page" w:tblpX="1567" w:tblpY="230"/>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570"/>
        <w:gridCol w:w="3444"/>
        <w:gridCol w:w="2205"/>
      </w:tblGrid>
      <w:tr w14:paraId="0DC2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tblHeader/>
        </w:trPr>
        <w:tc>
          <w:tcPr>
            <w:tcW w:w="820" w:type="dxa"/>
            <w:vAlign w:val="center"/>
          </w:tcPr>
          <w:p w14:paraId="1A32D442">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序号</w:t>
            </w:r>
          </w:p>
        </w:tc>
        <w:tc>
          <w:tcPr>
            <w:tcW w:w="2570" w:type="dxa"/>
            <w:vAlign w:val="center"/>
          </w:tcPr>
          <w:p w14:paraId="021926C7">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检验项目</w:t>
            </w:r>
          </w:p>
        </w:tc>
        <w:tc>
          <w:tcPr>
            <w:tcW w:w="3444" w:type="dxa"/>
            <w:vAlign w:val="center"/>
          </w:tcPr>
          <w:p w14:paraId="6A6340BC">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依据法律法规或标准</w:t>
            </w:r>
          </w:p>
        </w:tc>
        <w:tc>
          <w:tcPr>
            <w:tcW w:w="2205" w:type="dxa"/>
            <w:vAlign w:val="center"/>
          </w:tcPr>
          <w:p w14:paraId="7B8DF4DB">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检测方法</w:t>
            </w:r>
          </w:p>
        </w:tc>
      </w:tr>
      <w:tr w14:paraId="0F74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trPr>
        <w:tc>
          <w:tcPr>
            <w:tcW w:w="820" w:type="dxa"/>
            <w:vAlign w:val="center"/>
          </w:tcPr>
          <w:p w14:paraId="6782DDC3">
            <w:pPr>
              <w:overflowPunct w:val="0"/>
              <w:topLinePunct/>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1</w:t>
            </w:r>
          </w:p>
        </w:tc>
        <w:tc>
          <w:tcPr>
            <w:tcW w:w="2570" w:type="dxa"/>
            <w:vAlign w:val="center"/>
          </w:tcPr>
          <w:p w14:paraId="43E0492A">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铅（以</w:t>
            </w:r>
            <w:r>
              <w:rPr>
                <w:rFonts w:ascii="Times New Roman" w:hAnsi="Times New Roman" w:eastAsia="仿宋_GB2312"/>
                <w:b w:val="0"/>
                <w:bCs w:val="0"/>
                <w:color w:val="auto"/>
                <w:sz w:val="28"/>
                <w:szCs w:val="28"/>
                <w:highlight w:val="none"/>
              </w:rPr>
              <w:t>Pb</w:t>
            </w:r>
            <w:r>
              <w:rPr>
                <w:rFonts w:hint="eastAsia" w:ascii="Times New Roman" w:hAnsi="Times New Roman" w:eastAsia="仿宋_GB2312"/>
                <w:b w:val="0"/>
                <w:bCs w:val="0"/>
                <w:color w:val="auto"/>
                <w:sz w:val="28"/>
                <w:szCs w:val="28"/>
                <w:highlight w:val="none"/>
              </w:rPr>
              <w:t>计）</w:t>
            </w:r>
          </w:p>
        </w:tc>
        <w:tc>
          <w:tcPr>
            <w:tcW w:w="3444" w:type="dxa"/>
            <w:vAlign w:val="center"/>
          </w:tcPr>
          <w:p w14:paraId="33A5BFC0">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2762</w:t>
            </w:r>
          </w:p>
        </w:tc>
        <w:tc>
          <w:tcPr>
            <w:tcW w:w="2205" w:type="dxa"/>
            <w:vAlign w:val="center"/>
          </w:tcPr>
          <w:p w14:paraId="2DA39C0C">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5009.12</w:t>
            </w:r>
          </w:p>
        </w:tc>
      </w:tr>
      <w:tr w14:paraId="0447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exact"/>
        </w:trPr>
        <w:tc>
          <w:tcPr>
            <w:tcW w:w="820" w:type="dxa"/>
            <w:vAlign w:val="center"/>
          </w:tcPr>
          <w:p w14:paraId="2EBA4AB5">
            <w:pPr>
              <w:overflowPunct w:val="0"/>
              <w:topLinePunct/>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2</w:t>
            </w:r>
          </w:p>
        </w:tc>
        <w:tc>
          <w:tcPr>
            <w:tcW w:w="2570" w:type="dxa"/>
            <w:vAlign w:val="center"/>
          </w:tcPr>
          <w:p w14:paraId="5C9AFCF1">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苏丹红Ⅰ、苏丹红Ⅱ、苏丹红Ⅲ、苏丹红Ⅳ</w:t>
            </w:r>
            <w:r>
              <w:rPr>
                <w:rFonts w:hint="eastAsia" w:ascii="Times New Roman" w:hAnsi="Times New Roman" w:eastAsia="仿宋_GB2312"/>
                <w:b w:val="0"/>
                <w:bCs w:val="0"/>
                <w:color w:val="auto"/>
                <w:sz w:val="28"/>
                <w:szCs w:val="28"/>
                <w:highlight w:val="none"/>
                <w:vertAlign w:val="superscript"/>
              </w:rPr>
              <w:t>a</w:t>
            </w:r>
          </w:p>
        </w:tc>
        <w:tc>
          <w:tcPr>
            <w:tcW w:w="3444" w:type="dxa"/>
            <w:vAlign w:val="center"/>
          </w:tcPr>
          <w:p w14:paraId="53257699">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整顿办函〔</w:t>
            </w:r>
            <w:r>
              <w:rPr>
                <w:rFonts w:ascii="Times New Roman" w:hAnsi="Times New Roman" w:eastAsia="仿宋_GB2312"/>
                <w:b w:val="0"/>
                <w:bCs w:val="0"/>
                <w:color w:val="auto"/>
                <w:sz w:val="28"/>
                <w:szCs w:val="28"/>
                <w:highlight w:val="none"/>
              </w:rPr>
              <w:t>2011</w:t>
            </w:r>
            <w:r>
              <w:rPr>
                <w:rFonts w:hint="eastAsia" w:ascii="Times New Roman" w:hAnsi="Times New Roman" w:eastAsia="仿宋_GB2312"/>
                <w:b w:val="0"/>
                <w:bCs w:val="0"/>
                <w:color w:val="auto"/>
                <w:sz w:val="28"/>
                <w:szCs w:val="28"/>
                <w:highlight w:val="none"/>
              </w:rPr>
              <w:t>〕</w:t>
            </w:r>
            <w:r>
              <w:rPr>
                <w:rFonts w:ascii="Times New Roman" w:hAnsi="Times New Roman" w:eastAsia="仿宋_GB2312"/>
                <w:b w:val="0"/>
                <w:bCs w:val="0"/>
                <w:color w:val="auto"/>
                <w:sz w:val="28"/>
                <w:szCs w:val="28"/>
                <w:highlight w:val="none"/>
              </w:rPr>
              <w:t>1</w:t>
            </w:r>
            <w:r>
              <w:rPr>
                <w:rFonts w:hint="eastAsia" w:ascii="Times New Roman" w:hAnsi="Times New Roman" w:eastAsia="仿宋_GB2312"/>
                <w:b w:val="0"/>
                <w:bCs w:val="0"/>
                <w:color w:val="auto"/>
                <w:sz w:val="28"/>
                <w:szCs w:val="28"/>
                <w:highlight w:val="none"/>
              </w:rPr>
              <w:t>号</w:t>
            </w:r>
          </w:p>
        </w:tc>
        <w:tc>
          <w:tcPr>
            <w:tcW w:w="2205" w:type="dxa"/>
            <w:vAlign w:val="center"/>
          </w:tcPr>
          <w:p w14:paraId="1C9951D4">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GB/T 19681</w:t>
            </w:r>
          </w:p>
        </w:tc>
      </w:tr>
      <w:tr w14:paraId="15A2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820" w:type="dxa"/>
            <w:vAlign w:val="center"/>
          </w:tcPr>
          <w:p w14:paraId="360CFEB5">
            <w:pPr>
              <w:overflowPunct w:val="0"/>
              <w:topLinePunct/>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3</w:t>
            </w:r>
          </w:p>
        </w:tc>
        <w:tc>
          <w:tcPr>
            <w:tcW w:w="2570" w:type="dxa"/>
            <w:vAlign w:val="center"/>
          </w:tcPr>
          <w:p w14:paraId="31367A62">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罗丹明B</w:t>
            </w:r>
            <w:r>
              <w:rPr>
                <w:rFonts w:hint="eastAsia" w:ascii="Times New Roman" w:hAnsi="Times New Roman" w:eastAsia="仿宋_GB2312"/>
                <w:b w:val="0"/>
                <w:bCs w:val="0"/>
                <w:color w:val="auto"/>
                <w:sz w:val="28"/>
                <w:szCs w:val="28"/>
                <w:highlight w:val="none"/>
                <w:vertAlign w:val="superscript"/>
              </w:rPr>
              <w:t>b</w:t>
            </w:r>
          </w:p>
        </w:tc>
        <w:tc>
          <w:tcPr>
            <w:tcW w:w="3444" w:type="dxa"/>
            <w:vAlign w:val="center"/>
          </w:tcPr>
          <w:p w14:paraId="70EB244C">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食品整治办〔2008〕3号</w:t>
            </w:r>
          </w:p>
        </w:tc>
        <w:tc>
          <w:tcPr>
            <w:tcW w:w="2205" w:type="dxa"/>
            <w:vAlign w:val="center"/>
          </w:tcPr>
          <w:p w14:paraId="07F6AB4F">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SN/T 2430</w:t>
            </w:r>
          </w:p>
          <w:p w14:paraId="73A62BD7">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BJS 201905</w:t>
            </w:r>
          </w:p>
        </w:tc>
      </w:tr>
      <w:tr w14:paraId="108F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exact"/>
        </w:trPr>
        <w:tc>
          <w:tcPr>
            <w:tcW w:w="820" w:type="dxa"/>
            <w:vAlign w:val="center"/>
          </w:tcPr>
          <w:p w14:paraId="7578FEF6">
            <w:pPr>
              <w:overflowPunct w:val="0"/>
              <w:topLinePunct/>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4</w:t>
            </w:r>
          </w:p>
        </w:tc>
        <w:tc>
          <w:tcPr>
            <w:tcW w:w="2570" w:type="dxa"/>
            <w:vAlign w:val="center"/>
          </w:tcPr>
          <w:p w14:paraId="6CF59956">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脱氢乙酸及其钠盐（以脱氢乙酸计）</w:t>
            </w:r>
            <w:r>
              <w:rPr>
                <w:rFonts w:hint="eastAsia" w:ascii="Times New Roman" w:hAnsi="Times New Roman" w:eastAsia="仿宋_GB2312"/>
                <w:b w:val="0"/>
                <w:bCs w:val="0"/>
                <w:color w:val="auto"/>
                <w:sz w:val="28"/>
                <w:szCs w:val="28"/>
                <w:highlight w:val="none"/>
                <w:vertAlign w:val="superscript"/>
              </w:rPr>
              <w:t>a c</w:t>
            </w:r>
          </w:p>
        </w:tc>
        <w:tc>
          <w:tcPr>
            <w:tcW w:w="3444" w:type="dxa"/>
            <w:vAlign w:val="center"/>
          </w:tcPr>
          <w:p w14:paraId="5E359F2A">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2760</w:t>
            </w:r>
          </w:p>
        </w:tc>
        <w:tc>
          <w:tcPr>
            <w:tcW w:w="2205" w:type="dxa"/>
            <w:vAlign w:val="center"/>
          </w:tcPr>
          <w:p w14:paraId="68B469EA">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5009.121</w:t>
            </w:r>
          </w:p>
        </w:tc>
      </w:tr>
      <w:tr w14:paraId="1597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trPr>
        <w:tc>
          <w:tcPr>
            <w:tcW w:w="820" w:type="dxa"/>
            <w:vAlign w:val="center"/>
          </w:tcPr>
          <w:p w14:paraId="2AD403EB">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5</w:t>
            </w:r>
          </w:p>
        </w:tc>
        <w:tc>
          <w:tcPr>
            <w:tcW w:w="2570" w:type="dxa"/>
            <w:vAlign w:val="center"/>
          </w:tcPr>
          <w:p w14:paraId="63B075DB">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丙溴磷</w:t>
            </w:r>
            <w:r>
              <w:rPr>
                <w:rFonts w:hint="eastAsia" w:ascii="Times New Roman" w:hAnsi="Times New Roman" w:eastAsia="仿宋_GB2312"/>
                <w:b w:val="0"/>
                <w:bCs w:val="0"/>
                <w:color w:val="auto"/>
                <w:sz w:val="28"/>
                <w:szCs w:val="28"/>
                <w:highlight w:val="none"/>
                <w:vertAlign w:val="superscript"/>
              </w:rPr>
              <w:t>d</w:t>
            </w:r>
          </w:p>
        </w:tc>
        <w:tc>
          <w:tcPr>
            <w:tcW w:w="3444" w:type="dxa"/>
            <w:vAlign w:val="center"/>
          </w:tcPr>
          <w:p w14:paraId="3185B13F">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2763</w:t>
            </w:r>
          </w:p>
        </w:tc>
        <w:tc>
          <w:tcPr>
            <w:tcW w:w="2205" w:type="dxa"/>
            <w:vAlign w:val="center"/>
          </w:tcPr>
          <w:p w14:paraId="117DCD98">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23200.113</w:t>
            </w:r>
          </w:p>
        </w:tc>
      </w:tr>
      <w:tr w14:paraId="5FE5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exact"/>
        </w:trPr>
        <w:tc>
          <w:tcPr>
            <w:tcW w:w="9039" w:type="dxa"/>
            <w:gridSpan w:val="4"/>
            <w:vAlign w:val="center"/>
          </w:tcPr>
          <w:p w14:paraId="187042E2">
            <w:pPr>
              <w:overflowPunct w:val="0"/>
              <w:topLinePunct/>
              <w:spacing w:line="240" w:lineRule="exact"/>
              <w:rPr>
                <w:rFonts w:ascii="Times New Roman" w:hAnsi="Times New Roman" w:eastAsia="仿宋_GB2312"/>
                <w:b w:val="0"/>
                <w:bCs w:val="0"/>
                <w:color w:val="auto"/>
                <w:highlight w:val="none"/>
              </w:rPr>
            </w:pPr>
            <w:r>
              <w:rPr>
                <w:rFonts w:hint="eastAsia" w:ascii="Times New Roman" w:hAnsi="Times New Roman" w:eastAsia="仿宋_GB2312"/>
                <w:b w:val="0"/>
                <w:bCs w:val="0"/>
                <w:color w:val="auto"/>
                <w:highlight w:val="none"/>
              </w:rPr>
              <w:t>注：</w:t>
            </w:r>
            <w:r>
              <w:rPr>
                <w:rFonts w:ascii="Times New Roman" w:hAnsi="Times New Roman" w:eastAsia="仿宋_GB2312"/>
                <w:b w:val="0"/>
                <w:bCs w:val="0"/>
                <w:color w:val="auto"/>
                <w:highlight w:val="none"/>
              </w:rPr>
              <w:t>a.</w:t>
            </w:r>
            <w:r>
              <w:rPr>
                <w:rFonts w:hint="eastAsia" w:ascii="Times New Roman" w:hAnsi="Times New Roman" w:eastAsia="仿宋_GB2312"/>
                <w:b w:val="0"/>
                <w:bCs w:val="0"/>
                <w:color w:val="auto"/>
                <w:highlight w:val="none"/>
              </w:rPr>
              <w:t>b</w:t>
            </w:r>
            <w:r>
              <w:rPr>
                <w:rFonts w:ascii="Times New Roman" w:hAnsi="Times New Roman" w:eastAsia="仿宋_GB2312"/>
                <w:b w:val="0"/>
                <w:bCs w:val="0"/>
                <w:color w:val="auto"/>
                <w:highlight w:val="none"/>
              </w:rPr>
              <w:t xml:space="preserve"> </w:t>
            </w:r>
            <w:r>
              <w:rPr>
                <w:rFonts w:hint="eastAsia" w:ascii="Times New Roman" w:hAnsi="Times New Roman" w:eastAsia="仿宋_GB2312"/>
                <w:b w:val="0"/>
                <w:bCs w:val="0"/>
                <w:color w:val="auto"/>
                <w:highlight w:val="none"/>
              </w:rPr>
              <w:t>限辣椒粉、花椒粉类调味品检测。</w:t>
            </w:r>
          </w:p>
          <w:p w14:paraId="3B164696">
            <w:pPr>
              <w:pStyle w:val="23"/>
              <w:widowControl/>
              <w:rPr>
                <w:rFonts w:hint="default" w:ascii="仿宋" w:hAnsi="仿宋" w:eastAsia="仿宋" w:cs="仿宋"/>
                <w:b w:val="0"/>
                <w:bCs w:val="0"/>
                <w:color w:val="auto"/>
                <w:sz w:val="20"/>
                <w:szCs w:val="20"/>
                <w:highlight w:val="none"/>
              </w:rPr>
            </w:pPr>
            <w:r>
              <w:rPr>
                <w:rFonts w:ascii="仿宋" w:hAnsi="仿宋" w:eastAsia="仿宋" w:cs="仿宋"/>
                <w:b w:val="0"/>
                <w:bCs w:val="0"/>
                <w:color w:val="auto"/>
                <w:sz w:val="20"/>
                <w:szCs w:val="20"/>
                <w:highlight w:val="none"/>
              </w:rPr>
              <w:t>b</w:t>
            </w:r>
            <w:r>
              <w:rPr>
                <w:rFonts w:ascii="Times New Roman" w:hAnsi="Times New Roman" w:eastAsia="仿宋_GB2312"/>
                <w:b w:val="0"/>
                <w:bCs w:val="0"/>
                <w:color w:val="auto"/>
                <w:highlight w:val="none"/>
              </w:rPr>
              <w:t>.</w:t>
            </w:r>
            <w:r>
              <w:rPr>
                <w:rFonts w:ascii="仿宋" w:hAnsi="仿宋" w:eastAsia="仿宋" w:cs="仿宋"/>
                <w:b w:val="0"/>
                <w:bCs w:val="0"/>
                <w:color w:val="auto"/>
                <w:sz w:val="20"/>
                <w:szCs w:val="20"/>
                <w:highlight w:val="none"/>
              </w:rPr>
              <w:t xml:space="preserve">辣椒粉按 </w:t>
            </w:r>
            <w:r>
              <w:rPr>
                <w:rFonts w:ascii="TimesNewRomanPSMT" w:hAnsi="TimesNewRomanPSMT" w:eastAsia="TimesNewRomanPSMT" w:cs="TimesNewRomanPSMT"/>
                <w:b w:val="0"/>
                <w:bCs w:val="0"/>
                <w:color w:val="auto"/>
                <w:sz w:val="20"/>
                <w:szCs w:val="20"/>
                <w:highlight w:val="none"/>
              </w:rPr>
              <w:t>SN/T2430</w:t>
            </w:r>
            <w:r>
              <w:rPr>
                <w:rFonts w:hint="default" w:ascii="仿宋" w:hAnsi="仿宋" w:eastAsia="仿宋" w:cs="仿宋"/>
                <w:b w:val="0"/>
                <w:bCs w:val="0"/>
                <w:color w:val="auto"/>
                <w:sz w:val="20"/>
                <w:szCs w:val="20"/>
                <w:highlight w:val="none"/>
              </w:rPr>
              <w:t xml:space="preserve">检测，花椒粉按 </w:t>
            </w:r>
            <w:r>
              <w:rPr>
                <w:rFonts w:hint="default" w:ascii="TimesNewRomanPSMT" w:hAnsi="TimesNewRomanPSMT" w:eastAsia="TimesNewRomanPSMT" w:cs="TimesNewRomanPSMT"/>
                <w:b w:val="0"/>
                <w:bCs w:val="0"/>
                <w:color w:val="auto"/>
                <w:sz w:val="20"/>
                <w:szCs w:val="20"/>
                <w:highlight w:val="none"/>
              </w:rPr>
              <w:t>BJS201905</w:t>
            </w:r>
            <w:r>
              <w:rPr>
                <w:rFonts w:hint="default" w:ascii="仿宋" w:hAnsi="仿宋" w:eastAsia="仿宋" w:cs="仿宋"/>
                <w:b w:val="0"/>
                <w:bCs w:val="0"/>
                <w:color w:val="auto"/>
                <w:sz w:val="20"/>
                <w:szCs w:val="20"/>
                <w:highlight w:val="none"/>
              </w:rPr>
              <w:t>检测。</w:t>
            </w:r>
          </w:p>
          <w:p w14:paraId="3C3EFD95">
            <w:pPr>
              <w:pStyle w:val="23"/>
              <w:widowControl/>
              <w:rPr>
                <w:rFonts w:hint="default" w:ascii="仿宋" w:hAnsi="仿宋" w:eastAsia="仿宋" w:cs="仿宋"/>
                <w:b w:val="0"/>
                <w:bCs w:val="0"/>
                <w:color w:val="auto"/>
                <w:sz w:val="20"/>
                <w:szCs w:val="20"/>
                <w:highlight w:val="none"/>
              </w:rPr>
            </w:pPr>
            <w:r>
              <w:rPr>
                <w:rFonts w:ascii="仿宋" w:hAnsi="仿宋" w:eastAsia="仿宋" w:cs="仿宋"/>
                <w:b w:val="0"/>
                <w:bCs w:val="0"/>
                <w:color w:val="auto"/>
                <w:sz w:val="20"/>
                <w:szCs w:val="20"/>
                <w:highlight w:val="none"/>
              </w:rPr>
              <w:t>c.限辣椒粉、花椒粉类调味品，烧烤腌料、腌制料、小面调料、做菜的自制调味料检测。</w:t>
            </w:r>
          </w:p>
          <w:p w14:paraId="28E643EA">
            <w:pPr>
              <w:pStyle w:val="23"/>
              <w:widowControl/>
              <w:rPr>
                <w:rFonts w:hint="default" w:ascii="Times New Roman" w:hAnsi="Times New Roman" w:eastAsia="仿宋_GB2312"/>
                <w:b w:val="0"/>
                <w:bCs w:val="0"/>
                <w:color w:val="auto"/>
                <w:highlight w:val="none"/>
              </w:rPr>
            </w:pPr>
            <w:r>
              <w:rPr>
                <w:rFonts w:ascii="仿宋" w:hAnsi="仿宋" w:eastAsia="仿宋" w:cs="仿宋"/>
                <w:b w:val="0"/>
                <w:bCs w:val="0"/>
                <w:color w:val="auto"/>
                <w:sz w:val="20"/>
                <w:szCs w:val="20"/>
                <w:highlight w:val="none"/>
              </w:rPr>
              <w:t>d.限</w:t>
            </w:r>
            <w:r>
              <w:rPr>
                <w:rFonts w:ascii="TimesNewRomanPSMT" w:hAnsi="TimesNewRomanPSMT" w:eastAsia="TimesNewRomanPSMT" w:cs="TimesNewRomanPSMT"/>
                <w:b w:val="0"/>
                <w:bCs w:val="0"/>
                <w:color w:val="auto"/>
                <w:sz w:val="20"/>
                <w:szCs w:val="20"/>
                <w:highlight w:val="none"/>
              </w:rPr>
              <w:t>2020</w:t>
            </w:r>
            <w:r>
              <w:rPr>
                <w:rFonts w:hint="default" w:ascii="仿宋" w:hAnsi="仿宋" w:eastAsia="仿宋" w:cs="仿宋"/>
                <w:b w:val="0"/>
                <w:bCs w:val="0"/>
                <w:color w:val="auto"/>
                <w:sz w:val="20"/>
                <w:szCs w:val="20"/>
                <w:highlight w:val="none"/>
              </w:rPr>
              <w:t>年</w:t>
            </w:r>
            <w:r>
              <w:rPr>
                <w:rFonts w:hint="default" w:ascii="TimesNewRomanPSMT" w:hAnsi="TimesNewRomanPSMT" w:eastAsia="TimesNewRomanPSMT" w:cs="TimesNewRomanPSMT"/>
                <w:b w:val="0"/>
                <w:bCs w:val="0"/>
                <w:color w:val="auto"/>
                <w:sz w:val="20"/>
                <w:szCs w:val="20"/>
                <w:highlight w:val="none"/>
              </w:rPr>
              <w:t>2</w:t>
            </w:r>
            <w:r>
              <w:rPr>
                <w:rFonts w:hint="default" w:ascii="仿宋" w:hAnsi="仿宋" w:eastAsia="仿宋" w:cs="仿宋"/>
                <w:b w:val="0"/>
                <w:bCs w:val="0"/>
                <w:color w:val="auto"/>
                <w:sz w:val="20"/>
                <w:szCs w:val="20"/>
                <w:highlight w:val="none"/>
              </w:rPr>
              <w:t xml:space="preserve">月 </w:t>
            </w:r>
            <w:r>
              <w:rPr>
                <w:rFonts w:hint="default" w:ascii="TimesNewRomanPSMT" w:hAnsi="TimesNewRomanPSMT" w:eastAsia="TimesNewRomanPSMT" w:cs="TimesNewRomanPSMT"/>
                <w:b w:val="0"/>
                <w:bCs w:val="0"/>
                <w:color w:val="auto"/>
                <w:sz w:val="20"/>
                <w:szCs w:val="20"/>
                <w:highlight w:val="none"/>
              </w:rPr>
              <w:t>15</w:t>
            </w:r>
            <w:r>
              <w:rPr>
                <w:rFonts w:hint="default" w:ascii="仿宋" w:hAnsi="仿宋" w:eastAsia="仿宋" w:cs="仿宋"/>
                <w:b w:val="0"/>
                <w:bCs w:val="0"/>
                <w:color w:val="auto"/>
                <w:sz w:val="20"/>
                <w:szCs w:val="20"/>
                <w:highlight w:val="none"/>
              </w:rPr>
              <w:t>日（含）之后生产的</w:t>
            </w:r>
            <w:r>
              <w:rPr>
                <w:rFonts w:ascii="仿宋" w:hAnsi="仿宋" w:eastAsia="仿宋" w:cs="仿宋"/>
                <w:b w:val="0"/>
                <w:bCs w:val="0"/>
                <w:color w:val="auto"/>
                <w:sz w:val="20"/>
                <w:szCs w:val="20"/>
                <w:highlight w:val="none"/>
              </w:rPr>
              <w:t>孜然粉。</w:t>
            </w:r>
          </w:p>
        </w:tc>
      </w:tr>
    </w:tbl>
    <w:p w14:paraId="7F5CAE19">
      <w:pPr>
        <w:widowControl/>
        <w:spacing w:before="156" w:beforeLines="50" w:after="156" w:afterLines="50" w:line="36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 xml:space="preserve"> </w:t>
      </w:r>
    </w:p>
    <w:p w14:paraId="69EEF412">
      <w:pPr>
        <w:widowControl/>
        <w:spacing w:before="156" w:beforeLines="50" w:after="156" w:afterLines="50" w:line="36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 xml:space="preserve"> 表4-</w:t>
      </w:r>
      <w:r>
        <w:rPr>
          <w:rFonts w:hint="eastAsia" w:ascii="Times New Roman" w:hAnsi="Times New Roman" w:eastAsia="黑体"/>
          <w:b w:val="0"/>
          <w:bCs w:val="0"/>
          <w:color w:val="auto"/>
          <w:sz w:val="28"/>
          <w:szCs w:val="28"/>
          <w:highlight w:val="none"/>
          <w:lang w:val="en-US" w:eastAsia="zh-CN"/>
        </w:rPr>
        <w:t>10</w:t>
      </w:r>
      <w:r>
        <w:rPr>
          <w:rFonts w:hint="eastAsia" w:ascii="Times New Roman" w:hAnsi="Times New Roman" w:eastAsia="黑体"/>
          <w:b w:val="0"/>
          <w:bCs w:val="0"/>
          <w:color w:val="auto"/>
          <w:sz w:val="28"/>
          <w:szCs w:val="28"/>
          <w:highlight w:val="none"/>
        </w:rPr>
        <w:t xml:space="preserve"> 果蔬汁饮料(自制)检验项目及检测方法</w:t>
      </w:r>
    </w:p>
    <w:tbl>
      <w:tblPr>
        <w:tblStyle w:val="2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480"/>
        <w:gridCol w:w="3534"/>
        <w:gridCol w:w="2205"/>
      </w:tblGrid>
      <w:tr w14:paraId="5340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tblHeader/>
          <w:jc w:val="center"/>
        </w:trPr>
        <w:tc>
          <w:tcPr>
            <w:tcW w:w="820" w:type="dxa"/>
            <w:vAlign w:val="center"/>
          </w:tcPr>
          <w:p w14:paraId="6BA2B0BE">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序号</w:t>
            </w:r>
          </w:p>
        </w:tc>
        <w:tc>
          <w:tcPr>
            <w:tcW w:w="2480" w:type="dxa"/>
            <w:vAlign w:val="center"/>
          </w:tcPr>
          <w:p w14:paraId="231DE07C">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检验项目</w:t>
            </w:r>
          </w:p>
        </w:tc>
        <w:tc>
          <w:tcPr>
            <w:tcW w:w="3534" w:type="dxa"/>
            <w:vAlign w:val="center"/>
          </w:tcPr>
          <w:p w14:paraId="45824233">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依据法律法规或标准</w:t>
            </w:r>
          </w:p>
        </w:tc>
        <w:tc>
          <w:tcPr>
            <w:tcW w:w="2205" w:type="dxa"/>
            <w:vAlign w:val="center"/>
          </w:tcPr>
          <w:p w14:paraId="19E802F3">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检测方法</w:t>
            </w:r>
          </w:p>
        </w:tc>
      </w:tr>
      <w:tr w14:paraId="5E3C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exact"/>
          <w:jc w:val="center"/>
        </w:trPr>
        <w:tc>
          <w:tcPr>
            <w:tcW w:w="820" w:type="dxa"/>
            <w:vAlign w:val="center"/>
          </w:tcPr>
          <w:p w14:paraId="27BAD2F3">
            <w:pPr>
              <w:overflowPunct w:val="0"/>
              <w:topLinePunct/>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1</w:t>
            </w:r>
          </w:p>
        </w:tc>
        <w:tc>
          <w:tcPr>
            <w:tcW w:w="2480" w:type="dxa"/>
            <w:vAlign w:val="center"/>
          </w:tcPr>
          <w:p w14:paraId="397EE004">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苯甲酸及其钠盐（以苯甲酸计）</w:t>
            </w:r>
          </w:p>
        </w:tc>
        <w:tc>
          <w:tcPr>
            <w:tcW w:w="3534" w:type="dxa"/>
            <w:vAlign w:val="center"/>
          </w:tcPr>
          <w:p w14:paraId="71C5DDBD">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2760</w:t>
            </w:r>
          </w:p>
        </w:tc>
        <w:tc>
          <w:tcPr>
            <w:tcW w:w="2205" w:type="dxa"/>
            <w:vAlign w:val="center"/>
          </w:tcPr>
          <w:p w14:paraId="65B9FF38">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5009.28</w:t>
            </w:r>
          </w:p>
        </w:tc>
      </w:tr>
      <w:tr w14:paraId="39B7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exact"/>
          <w:jc w:val="center"/>
        </w:trPr>
        <w:tc>
          <w:tcPr>
            <w:tcW w:w="820" w:type="dxa"/>
            <w:vAlign w:val="center"/>
          </w:tcPr>
          <w:p w14:paraId="4D3BCD44">
            <w:pPr>
              <w:overflowPunct w:val="0"/>
              <w:topLinePunct/>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2</w:t>
            </w:r>
          </w:p>
        </w:tc>
        <w:tc>
          <w:tcPr>
            <w:tcW w:w="2480" w:type="dxa"/>
            <w:vAlign w:val="center"/>
          </w:tcPr>
          <w:p w14:paraId="067EBE94">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山梨酸及其钾盐（以山梨酸计）</w:t>
            </w:r>
          </w:p>
        </w:tc>
        <w:tc>
          <w:tcPr>
            <w:tcW w:w="3534" w:type="dxa"/>
            <w:vAlign w:val="center"/>
          </w:tcPr>
          <w:p w14:paraId="46B846E8">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2760</w:t>
            </w:r>
          </w:p>
        </w:tc>
        <w:tc>
          <w:tcPr>
            <w:tcW w:w="2205" w:type="dxa"/>
            <w:vAlign w:val="center"/>
          </w:tcPr>
          <w:p w14:paraId="2BFD2A3B">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5009.28</w:t>
            </w:r>
          </w:p>
        </w:tc>
      </w:tr>
      <w:tr w14:paraId="39A4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jc w:val="center"/>
        </w:trPr>
        <w:tc>
          <w:tcPr>
            <w:tcW w:w="820" w:type="dxa"/>
            <w:vAlign w:val="center"/>
          </w:tcPr>
          <w:p w14:paraId="1A5AC9EE">
            <w:pPr>
              <w:overflowPunct w:val="0"/>
              <w:topLinePunct/>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3</w:t>
            </w:r>
          </w:p>
        </w:tc>
        <w:tc>
          <w:tcPr>
            <w:tcW w:w="2480" w:type="dxa"/>
            <w:vAlign w:val="center"/>
          </w:tcPr>
          <w:p w14:paraId="3378AAB2">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糖精钠（以糖精计）</w:t>
            </w:r>
          </w:p>
        </w:tc>
        <w:tc>
          <w:tcPr>
            <w:tcW w:w="3534" w:type="dxa"/>
            <w:vAlign w:val="center"/>
          </w:tcPr>
          <w:p w14:paraId="535102F1">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2760</w:t>
            </w:r>
          </w:p>
        </w:tc>
        <w:tc>
          <w:tcPr>
            <w:tcW w:w="2205" w:type="dxa"/>
            <w:vAlign w:val="center"/>
          </w:tcPr>
          <w:p w14:paraId="0B845B73">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5009.28</w:t>
            </w:r>
          </w:p>
        </w:tc>
      </w:tr>
      <w:tr w14:paraId="0C7B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exact"/>
          <w:jc w:val="center"/>
        </w:trPr>
        <w:tc>
          <w:tcPr>
            <w:tcW w:w="820" w:type="dxa"/>
            <w:vAlign w:val="center"/>
          </w:tcPr>
          <w:p w14:paraId="4A30BA83">
            <w:pPr>
              <w:overflowPunct w:val="0"/>
              <w:topLinePunct/>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4</w:t>
            </w:r>
          </w:p>
        </w:tc>
        <w:tc>
          <w:tcPr>
            <w:tcW w:w="2480" w:type="dxa"/>
            <w:vAlign w:val="center"/>
          </w:tcPr>
          <w:p w14:paraId="4D425B26">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甜蜜素（以环己基氨基磺酸钠计）</w:t>
            </w:r>
          </w:p>
        </w:tc>
        <w:tc>
          <w:tcPr>
            <w:tcW w:w="3534" w:type="dxa"/>
            <w:vAlign w:val="center"/>
          </w:tcPr>
          <w:p w14:paraId="1B9834DD">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2760</w:t>
            </w:r>
          </w:p>
        </w:tc>
        <w:tc>
          <w:tcPr>
            <w:tcW w:w="2205" w:type="dxa"/>
            <w:vAlign w:val="center"/>
          </w:tcPr>
          <w:p w14:paraId="2F090EF7">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5009.97</w:t>
            </w:r>
          </w:p>
        </w:tc>
      </w:tr>
      <w:tr w14:paraId="1FD8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exact"/>
          <w:jc w:val="center"/>
        </w:trPr>
        <w:tc>
          <w:tcPr>
            <w:tcW w:w="820" w:type="dxa"/>
            <w:vAlign w:val="center"/>
          </w:tcPr>
          <w:p w14:paraId="1D0C488C">
            <w:pPr>
              <w:overflowPunct w:val="0"/>
              <w:topLinePunct/>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5</w:t>
            </w:r>
          </w:p>
        </w:tc>
        <w:tc>
          <w:tcPr>
            <w:tcW w:w="2480" w:type="dxa"/>
            <w:vAlign w:val="center"/>
          </w:tcPr>
          <w:p w14:paraId="19B23C55">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脱氢乙酸及其钠盐（以脱氢乙酸计）</w:t>
            </w:r>
          </w:p>
        </w:tc>
        <w:tc>
          <w:tcPr>
            <w:tcW w:w="3534" w:type="dxa"/>
            <w:vAlign w:val="center"/>
          </w:tcPr>
          <w:p w14:paraId="7450722D">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2760</w:t>
            </w:r>
          </w:p>
        </w:tc>
        <w:tc>
          <w:tcPr>
            <w:tcW w:w="2205" w:type="dxa"/>
            <w:vAlign w:val="center"/>
          </w:tcPr>
          <w:p w14:paraId="397AF21F">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5009.121</w:t>
            </w:r>
          </w:p>
        </w:tc>
      </w:tr>
      <w:tr w14:paraId="2050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exact"/>
          <w:jc w:val="center"/>
        </w:trPr>
        <w:tc>
          <w:tcPr>
            <w:tcW w:w="820" w:type="dxa"/>
            <w:vAlign w:val="center"/>
          </w:tcPr>
          <w:p w14:paraId="1536D6EB">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6</w:t>
            </w:r>
          </w:p>
        </w:tc>
        <w:tc>
          <w:tcPr>
            <w:tcW w:w="2480" w:type="dxa"/>
            <w:vAlign w:val="center"/>
          </w:tcPr>
          <w:p w14:paraId="44E615CD">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合成着色剂（苋菜红、胭脂红、柠檬黄、日落黄、亮蓝）</w:t>
            </w:r>
          </w:p>
        </w:tc>
        <w:tc>
          <w:tcPr>
            <w:tcW w:w="3534" w:type="dxa"/>
            <w:vAlign w:val="center"/>
          </w:tcPr>
          <w:p w14:paraId="758BAAB0">
            <w:pPr>
              <w:widowControl/>
              <w:spacing w:line="400" w:lineRule="exact"/>
              <w:jc w:val="center"/>
              <w:textAlignment w:val="center"/>
              <w:rPr>
                <w:rFonts w:ascii="Times New Roman" w:hAnsi="Times New Roman" w:eastAsia="仿宋_GB2312"/>
                <w:b w:val="0"/>
                <w:bCs w:val="0"/>
                <w:color w:val="auto"/>
                <w:sz w:val="28"/>
                <w:szCs w:val="28"/>
                <w:highlight w:val="none"/>
              </w:rPr>
            </w:pPr>
            <w:r>
              <w:rPr>
                <w:rFonts w:ascii="Times New Roman" w:hAnsi="Times New Roman" w:eastAsia="仿宋"/>
                <w:b w:val="0"/>
                <w:bCs w:val="0"/>
                <w:color w:val="auto"/>
                <w:kern w:val="0"/>
                <w:sz w:val="28"/>
                <w:szCs w:val="28"/>
                <w:highlight w:val="none"/>
              </w:rPr>
              <w:t>GB 276</w:t>
            </w:r>
            <w:r>
              <w:rPr>
                <w:rFonts w:hint="eastAsia" w:ascii="Times New Roman" w:hAnsi="Times New Roman" w:eastAsia="仿宋"/>
                <w:b w:val="0"/>
                <w:bCs w:val="0"/>
                <w:color w:val="auto"/>
                <w:kern w:val="0"/>
                <w:sz w:val="28"/>
                <w:szCs w:val="28"/>
                <w:highlight w:val="none"/>
              </w:rPr>
              <w:t>0</w:t>
            </w:r>
          </w:p>
        </w:tc>
        <w:tc>
          <w:tcPr>
            <w:tcW w:w="2205" w:type="dxa"/>
            <w:vAlign w:val="center"/>
          </w:tcPr>
          <w:p w14:paraId="72931B5F">
            <w:pPr>
              <w:overflowPunct w:val="0"/>
              <w:topLinePunct/>
              <w:snapToGrid w:val="0"/>
              <w:spacing w:line="400" w:lineRule="exact"/>
              <w:jc w:val="center"/>
              <w:rPr>
                <w:rFonts w:ascii="Times New Roman" w:hAnsi="Times New Roman" w:eastAsia="仿宋_GB2312"/>
                <w:b w:val="0"/>
                <w:bCs w:val="0"/>
                <w:color w:val="auto"/>
                <w:sz w:val="28"/>
                <w:szCs w:val="28"/>
                <w:highlight w:val="none"/>
              </w:rPr>
            </w:pPr>
            <w:r>
              <w:rPr>
                <w:rFonts w:ascii="Times New Roman" w:hAnsi="Times New Roman" w:eastAsia="仿宋"/>
                <w:b w:val="0"/>
                <w:bCs w:val="0"/>
                <w:color w:val="auto"/>
                <w:sz w:val="28"/>
                <w:szCs w:val="28"/>
                <w:highlight w:val="none"/>
              </w:rPr>
              <w:t>GB 5009.</w:t>
            </w:r>
            <w:r>
              <w:rPr>
                <w:rFonts w:hint="eastAsia" w:ascii="Times New Roman" w:hAnsi="Times New Roman" w:eastAsia="仿宋"/>
                <w:b w:val="0"/>
                <w:bCs w:val="0"/>
                <w:color w:val="auto"/>
                <w:sz w:val="28"/>
                <w:szCs w:val="28"/>
                <w:highlight w:val="none"/>
              </w:rPr>
              <w:t>35</w:t>
            </w:r>
          </w:p>
        </w:tc>
      </w:tr>
      <w:tr w14:paraId="7A64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exact"/>
          <w:jc w:val="center"/>
        </w:trPr>
        <w:tc>
          <w:tcPr>
            <w:tcW w:w="820" w:type="dxa"/>
            <w:vAlign w:val="center"/>
          </w:tcPr>
          <w:p w14:paraId="1E8B3895">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7</w:t>
            </w:r>
          </w:p>
        </w:tc>
        <w:tc>
          <w:tcPr>
            <w:tcW w:w="2480" w:type="dxa"/>
            <w:vAlign w:val="center"/>
          </w:tcPr>
          <w:p w14:paraId="2C2B2489">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防腐剂混合使用时各自用量占其最大使用量的比例之和</w:t>
            </w:r>
          </w:p>
        </w:tc>
        <w:tc>
          <w:tcPr>
            <w:tcW w:w="3534" w:type="dxa"/>
            <w:vAlign w:val="center"/>
          </w:tcPr>
          <w:p w14:paraId="01C4CB48">
            <w:pPr>
              <w:widowControl/>
              <w:spacing w:line="400" w:lineRule="exact"/>
              <w:jc w:val="center"/>
              <w:textAlignment w:val="center"/>
              <w:rPr>
                <w:rFonts w:ascii="Times New Roman" w:hAnsi="Times New Roman" w:eastAsia="仿宋"/>
                <w:b w:val="0"/>
                <w:bCs w:val="0"/>
                <w:color w:val="auto"/>
                <w:kern w:val="0"/>
                <w:sz w:val="28"/>
                <w:szCs w:val="28"/>
                <w:highlight w:val="none"/>
              </w:rPr>
            </w:pPr>
            <w:r>
              <w:rPr>
                <w:rFonts w:ascii="Times New Roman" w:hAnsi="Times New Roman" w:eastAsia="仿宋"/>
                <w:b w:val="0"/>
                <w:bCs w:val="0"/>
                <w:color w:val="auto"/>
                <w:kern w:val="0"/>
                <w:sz w:val="28"/>
                <w:szCs w:val="28"/>
                <w:highlight w:val="none"/>
              </w:rPr>
              <w:t>GB 276</w:t>
            </w:r>
            <w:r>
              <w:rPr>
                <w:rFonts w:hint="eastAsia" w:ascii="Times New Roman" w:hAnsi="Times New Roman" w:eastAsia="仿宋"/>
                <w:b w:val="0"/>
                <w:bCs w:val="0"/>
                <w:color w:val="auto"/>
                <w:kern w:val="0"/>
                <w:sz w:val="28"/>
                <w:szCs w:val="28"/>
                <w:highlight w:val="none"/>
              </w:rPr>
              <w:t>0</w:t>
            </w:r>
          </w:p>
        </w:tc>
        <w:tc>
          <w:tcPr>
            <w:tcW w:w="2205" w:type="dxa"/>
            <w:vAlign w:val="center"/>
          </w:tcPr>
          <w:p w14:paraId="3C76F6CA">
            <w:pPr>
              <w:overflowPunct w:val="0"/>
              <w:topLinePunct/>
              <w:snapToGrid w:val="0"/>
              <w:spacing w:line="400" w:lineRule="exact"/>
              <w:jc w:val="center"/>
              <w:rPr>
                <w:rFonts w:ascii="Times New Roman" w:hAnsi="Times New Roman" w:eastAsia="仿宋"/>
                <w:b w:val="0"/>
                <w:bCs w:val="0"/>
                <w:color w:val="auto"/>
                <w:sz w:val="28"/>
                <w:szCs w:val="28"/>
                <w:highlight w:val="none"/>
              </w:rPr>
            </w:pPr>
            <w:r>
              <w:rPr>
                <w:rFonts w:hint="eastAsia" w:ascii="Times New Roman" w:hAnsi="Times New Roman" w:eastAsia="仿宋"/>
                <w:b w:val="0"/>
                <w:bCs w:val="0"/>
                <w:color w:val="auto"/>
                <w:sz w:val="28"/>
                <w:szCs w:val="28"/>
                <w:highlight w:val="none"/>
              </w:rPr>
              <w:t>/</w:t>
            </w:r>
          </w:p>
        </w:tc>
      </w:tr>
      <w:tr w14:paraId="1C82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exact"/>
          <w:jc w:val="center"/>
        </w:trPr>
        <w:tc>
          <w:tcPr>
            <w:tcW w:w="9039" w:type="dxa"/>
            <w:gridSpan w:val="4"/>
            <w:vAlign w:val="center"/>
          </w:tcPr>
          <w:p w14:paraId="17B4D816">
            <w:pPr>
              <w:overflowPunct w:val="0"/>
              <w:topLinePunct/>
              <w:snapToGrid w:val="0"/>
              <w:spacing w:line="400" w:lineRule="exact"/>
              <w:jc w:val="left"/>
              <w:rPr>
                <w:rFonts w:hint="eastAsia" w:ascii="Times New Roman" w:hAnsi="Times New Roman" w:eastAsia="仿宋"/>
                <w:b w:val="0"/>
                <w:bCs w:val="0"/>
                <w:color w:val="auto"/>
                <w:sz w:val="28"/>
                <w:szCs w:val="28"/>
                <w:highlight w:val="none"/>
              </w:rPr>
            </w:pPr>
            <w:r>
              <w:rPr>
                <w:rFonts w:hint="eastAsia" w:ascii="仿宋_GB2312" w:hAnsi="仿宋_GB2312" w:eastAsia="仿宋_GB2312" w:cs="仿宋_GB2312"/>
                <w:b w:val="0"/>
                <w:bCs w:val="0"/>
                <w:color w:val="auto"/>
                <w:highlight w:val="none"/>
                <w:lang w:val="en-US" w:eastAsia="zh-CN"/>
              </w:rPr>
              <w:t>注：</w:t>
            </w:r>
            <w:r>
              <w:rPr>
                <w:rFonts w:hint="eastAsia" w:ascii="仿宋_GB2312" w:hAnsi="仿宋_GB2312" w:eastAsia="仿宋_GB2312" w:cs="仿宋_GB2312"/>
                <w:b w:val="0"/>
                <w:bCs w:val="0"/>
                <w:color w:val="auto"/>
                <w:kern w:val="0"/>
                <w:sz w:val="21"/>
                <w:szCs w:val="21"/>
                <w:highlight w:val="none"/>
                <w:lang w:val="en-US" w:eastAsia="zh-CN" w:bidi="ar"/>
              </w:rPr>
              <w:t>视产品具体色泽而定</w:t>
            </w:r>
          </w:p>
        </w:tc>
      </w:tr>
    </w:tbl>
    <w:p w14:paraId="4CC30FB0">
      <w:pPr>
        <w:widowControl/>
        <w:spacing w:before="156" w:beforeLines="50" w:after="156" w:afterLines="50" w:line="360" w:lineRule="exact"/>
        <w:jc w:val="center"/>
        <w:rPr>
          <w:rFonts w:ascii="Times New Roman" w:hAnsi="Times New Roman" w:eastAsia="黑体"/>
          <w:b w:val="0"/>
          <w:bCs w:val="0"/>
          <w:color w:val="auto"/>
          <w:sz w:val="28"/>
          <w:szCs w:val="28"/>
          <w:highlight w:val="none"/>
        </w:rPr>
      </w:pPr>
    </w:p>
    <w:p w14:paraId="4EA59182">
      <w:pPr>
        <w:widowControl/>
        <w:spacing w:before="156" w:beforeLines="50" w:after="156" w:afterLines="50" w:line="36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 xml:space="preserve"> 表4-</w:t>
      </w:r>
      <w:r>
        <w:rPr>
          <w:rFonts w:hint="eastAsia" w:ascii="Times New Roman" w:hAnsi="Times New Roman" w:eastAsia="黑体"/>
          <w:b w:val="0"/>
          <w:bCs w:val="0"/>
          <w:color w:val="auto"/>
          <w:sz w:val="28"/>
          <w:szCs w:val="28"/>
          <w:highlight w:val="none"/>
          <w:lang w:val="en-US" w:eastAsia="zh-CN"/>
        </w:rPr>
        <w:t>11</w:t>
      </w:r>
      <w:r>
        <w:rPr>
          <w:rFonts w:hint="eastAsia" w:ascii="Times New Roman" w:hAnsi="Times New Roman" w:eastAsia="黑体"/>
          <w:b w:val="0"/>
          <w:bCs w:val="0"/>
          <w:color w:val="auto"/>
          <w:sz w:val="28"/>
          <w:szCs w:val="28"/>
          <w:highlight w:val="none"/>
        </w:rPr>
        <w:t xml:space="preserve"> 其他饮料(自制)检验项目及检测方法</w:t>
      </w:r>
    </w:p>
    <w:tbl>
      <w:tblPr>
        <w:tblStyle w:val="2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480"/>
        <w:gridCol w:w="3534"/>
        <w:gridCol w:w="2205"/>
      </w:tblGrid>
      <w:tr w14:paraId="53D7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tblHeader/>
          <w:jc w:val="center"/>
        </w:trPr>
        <w:tc>
          <w:tcPr>
            <w:tcW w:w="820" w:type="dxa"/>
            <w:vAlign w:val="center"/>
          </w:tcPr>
          <w:p w14:paraId="352FD245">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序号</w:t>
            </w:r>
          </w:p>
        </w:tc>
        <w:tc>
          <w:tcPr>
            <w:tcW w:w="2480" w:type="dxa"/>
            <w:vAlign w:val="center"/>
          </w:tcPr>
          <w:p w14:paraId="0F59C4A4">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检验项目</w:t>
            </w:r>
          </w:p>
        </w:tc>
        <w:tc>
          <w:tcPr>
            <w:tcW w:w="3534" w:type="dxa"/>
            <w:vAlign w:val="center"/>
          </w:tcPr>
          <w:p w14:paraId="2B90D5CE">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依据法律法规或标准</w:t>
            </w:r>
          </w:p>
        </w:tc>
        <w:tc>
          <w:tcPr>
            <w:tcW w:w="2205" w:type="dxa"/>
            <w:vAlign w:val="center"/>
          </w:tcPr>
          <w:p w14:paraId="37EA4A3C">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检测方法</w:t>
            </w:r>
          </w:p>
        </w:tc>
      </w:tr>
      <w:tr w14:paraId="34A4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exact"/>
          <w:jc w:val="center"/>
        </w:trPr>
        <w:tc>
          <w:tcPr>
            <w:tcW w:w="820" w:type="dxa"/>
            <w:vAlign w:val="center"/>
          </w:tcPr>
          <w:p w14:paraId="5FC515C4">
            <w:pPr>
              <w:overflowPunct w:val="0"/>
              <w:topLinePunct/>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1</w:t>
            </w:r>
          </w:p>
        </w:tc>
        <w:tc>
          <w:tcPr>
            <w:tcW w:w="2480" w:type="dxa"/>
            <w:vAlign w:val="center"/>
          </w:tcPr>
          <w:p w14:paraId="56AE3A80">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苯甲酸及其钠盐（以苯甲酸计）</w:t>
            </w:r>
          </w:p>
        </w:tc>
        <w:tc>
          <w:tcPr>
            <w:tcW w:w="3534" w:type="dxa"/>
            <w:vAlign w:val="center"/>
          </w:tcPr>
          <w:p w14:paraId="71B9E156">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2760</w:t>
            </w:r>
          </w:p>
        </w:tc>
        <w:tc>
          <w:tcPr>
            <w:tcW w:w="2205" w:type="dxa"/>
            <w:vAlign w:val="center"/>
          </w:tcPr>
          <w:p w14:paraId="23012B51">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5009.28</w:t>
            </w:r>
          </w:p>
        </w:tc>
      </w:tr>
      <w:tr w14:paraId="36C9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exact"/>
          <w:jc w:val="center"/>
        </w:trPr>
        <w:tc>
          <w:tcPr>
            <w:tcW w:w="820" w:type="dxa"/>
            <w:vAlign w:val="center"/>
          </w:tcPr>
          <w:p w14:paraId="3620CCE2">
            <w:pPr>
              <w:overflowPunct w:val="0"/>
              <w:topLinePunct/>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2</w:t>
            </w:r>
          </w:p>
        </w:tc>
        <w:tc>
          <w:tcPr>
            <w:tcW w:w="2480" w:type="dxa"/>
            <w:vAlign w:val="center"/>
          </w:tcPr>
          <w:p w14:paraId="79B0F24D">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山梨酸及其钾盐（以山梨酸计）</w:t>
            </w:r>
          </w:p>
        </w:tc>
        <w:tc>
          <w:tcPr>
            <w:tcW w:w="3534" w:type="dxa"/>
            <w:vAlign w:val="center"/>
          </w:tcPr>
          <w:p w14:paraId="1FBAD03E">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2760</w:t>
            </w:r>
          </w:p>
        </w:tc>
        <w:tc>
          <w:tcPr>
            <w:tcW w:w="2205" w:type="dxa"/>
            <w:vAlign w:val="center"/>
          </w:tcPr>
          <w:p w14:paraId="6C7845E2">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5009.28</w:t>
            </w:r>
          </w:p>
        </w:tc>
      </w:tr>
      <w:tr w14:paraId="4844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jc w:val="center"/>
        </w:trPr>
        <w:tc>
          <w:tcPr>
            <w:tcW w:w="820" w:type="dxa"/>
            <w:vAlign w:val="center"/>
          </w:tcPr>
          <w:p w14:paraId="0EF6FAE4">
            <w:pPr>
              <w:overflowPunct w:val="0"/>
              <w:topLinePunct/>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3</w:t>
            </w:r>
          </w:p>
        </w:tc>
        <w:tc>
          <w:tcPr>
            <w:tcW w:w="2480" w:type="dxa"/>
            <w:vAlign w:val="center"/>
          </w:tcPr>
          <w:p w14:paraId="2CA12C86">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糖精钠（以糖精计）</w:t>
            </w:r>
          </w:p>
        </w:tc>
        <w:tc>
          <w:tcPr>
            <w:tcW w:w="3534" w:type="dxa"/>
            <w:vAlign w:val="center"/>
          </w:tcPr>
          <w:p w14:paraId="4C07D124">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2760</w:t>
            </w:r>
          </w:p>
        </w:tc>
        <w:tc>
          <w:tcPr>
            <w:tcW w:w="2205" w:type="dxa"/>
            <w:vAlign w:val="center"/>
          </w:tcPr>
          <w:p w14:paraId="7F85502C">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5009.28</w:t>
            </w:r>
          </w:p>
        </w:tc>
      </w:tr>
      <w:tr w14:paraId="7FE5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exact"/>
          <w:jc w:val="center"/>
        </w:trPr>
        <w:tc>
          <w:tcPr>
            <w:tcW w:w="820" w:type="dxa"/>
            <w:vAlign w:val="center"/>
          </w:tcPr>
          <w:p w14:paraId="43E6F6D5">
            <w:pPr>
              <w:overflowPunct w:val="0"/>
              <w:topLinePunct/>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4</w:t>
            </w:r>
          </w:p>
        </w:tc>
        <w:tc>
          <w:tcPr>
            <w:tcW w:w="2480" w:type="dxa"/>
            <w:vAlign w:val="center"/>
          </w:tcPr>
          <w:p w14:paraId="567AD267">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甜蜜素（以环己基氨基磺酸钠计）</w:t>
            </w:r>
          </w:p>
        </w:tc>
        <w:tc>
          <w:tcPr>
            <w:tcW w:w="3534" w:type="dxa"/>
            <w:vAlign w:val="center"/>
          </w:tcPr>
          <w:p w14:paraId="29EE96DD">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2760</w:t>
            </w:r>
          </w:p>
        </w:tc>
        <w:tc>
          <w:tcPr>
            <w:tcW w:w="2205" w:type="dxa"/>
            <w:vAlign w:val="center"/>
          </w:tcPr>
          <w:p w14:paraId="421F17B8">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5009.97</w:t>
            </w:r>
          </w:p>
        </w:tc>
      </w:tr>
      <w:tr w14:paraId="2B50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exact"/>
          <w:jc w:val="center"/>
        </w:trPr>
        <w:tc>
          <w:tcPr>
            <w:tcW w:w="820" w:type="dxa"/>
            <w:vAlign w:val="center"/>
          </w:tcPr>
          <w:p w14:paraId="72BAC018">
            <w:pPr>
              <w:overflowPunct w:val="0"/>
              <w:topLinePunct/>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5</w:t>
            </w:r>
          </w:p>
        </w:tc>
        <w:tc>
          <w:tcPr>
            <w:tcW w:w="2480" w:type="dxa"/>
            <w:vAlign w:val="center"/>
          </w:tcPr>
          <w:p w14:paraId="44B81464">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脱氢乙酸及其钠盐（以脱氢乙酸计）</w:t>
            </w:r>
          </w:p>
        </w:tc>
        <w:tc>
          <w:tcPr>
            <w:tcW w:w="3534" w:type="dxa"/>
            <w:vAlign w:val="center"/>
          </w:tcPr>
          <w:p w14:paraId="44FA8312">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2760</w:t>
            </w:r>
          </w:p>
        </w:tc>
        <w:tc>
          <w:tcPr>
            <w:tcW w:w="2205" w:type="dxa"/>
            <w:vAlign w:val="center"/>
          </w:tcPr>
          <w:p w14:paraId="40EE51AD">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5009.121</w:t>
            </w:r>
          </w:p>
        </w:tc>
      </w:tr>
      <w:tr w14:paraId="2966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exact"/>
          <w:jc w:val="center"/>
        </w:trPr>
        <w:tc>
          <w:tcPr>
            <w:tcW w:w="820" w:type="dxa"/>
            <w:vAlign w:val="center"/>
          </w:tcPr>
          <w:p w14:paraId="4B1FD035">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6</w:t>
            </w:r>
          </w:p>
        </w:tc>
        <w:tc>
          <w:tcPr>
            <w:tcW w:w="2480" w:type="dxa"/>
            <w:vAlign w:val="center"/>
          </w:tcPr>
          <w:p w14:paraId="21D8DE95">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合成着色剂（苋菜红、胭脂红、柠檬黄、日落黄、亮蓝）</w:t>
            </w:r>
          </w:p>
        </w:tc>
        <w:tc>
          <w:tcPr>
            <w:tcW w:w="3534" w:type="dxa"/>
            <w:vAlign w:val="center"/>
          </w:tcPr>
          <w:p w14:paraId="09F0D2CD">
            <w:pPr>
              <w:widowControl/>
              <w:spacing w:line="400" w:lineRule="exact"/>
              <w:jc w:val="center"/>
              <w:textAlignment w:val="center"/>
              <w:rPr>
                <w:rFonts w:ascii="Times New Roman" w:hAnsi="Times New Roman" w:eastAsia="仿宋_GB2312"/>
                <w:b w:val="0"/>
                <w:bCs w:val="0"/>
                <w:color w:val="auto"/>
                <w:sz w:val="28"/>
                <w:szCs w:val="28"/>
                <w:highlight w:val="none"/>
              </w:rPr>
            </w:pPr>
            <w:r>
              <w:rPr>
                <w:rFonts w:ascii="Times New Roman" w:hAnsi="Times New Roman" w:eastAsia="仿宋"/>
                <w:b w:val="0"/>
                <w:bCs w:val="0"/>
                <w:color w:val="auto"/>
                <w:kern w:val="0"/>
                <w:sz w:val="28"/>
                <w:szCs w:val="28"/>
                <w:highlight w:val="none"/>
              </w:rPr>
              <w:t>GB 276</w:t>
            </w:r>
            <w:r>
              <w:rPr>
                <w:rFonts w:hint="eastAsia" w:ascii="Times New Roman" w:hAnsi="Times New Roman" w:eastAsia="仿宋"/>
                <w:b w:val="0"/>
                <w:bCs w:val="0"/>
                <w:color w:val="auto"/>
                <w:kern w:val="0"/>
                <w:sz w:val="28"/>
                <w:szCs w:val="28"/>
                <w:highlight w:val="none"/>
              </w:rPr>
              <w:t>0</w:t>
            </w:r>
          </w:p>
        </w:tc>
        <w:tc>
          <w:tcPr>
            <w:tcW w:w="2205" w:type="dxa"/>
            <w:vAlign w:val="center"/>
          </w:tcPr>
          <w:p w14:paraId="0859655B">
            <w:pPr>
              <w:overflowPunct w:val="0"/>
              <w:topLinePunct/>
              <w:snapToGrid w:val="0"/>
              <w:spacing w:line="400" w:lineRule="exact"/>
              <w:jc w:val="center"/>
              <w:rPr>
                <w:rFonts w:ascii="Times New Roman" w:hAnsi="Times New Roman" w:eastAsia="仿宋_GB2312"/>
                <w:b w:val="0"/>
                <w:bCs w:val="0"/>
                <w:color w:val="auto"/>
                <w:sz w:val="28"/>
                <w:szCs w:val="28"/>
                <w:highlight w:val="none"/>
              </w:rPr>
            </w:pPr>
            <w:r>
              <w:rPr>
                <w:rFonts w:ascii="Times New Roman" w:hAnsi="Times New Roman" w:eastAsia="仿宋"/>
                <w:b w:val="0"/>
                <w:bCs w:val="0"/>
                <w:color w:val="auto"/>
                <w:sz w:val="28"/>
                <w:szCs w:val="28"/>
                <w:highlight w:val="none"/>
              </w:rPr>
              <w:t>GB 5009.</w:t>
            </w:r>
            <w:r>
              <w:rPr>
                <w:rFonts w:hint="eastAsia" w:ascii="Times New Roman" w:hAnsi="Times New Roman" w:eastAsia="仿宋"/>
                <w:b w:val="0"/>
                <w:bCs w:val="0"/>
                <w:color w:val="auto"/>
                <w:sz w:val="28"/>
                <w:szCs w:val="28"/>
                <w:highlight w:val="none"/>
              </w:rPr>
              <w:t>35</w:t>
            </w:r>
          </w:p>
        </w:tc>
      </w:tr>
      <w:tr w14:paraId="5B92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exact"/>
          <w:jc w:val="center"/>
        </w:trPr>
        <w:tc>
          <w:tcPr>
            <w:tcW w:w="820" w:type="dxa"/>
            <w:vAlign w:val="center"/>
          </w:tcPr>
          <w:p w14:paraId="3D3B6F8B">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7</w:t>
            </w:r>
          </w:p>
        </w:tc>
        <w:tc>
          <w:tcPr>
            <w:tcW w:w="2480" w:type="dxa"/>
            <w:vAlign w:val="center"/>
          </w:tcPr>
          <w:p w14:paraId="191AC224">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防腐剂混合使用时各自用量占其最大使用量的比例之和</w:t>
            </w:r>
          </w:p>
        </w:tc>
        <w:tc>
          <w:tcPr>
            <w:tcW w:w="3534" w:type="dxa"/>
            <w:vAlign w:val="center"/>
          </w:tcPr>
          <w:p w14:paraId="1C605B28">
            <w:pPr>
              <w:widowControl/>
              <w:spacing w:line="400" w:lineRule="exact"/>
              <w:jc w:val="center"/>
              <w:textAlignment w:val="center"/>
              <w:rPr>
                <w:rFonts w:ascii="Times New Roman" w:hAnsi="Times New Roman" w:eastAsia="仿宋"/>
                <w:b w:val="0"/>
                <w:bCs w:val="0"/>
                <w:color w:val="auto"/>
                <w:kern w:val="0"/>
                <w:sz w:val="28"/>
                <w:szCs w:val="28"/>
                <w:highlight w:val="none"/>
              </w:rPr>
            </w:pPr>
            <w:r>
              <w:rPr>
                <w:rFonts w:ascii="Times New Roman" w:hAnsi="Times New Roman" w:eastAsia="仿宋"/>
                <w:b w:val="0"/>
                <w:bCs w:val="0"/>
                <w:color w:val="auto"/>
                <w:kern w:val="0"/>
                <w:sz w:val="28"/>
                <w:szCs w:val="28"/>
                <w:highlight w:val="none"/>
              </w:rPr>
              <w:t>GB 276</w:t>
            </w:r>
            <w:r>
              <w:rPr>
                <w:rFonts w:hint="eastAsia" w:ascii="Times New Roman" w:hAnsi="Times New Roman" w:eastAsia="仿宋"/>
                <w:b w:val="0"/>
                <w:bCs w:val="0"/>
                <w:color w:val="auto"/>
                <w:kern w:val="0"/>
                <w:sz w:val="28"/>
                <w:szCs w:val="28"/>
                <w:highlight w:val="none"/>
              </w:rPr>
              <w:t>0</w:t>
            </w:r>
          </w:p>
        </w:tc>
        <w:tc>
          <w:tcPr>
            <w:tcW w:w="2205" w:type="dxa"/>
            <w:vAlign w:val="center"/>
          </w:tcPr>
          <w:p w14:paraId="135F97D4">
            <w:pPr>
              <w:overflowPunct w:val="0"/>
              <w:topLinePunct/>
              <w:snapToGrid w:val="0"/>
              <w:spacing w:line="400" w:lineRule="exact"/>
              <w:jc w:val="center"/>
              <w:rPr>
                <w:rFonts w:ascii="Times New Roman" w:hAnsi="Times New Roman" w:eastAsia="仿宋"/>
                <w:b w:val="0"/>
                <w:bCs w:val="0"/>
                <w:color w:val="auto"/>
                <w:sz w:val="28"/>
                <w:szCs w:val="28"/>
                <w:highlight w:val="none"/>
              </w:rPr>
            </w:pPr>
            <w:r>
              <w:rPr>
                <w:rFonts w:hint="eastAsia" w:ascii="Times New Roman" w:hAnsi="Times New Roman" w:eastAsia="仿宋"/>
                <w:b w:val="0"/>
                <w:bCs w:val="0"/>
                <w:color w:val="auto"/>
                <w:sz w:val="28"/>
                <w:szCs w:val="28"/>
                <w:highlight w:val="none"/>
              </w:rPr>
              <w:t>/</w:t>
            </w:r>
          </w:p>
        </w:tc>
      </w:tr>
      <w:tr w14:paraId="24EF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jc w:val="center"/>
        </w:trPr>
        <w:tc>
          <w:tcPr>
            <w:tcW w:w="9039" w:type="dxa"/>
            <w:gridSpan w:val="4"/>
            <w:vAlign w:val="center"/>
          </w:tcPr>
          <w:p w14:paraId="0D223497">
            <w:pPr>
              <w:overflowPunct w:val="0"/>
              <w:topLinePunct/>
              <w:snapToGrid w:val="0"/>
              <w:spacing w:line="400" w:lineRule="exact"/>
              <w:jc w:val="left"/>
              <w:rPr>
                <w:rFonts w:hint="eastAsia" w:ascii="Times New Roman" w:hAnsi="Times New Roman" w:eastAsia="仿宋"/>
                <w:b w:val="0"/>
                <w:bCs w:val="0"/>
                <w:color w:val="auto"/>
                <w:sz w:val="28"/>
                <w:szCs w:val="28"/>
                <w:highlight w:val="none"/>
              </w:rPr>
            </w:pPr>
            <w:r>
              <w:rPr>
                <w:rFonts w:hint="eastAsia" w:ascii="仿宋_GB2312" w:hAnsi="仿宋_GB2312" w:eastAsia="仿宋_GB2312" w:cs="仿宋_GB2312"/>
                <w:b w:val="0"/>
                <w:bCs w:val="0"/>
                <w:color w:val="auto"/>
                <w:highlight w:val="none"/>
                <w:lang w:val="en-US" w:eastAsia="zh-CN"/>
              </w:rPr>
              <w:t>注：</w:t>
            </w:r>
            <w:r>
              <w:rPr>
                <w:rFonts w:hint="eastAsia" w:ascii="仿宋_GB2312" w:hAnsi="仿宋_GB2312" w:eastAsia="仿宋_GB2312" w:cs="仿宋_GB2312"/>
                <w:b w:val="0"/>
                <w:bCs w:val="0"/>
                <w:color w:val="auto"/>
                <w:kern w:val="0"/>
                <w:sz w:val="21"/>
                <w:szCs w:val="21"/>
                <w:highlight w:val="none"/>
                <w:lang w:val="en-US" w:eastAsia="zh-CN" w:bidi="ar"/>
              </w:rPr>
              <w:t>视产品具体色泽而定</w:t>
            </w:r>
          </w:p>
        </w:tc>
      </w:tr>
    </w:tbl>
    <w:p w14:paraId="52E41FDE">
      <w:pPr>
        <w:widowControl/>
        <w:spacing w:before="156" w:beforeLines="50" w:after="156" w:afterLines="50" w:line="360" w:lineRule="exact"/>
        <w:jc w:val="center"/>
        <w:rPr>
          <w:rFonts w:ascii="Times New Roman" w:hAnsi="Times New Roman" w:eastAsia="黑体"/>
          <w:b w:val="0"/>
          <w:bCs w:val="0"/>
          <w:color w:val="auto"/>
          <w:sz w:val="28"/>
          <w:szCs w:val="28"/>
          <w:highlight w:val="none"/>
        </w:rPr>
      </w:pPr>
    </w:p>
    <w:p w14:paraId="001123A6">
      <w:pPr>
        <w:widowControl/>
        <w:spacing w:before="156" w:beforeLines="50" w:after="156" w:afterLines="50" w:line="36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 xml:space="preserve"> 表4-1</w:t>
      </w:r>
      <w:r>
        <w:rPr>
          <w:rFonts w:hint="eastAsia" w:ascii="Times New Roman" w:hAnsi="Times New Roman" w:eastAsia="黑体"/>
          <w:b w:val="0"/>
          <w:bCs w:val="0"/>
          <w:color w:val="auto"/>
          <w:sz w:val="28"/>
          <w:szCs w:val="28"/>
          <w:highlight w:val="none"/>
          <w:lang w:val="en-US" w:eastAsia="zh-CN"/>
        </w:rPr>
        <w:t>2</w:t>
      </w:r>
      <w:r>
        <w:rPr>
          <w:rFonts w:hint="eastAsia" w:ascii="Times New Roman" w:hAnsi="Times New Roman" w:eastAsia="黑体"/>
          <w:b w:val="0"/>
          <w:bCs w:val="0"/>
          <w:color w:val="auto"/>
          <w:sz w:val="28"/>
          <w:szCs w:val="28"/>
          <w:highlight w:val="none"/>
        </w:rPr>
        <w:t xml:space="preserve"> 煎炸过程用油检验项目及检测方法</w:t>
      </w:r>
    </w:p>
    <w:tbl>
      <w:tblPr>
        <w:tblStyle w:val="2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480"/>
        <w:gridCol w:w="3534"/>
        <w:gridCol w:w="2205"/>
      </w:tblGrid>
      <w:tr w14:paraId="2CA8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tblHeader/>
          <w:jc w:val="center"/>
        </w:trPr>
        <w:tc>
          <w:tcPr>
            <w:tcW w:w="820" w:type="dxa"/>
            <w:vAlign w:val="center"/>
          </w:tcPr>
          <w:p w14:paraId="5C049DB8">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序号</w:t>
            </w:r>
          </w:p>
        </w:tc>
        <w:tc>
          <w:tcPr>
            <w:tcW w:w="2480" w:type="dxa"/>
            <w:vAlign w:val="center"/>
          </w:tcPr>
          <w:p w14:paraId="46D617E2">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检验项目</w:t>
            </w:r>
          </w:p>
        </w:tc>
        <w:tc>
          <w:tcPr>
            <w:tcW w:w="3534" w:type="dxa"/>
            <w:vAlign w:val="center"/>
          </w:tcPr>
          <w:p w14:paraId="2F4649A9">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依据法律法规或标准</w:t>
            </w:r>
          </w:p>
        </w:tc>
        <w:tc>
          <w:tcPr>
            <w:tcW w:w="2205" w:type="dxa"/>
            <w:vAlign w:val="center"/>
          </w:tcPr>
          <w:p w14:paraId="41C6A84E">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检测方法</w:t>
            </w:r>
          </w:p>
        </w:tc>
      </w:tr>
      <w:tr w14:paraId="4D36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exact"/>
          <w:jc w:val="center"/>
        </w:trPr>
        <w:tc>
          <w:tcPr>
            <w:tcW w:w="820" w:type="dxa"/>
            <w:vAlign w:val="center"/>
          </w:tcPr>
          <w:p w14:paraId="6F74FD78">
            <w:pPr>
              <w:overflowPunct w:val="0"/>
              <w:topLinePunct/>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1</w:t>
            </w:r>
          </w:p>
        </w:tc>
        <w:tc>
          <w:tcPr>
            <w:tcW w:w="2480" w:type="dxa"/>
            <w:vAlign w:val="center"/>
          </w:tcPr>
          <w:p w14:paraId="19109432">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酸价</w:t>
            </w:r>
          </w:p>
        </w:tc>
        <w:tc>
          <w:tcPr>
            <w:tcW w:w="3534" w:type="dxa"/>
            <w:vAlign w:val="center"/>
          </w:tcPr>
          <w:p w14:paraId="23555C81">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27</w:t>
            </w:r>
            <w:r>
              <w:rPr>
                <w:rFonts w:hint="eastAsia" w:ascii="Times New Roman" w:hAnsi="Times New Roman" w:eastAsia="仿宋_GB2312"/>
                <w:b w:val="0"/>
                <w:bCs w:val="0"/>
                <w:color w:val="auto"/>
                <w:sz w:val="28"/>
                <w:szCs w:val="28"/>
                <w:highlight w:val="none"/>
              </w:rPr>
              <w:t>16</w:t>
            </w:r>
          </w:p>
        </w:tc>
        <w:tc>
          <w:tcPr>
            <w:tcW w:w="2205" w:type="dxa"/>
            <w:vAlign w:val="center"/>
          </w:tcPr>
          <w:p w14:paraId="20F1896D">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5009.</w:t>
            </w:r>
            <w:r>
              <w:rPr>
                <w:rFonts w:hint="eastAsia" w:ascii="Times New Roman" w:hAnsi="Times New Roman" w:eastAsia="仿宋_GB2312"/>
                <w:b w:val="0"/>
                <w:bCs w:val="0"/>
                <w:color w:val="auto"/>
                <w:sz w:val="28"/>
                <w:szCs w:val="28"/>
                <w:highlight w:val="none"/>
              </w:rPr>
              <w:t>229</w:t>
            </w:r>
          </w:p>
        </w:tc>
      </w:tr>
      <w:tr w14:paraId="1CEF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exact"/>
          <w:jc w:val="center"/>
        </w:trPr>
        <w:tc>
          <w:tcPr>
            <w:tcW w:w="820" w:type="dxa"/>
            <w:vAlign w:val="center"/>
          </w:tcPr>
          <w:p w14:paraId="45C63835">
            <w:pPr>
              <w:overflowPunct w:val="0"/>
              <w:topLinePunct/>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2</w:t>
            </w:r>
          </w:p>
        </w:tc>
        <w:tc>
          <w:tcPr>
            <w:tcW w:w="2480" w:type="dxa"/>
            <w:vAlign w:val="center"/>
          </w:tcPr>
          <w:p w14:paraId="3A0E1BC4">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极性组分</w:t>
            </w:r>
          </w:p>
        </w:tc>
        <w:tc>
          <w:tcPr>
            <w:tcW w:w="3534" w:type="dxa"/>
            <w:vAlign w:val="center"/>
          </w:tcPr>
          <w:p w14:paraId="18F3FF4B">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27</w:t>
            </w:r>
            <w:r>
              <w:rPr>
                <w:rFonts w:hint="eastAsia" w:ascii="Times New Roman" w:hAnsi="Times New Roman" w:eastAsia="仿宋_GB2312"/>
                <w:b w:val="0"/>
                <w:bCs w:val="0"/>
                <w:color w:val="auto"/>
                <w:sz w:val="28"/>
                <w:szCs w:val="28"/>
                <w:highlight w:val="none"/>
              </w:rPr>
              <w:t>16</w:t>
            </w:r>
          </w:p>
        </w:tc>
        <w:tc>
          <w:tcPr>
            <w:tcW w:w="2205" w:type="dxa"/>
            <w:vAlign w:val="center"/>
          </w:tcPr>
          <w:p w14:paraId="1F146DFB">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5009.</w:t>
            </w:r>
            <w:r>
              <w:rPr>
                <w:rFonts w:hint="eastAsia" w:ascii="Times New Roman" w:hAnsi="Times New Roman" w:eastAsia="仿宋_GB2312"/>
                <w:b w:val="0"/>
                <w:bCs w:val="0"/>
                <w:color w:val="auto"/>
                <w:sz w:val="28"/>
                <w:szCs w:val="28"/>
                <w:highlight w:val="none"/>
              </w:rPr>
              <w:t>202</w:t>
            </w:r>
          </w:p>
        </w:tc>
      </w:tr>
    </w:tbl>
    <w:p w14:paraId="3D8F4146">
      <w:pPr>
        <w:widowControl/>
        <w:spacing w:before="156" w:beforeLines="50" w:after="156" w:afterLines="50" w:line="360" w:lineRule="exact"/>
        <w:rPr>
          <w:rFonts w:ascii="Times New Roman" w:hAnsi="Times New Roman" w:eastAsia="黑体"/>
          <w:b w:val="0"/>
          <w:bCs w:val="0"/>
          <w:color w:val="auto"/>
          <w:sz w:val="28"/>
          <w:szCs w:val="28"/>
          <w:highlight w:val="none"/>
        </w:rPr>
      </w:pPr>
    </w:p>
    <w:p w14:paraId="5F7025CB">
      <w:pPr>
        <w:widowControl/>
        <w:spacing w:before="156" w:beforeLines="50" w:after="156" w:afterLines="50" w:line="36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表4-1</w:t>
      </w:r>
      <w:r>
        <w:rPr>
          <w:rFonts w:hint="eastAsia" w:ascii="Times New Roman" w:hAnsi="Times New Roman" w:eastAsia="黑体"/>
          <w:b w:val="0"/>
          <w:bCs w:val="0"/>
          <w:color w:val="auto"/>
          <w:sz w:val="28"/>
          <w:szCs w:val="28"/>
          <w:highlight w:val="none"/>
          <w:lang w:val="en-US" w:eastAsia="zh-CN"/>
        </w:rPr>
        <w:t>3</w:t>
      </w:r>
      <w:r>
        <w:rPr>
          <w:rFonts w:hint="eastAsia" w:ascii="Times New Roman" w:hAnsi="Times New Roman" w:eastAsia="黑体"/>
          <w:b w:val="0"/>
          <w:bCs w:val="0"/>
          <w:color w:val="auto"/>
          <w:sz w:val="28"/>
          <w:szCs w:val="28"/>
          <w:highlight w:val="none"/>
        </w:rPr>
        <w:t xml:space="preserve"> 粽子(自制)检验项目及检测方法</w:t>
      </w:r>
    </w:p>
    <w:tbl>
      <w:tblPr>
        <w:tblStyle w:val="2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480"/>
        <w:gridCol w:w="3534"/>
        <w:gridCol w:w="2205"/>
      </w:tblGrid>
      <w:tr w14:paraId="3222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tblHeader/>
          <w:jc w:val="center"/>
        </w:trPr>
        <w:tc>
          <w:tcPr>
            <w:tcW w:w="820" w:type="dxa"/>
            <w:vAlign w:val="center"/>
          </w:tcPr>
          <w:p w14:paraId="6517BE2C">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序号</w:t>
            </w:r>
          </w:p>
        </w:tc>
        <w:tc>
          <w:tcPr>
            <w:tcW w:w="2480" w:type="dxa"/>
            <w:vAlign w:val="center"/>
          </w:tcPr>
          <w:p w14:paraId="500137E5">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检验项目</w:t>
            </w:r>
          </w:p>
        </w:tc>
        <w:tc>
          <w:tcPr>
            <w:tcW w:w="3534" w:type="dxa"/>
            <w:vAlign w:val="center"/>
          </w:tcPr>
          <w:p w14:paraId="588E9E33">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依据法律法规或标准</w:t>
            </w:r>
          </w:p>
        </w:tc>
        <w:tc>
          <w:tcPr>
            <w:tcW w:w="2205" w:type="dxa"/>
            <w:vAlign w:val="center"/>
          </w:tcPr>
          <w:p w14:paraId="6BADF02A">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检测方法</w:t>
            </w:r>
          </w:p>
        </w:tc>
      </w:tr>
      <w:tr w14:paraId="49F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exact"/>
          <w:jc w:val="center"/>
        </w:trPr>
        <w:tc>
          <w:tcPr>
            <w:tcW w:w="820" w:type="dxa"/>
            <w:vAlign w:val="center"/>
          </w:tcPr>
          <w:p w14:paraId="74324E85">
            <w:pPr>
              <w:overflowPunct w:val="0"/>
              <w:topLinePunct/>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1</w:t>
            </w:r>
          </w:p>
        </w:tc>
        <w:tc>
          <w:tcPr>
            <w:tcW w:w="2480" w:type="dxa"/>
            <w:vAlign w:val="center"/>
          </w:tcPr>
          <w:p w14:paraId="75EBE22D">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山梨酸及其钾盐（以山梨酸计）</w:t>
            </w:r>
          </w:p>
        </w:tc>
        <w:tc>
          <w:tcPr>
            <w:tcW w:w="3534" w:type="dxa"/>
            <w:vAlign w:val="center"/>
          </w:tcPr>
          <w:p w14:paraId="6EDEE15E">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2760</w:t>
            </w:r>
          </w:p>
        </w:tc>
        <w:tc>
          <w:tcPr>
            <w:tcW w:w="2205" w:type="dxa"/>
            <w:vAlign w:val="center"/>
          </w:tcPr>
          <w:p w14:paraId="18BB6421">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5009.28</w:t>
            </w:r>
          </w:p>
        </w:tc>
      </w:tr>
      <w:tr w14:paraId="6013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exact"/>
          <w:jc w:val="center"/>
        </w:trPr>
        <w:tc>
          <w:tcPr>
            <w:tcW w:w="820" w:type="dxa"/>
            <w:vAlign w:val="center"/>
          </w:tcPr>
          <w:p w14:paraId="7FD48323">
            <w:pPr>
              <w:overflowPunct w:val="0"/>
              <w:topLinePunct/>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2</w:t>
            </w:r>
          </w:p>
        </w:tc>
        <w:tc>
          <w:tcPr>
            <w:tcW w:w="2480" w:type="dxa"/>
            <w:vAlign w:val="center"/>
          </w:tcPr>
          <w:p w14:paraId="63BBF190">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脱氢乙酸及其钠盐（以脱氢乙酸计）</w:t>
            </w:r>
          </w:p>
        </w:tc>
        <w:tc>
          <w:tcPr>
            <w:tcW w:w="3534" w:type="dxa"/>
            <w:vAlign w:val="center"/>
          </w:tcPr>
          <w:p w14:paraId="6A041297">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2760</w:t>
            </w:r>
          </w:p>
        </w:tc>
        <w:tc>
          <w:tcPr>
            <w:tcW w:w="2205" w:type="dxa"/>
            <w:vAlign w:val="center"/>
          </w:tcPr>
          <w:p w14:paraId="4A832451">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5009.121</w:t>
            </w:r>
          </w:p>
        </w:tc>
      </w:tr>
      <w:tr w14:paraId="431A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jc w:val="center"/>
        </w:trPr>
        <w:tc>
          <w:tcPr>
            <w:tcW w:w="820" w:type="dxa"/>
            <w:vAlign w:val="center"/>
          </w:tcPr>
          <w:p w14:paraId="4A469EF5">
            <w:pPr>
              <w:overflowPunct w:val="0"/>
              <w:topLinePunct/>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3</w:t>
            </w:r>
          </w:p>
        </w:tc>
        <w:tc>
          <w:tcPr>
            <w:tcW w:w="2480" w:type="dxa"/>
            <w:vAlign w:val="center"/>
          </w:tcPr>
          <w:p w14:paraId="356470FA">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糖精钠（以糖精计）</w:t>
            </w:r>
          </w:p>
        </w:tc>
        <w:tc>
          <w:tcPr>
            <w:tcW w:w="3534" w:type="dxa"/>
            <w:vAlign w:val="center"/>
          </w:tcPr>
          <w:p w14:paraId="5CC2828E">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2760</w:t>
            </w:r>
          </w:p>
        </w:tc>
        <w:tc>
          <w:tcPr>
            <w:tcW w:w="2205" w:type="dxa"/>
            <w:vAlign w:val="center"/>
          </w:tcPr>
          <w:p w14:paraId="4A76DF9E">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5009.28</w:t>
            </w:r>
          </w:p>
        </w:tc>
      </w:tr>
      <w:tr w14:paraId="0365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exact"/>
          <w:jc w:val="center"/>
        </w:trPr>
        <w:tc>
          <w:tcPr>
            <w:tcW w:w="820" w:type="dxa"/>
            <w:vAlign w:val="center"/>
          </w:tcPr>
          <w:p w14:paraId="2AD38B04">
            <w:pPr>
              <w:overflowPunct w:val="0"/>
              <w:topLinePunct/>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4</w:t>
            </w:r>
          </w:p>
        </w:tc>
        <w:tc>
          <w:tcPr>
            <w:tcW w:w="2480" w:type="dxa"/>
            <w:vAlign w:val="center"/>
          </w:tcPr>
          <w:p w14:paraId="08F8E61D">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安赛蜜</w:t>
            </w:r>
          </w:p>
        </w:tc>
        <w:tc>
          <w:tcPr>
            <w:tcW w:w="3534" w:type="dxa"/>
            <w:vAlign w:val="center"/>
          </w:tcPr>
          <w:p w14:paraId="52306F19">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2760</w:t>
            </w:r>
          </w:p>
        </w:tc>
        <w:tc>
          <w:tcPr>
            <w:tcW w:w="2205" w:type="dxa"/>
            <w:vAlign w:val="center"/>
          </w:tcPr>
          <w:p w14:paraId="6BC3508F">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SN/T 3538</w:t>
            </w:r>
          </w:p>
        </w:tc>
      </w:tr>
      <w:tr w14:paraId="7661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exact"/>
          <w:jc w:val="center"/>
        </w:trPr>
        <w:tc>
          <w:tcPr>
            <w:tcW w:w="820" w:type="dxa"/>
            <w:vAlign w:val="center"/>
          </w:tcPr>
          <w:p w14:paraId="08CBBE7D">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5</w:t>
            </w:r>
          </w:p>
        </w:tc>
        <w:tc>
          <w:tcPr>
            <w:tcW w:w="2480" w:type="dxa"/>
            <w:vAlign w:val="center"/>
          </w:tcPr>
          <w:p w14:paraId="69C60966">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防腐剂混合使用时各自用量占其最大使用量的比例之和</w:t>
            </w:r>
          </w:p>
        </w:tc>
        <w:tc>
          <w:tcPr>
            <w:tcW w:w="3534" w:type="dxa"/>
            <w:vAlign w:val="center"/>
          </w:tcPr>
          <w:p w14:paraId="395F2177">
            <w:pPr>
              <w:widowControl/>
              <w:spacing w:line="400" w:lineRule="exact"/>
              <w:jc w:val="center"/>
              <w:textAlignment w:val="center"/>
              <w:rPr>
                <w:rFonts w:ascii="Times New Roman" w:hAnsi="Times New Roman" w:eastAsia="仿宋_GB2312"/>
                <w:b w:val="0"/>
                <w:bCs w:val="0"/>
                <w:color w:val="auto"/>
                <w:sz w:val="28"/>
                <w:szCs w:val="28"/>
                <w:highlight w:val="none"/>
              </w:rPr>
            </w:pPr>
            <w:r>
              <w:rPr>
                <w:rFonts w:ascii="Times New Roman" w:hAnsi="Times New Roman" w:eastAsia="仿宋"/>
                <w:b w:val="0"/>
                <w:bCs w:val="0"/>
                <w:color w:val="auto"/>
                <w:kern w:val="0"/>
                <w:sz w:val="28"/>
                <w:szCs w:val="28"/>
                <w:highlight w:val="none"/>
              </w:rPr>
              <w:t>GB 276</w:t>
            </w:r>
            <w:r>
              <w:rPr>
                <w:rFonts w:hint="eastAsia" w:ascii="Times New Roman" w:hAnsi="Times New Roman" w:eastAsia="仿宋"/>
                <w:b w:val="0"/>
                <w:bCs w:val="0"/>
                <w:color w:val="auto"/>
                <w:kern w:val="0"/>
                <w:sz w:val="28"/>
                <w:szCs w:val="28"/>
                <w:highlight w:val="none"/>
              </w:rPr>
              <w:t>0</w:t>
            </w:r>
          </w:p>
        </w:tc>
        <w:tc>
          <w:tcPr>
            <w:tcW w:w="2205" w:type="dxa"/>
            <w:vAlign w:val="center"/>
          </w:tcPr>
          <w:p w14:paraId="30BB9111">
            <w:pPr>
              <w:overflowPunct w:val="0"/>
              <w:topLinePunct/>
              <w:snapToGrid w:val="0"/>
              <w:spacing w:line="40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
                <w:b w:val="0"/>
                <w:bCs w:val="0"/>
                <w:color w:val="auto"/>
                <w:sz w:val="28"/>
                <w:szCs w:val="28"/>
                <w:highlight w:val="none"/>
              </w:rPr>
              <w:t>/</w:t>
            </w:r>
          </w:p>
        </w:tc>
      </w:tr>
    </w:tbl>
    <w:p w14:paraId="5AED609E">
      <w:pPr>
        <w:widowControl/>
        <w:spacing w:before="156" w:beforeLines="50" w:after="156" w:afterLines="50" w:line="360" w:lineRule="exact"/>
        <w:jc w:val="both"/>
        <w:rPr>
          <w:rFonts w:hint="eastAsia" w:ascii="Times New Roman" w:hAnsi="Times New Roman" w:eastAsia="黑体"/>
          <w:b w:val="0"/>
          <w:bCs w:val="0"/>
          <w:color w:val="auto"/>
          <w:sz w:val="28"/>
          <w:szCs w:val="28"/>
          <w:highlight w:val="none"/>
        </w:rPr>
      </w:pPr>
    </w:p>
    <w:p w14:paraId="3EDBDE1E">
      <w:pPr>
        <w:widowControl/>
        <w:spacing w:before="156" w:beforeLines="50" w:after="156" w:afterLines="50" w:line="360" w:lineRule="exact"/>
        <w:jc w:val="center"/>
        <w:rPr>
          <w:rFonts w:ascii="Times New Roman" w:hAnsi="Times New Roman" w:eastAsia="黑体"/>
          <w:b w:val="0"/>
          <w:bCs w:val="0"/>
          <w:color w:val="auto"/>
          <w:sz w:val="28"/>
          <w:szCs w:val="28"/>
          <w:highlight w:val="none"/>
        </w:rPr>
      </w:pPr>
      <w:commentRangeStart w:id="6"/>
      <w:r>
        <w:rPr>
          <w:rFonts w:hint="eastAsia" w:ascii="Times New Roman" w:hAnsi="Times New Roman" w:eastAsia="黑体"/>
          <w:b w:val="0"/>
          <w:bCs w:val="0"/>
          <w:color w:val="auto"/>
          <w:sz w:val="28"/>
          <w:szCs w:val="28"/>
          <w:highlight w:val="none"/>
        </w:rPr>
        <w:t>表4-1</w:t>
      </w:r>
      <w:r>
        <w:rPr>
          <w:rFonts w:hint="eastAsia" w:ascii="Times New Roman" w:hAnsi="Times New Roman" w:eastAsia="黑体"/>
          <w:b w:val="0"/>
          <w:bCs w:val="0"/>
          <w:color w:val="auto"/>
          <w:sz w:val="28"/>
          <w:szCs w:val="28"/>
          <w:highlight w:val="none"/>
          <w:lang w:val="en-US" w:eastAsia="zh-CN"/>
        </w:rPr>
        <w:t>4</w:t>
      </w:r>
      <w:r>
        <w:rPr>
          <w:rFonts w:hint="eastAsia" w:ascii="Times New Roman" w:hAnsi="Times New Roman" w:eastAsia="黑体"/>
          <w:b w:val="0"/>
          <w:bCs w:val="0"/>
          <w:color w:val="auto"/>
          <w:sz w:val="28"/>
          <w:szCs w:val="28"/>
          <w:highlight w:val="none"/>
        </w:rPr>
        <w:t xml:space="preserve"> 月饼(自制)检验项目及检测方法</w:t>
      </w:r>
      <w:commentRangeEnd w:id="6"/>
      <w:r>
        <w:rPr>
          <w:b w:val="0"/>
          <w:bCs w:val="0"/>
          <w:color w:val="auto"/>
          <w:highlight w:val="none"/>
        </w:rPr>
        <w:commentReference w:id="6"/>
      </w:r>
    </w:p>
    <w:tbl>
      <w:tblPr>
        <w:tblStyle w:val="2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480"/>
        <w:gridCol w:w="3234"/>
        <w:gridCol w:w="2505"/>
      </w:tblGrid>
      <w:tr w14:paraId="7B93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tblHeader/>
          <w:jc w:val="center"/>
        </w:trPr>
        <w:tc>
          <w:tcPr>
            <w:tcW w:w="820" w:type="dxa"/>
            <w:vAlign w:val="center"/>
          </w:tcPr>
          <w:p w14:paraId="09EF0B33">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序号</w:t>
            </w:r>
          </w:p>
        </w:tc>
        <w:tc>
          <w:tcPr>
            <w:tcW w:w="2480" w:type="dxa"/>
            <w:vAlign w:val="center"/>
          </w:tcPr>
          <w:p w14:paraId="51FC4B28">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检验项目</w:t>
            </w:r>
          </w:p>
        </w:tc>
        <w:tc>
          <w:tcPr>
            <w:tcW w:w="3234" w:type="dxa"/>
            <w:vAlign w:val="center"/>
          </w:tcPr>
          <w:p w14:paraId="6C0A3CB6">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依据法律法规或标准</w:t>
            </w:r>
          </w:p>
        </w:tc>
        <w:tc>
          <w:tcPr>
            <w:tcW w:w="2505" w:type="dxa"/>
            <w:vAlign w:val="center"/>
          </w:tcPr>
          <w:p w14:paraId="5619260B">
            <w:pPr>
              <w:overflowPunct w:val="0"/>
              <w:topLinePunct/>
              <w:snapToGrid w:val="0"/>
              <w:spacing w:line="400" w:lineRule="exact"/>
              <w:jc w:val="center"/>
              <w:rPr>
                <w:rFonts w:ascii="Times New Roman" w:hAnsi="Times New Roman" w:eastAsia="黑体"/>
                <w:b w:val="0"/>
                <w:bCs w:val="0"/>
                <w:color w:val="auto"/>
                <w:sz w:val="28"/>
                <w:szCs w:val="28"/>
                <w:highlight w:val="none"/>
              </w:rPr>
            </w:pPr>
            <w:r>
              <w:rPr>
                <w:rFonts w:hint="eastAsia" w:ascii="Times New Roman" w:hAnsi="Times New Roman" w:eastAsia="黑体"/>
                <w:b w:val="0"/>
                <w:bCs w:val="0"/>
                <w:color w:val="auto"/>
                <w:sz w:val="28"/>
                <w:szCs w:val="28"/>
                <w:highlight w:val="none"/>
              </w:rPr>
              <w:t>检测方法</w:t>
            </w:r>
          </w:p>
        </w:tc>
      </w:tr>
      <w:tr w14:paraId="053D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exact"/>
          <w:jc w:val="center"/>
        </w:trPr>
        <w:tc>
          <w:tcPr>
            <w:tcW w:w="820" w:type="dxa"/>
            <w:vAlign w:val="center"/>
          </w:tcPr>
          <w:p w14:paraId="5434884E">
            <w:pPr>
              <w:overflowPunct w:val="0"/>
              <w:topLinePunct/>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1</w:t>
            </w:r>
          </w:p>
        </w:tc>
        <w:tc>
          <w:tcPr>
            <w:tcW w:w="2480" w:type="dxa"/>
            <w:vAlign w:val="center"/>
          </w:tcPr>
          <w:p w14:paraId="747AFBD9">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苯甲酸及其钠盐（以苯甲酸计）</w:t>
            </w:r>
          </w:p>
        </w:tc>
        <w:tc>
          <w:tcPr>
            <w:tcW w:w="3234" w:type="dxa"/>
            <w:vAlign w:val="center"/>
          </w:tcPr>
          <w:p w14:paraId="61C5B964">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2760</w:t>
            </w:r>
          </w:p>
        </w:tc>
        <w:tc>
          <w:tcPr>
            <w:tcW w:w="2505" w:type="dxa"/>
            <w:vAlign w:val="center"/>
          </w:tcPr>
          <w:p w14:paraId="052E5588">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5009.28</w:t>
            </w:r>
          </w:p>
        </w:tc>
      </w:tr>
      <w:tr w14:paraId="3373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exact"/>
          <w:jc w:val="center"/>
        </w:trPr>
        <w:tc>
          <w:tcPr>
            <w:tcW w:w="820" w:type="dxa"/>
            <w:vAlign w:val="center"/>
          </w:tcPr>
          <w:p w14:paraId="5A587D21">
            <w:pPr>
              <w:overflowPunct w:val="0"/>
              <w:topLinePunct/>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2</w:t>
            </w:r>
          </w:p>
        </w:tc>
        <w:tc>
          <w:tcPr>
            <w:tcW w:w="2480" w:type="dxa"/>
            <w:vAlign w:val="center"/>
          </w:tcPr>
          <w:p w14:paraId="2E206311">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山梨酸及其钾盐（以山梨酸计）</w:t>
            </w:r>
          </w:p>
        </w:tc>
        <w:tc>
          <w:tcPr>
            <w:tcW w:w="3234" w:type="dxa"/>
            <w:vAlign w:val="center"/>
          </w:tcPr>
          <w:p w14:paraId="011173B9">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2760</w:t>
            </w:r>
          </w:p>
        </w:tc>
        <w:tc>
          <w:tcPr>
            <w:tcW w:w="2505" w:type="dxa"/>
            <w:vAlign w:val="center"/>
          </w:tcPr>
          <w:p w14:paraId="03561F71">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5009.28</w:t>
            </w:r>
          </w:p>
        </w:tc>
      </w:tr>
      <w:tr w14:paraId="4140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exact"/>
          <w:jc w:val="center"/>
        </w:trPr>
        <w:tc>
          <w:tcPr>
            <w:tcW w:w="820" w:type="dxa"/>
            <w:vAlign w:val="center"/>
          </w:tcPr>
          <w:p w14:paraId="4A34701B">
            <w:pPr>
              <w:overflowPunct w:val="0"/>
              <w:topLinePunct/>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3</w:t>
            </w:r>
          </w:p>
        </w:tc>
        <w:tc>
          <w:tcPr>
            <w:tcW w:w="2480" w:type="dxa"/>
            <w:vAlign w:val="center"/>
          </w:tcPr>
          <w:p w14:paraId="6410D987">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糖精钠（以糖精计）</w:t>
            </w:r>
          </w:p>
        </w:tc>
        <w:tc>
          <w:tcPr>
            <w:tcW w:w="3234" w:type="dxa"/>
            <w:vAlign w:val="center"/>
          </w:tcPr>
          <w:p w14:paraId="1A568096">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2760</w:t>
            </w:r>
          </w:p>
        </w:tc>
        <w:tc>
          <w:tcPr>
            <w:tcW w:w="2505" w:type="dxa"/>
            <w:vAlign w:val="center"/>
          </w:tcPr>
          <w:p w14:paraId="4F5DA658">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GB 5009.28</w:t>
            </w:r>
          </w:p>
        </w:tc>
      </w:tr>
      <w:tr w14:paraId="005F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jc w:val="center"/>
        </w:trPr>
        <w:tc>
          <w:tcPr>
            <w:tcW w:w="820" w:type="dxa"/>
            <w:vAlign w:val="center"/>
          </w:tcPr>
          <w:p w14:paraId="6B5F42DD">
            <w:pPr>
              <w:overflowPunct w:val="0"/>
              <w:topLinePunct/>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4</w:t>
            </w:r>
          </w:p>
        </w:tc>
        <w:tc>
          <w:tcPr>
            <w:tcW w:w="2480" w:type="dxa"/>
            <w:vAlign w:val="center"/>
          </w:tcPr>
          <w:p w14:paraId="08BAC62E">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脱氢乙酸及其钠盐（以脱氢乙酸计）</w:t>
            </w:r>
          </w:p>
        </w:tc>
        <w:tc>
          <w:tcPr>
            <w:tcW w:w="3234" w:type="dxa"/>
            <w:vAlign w:val="center"/>
          </w:tcPr>
          <w:p w14:paraId="158451ED">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2760</w:t>
            </w:r>
          </w:p>
        </w:tc>
        <w:tc>
          <w:tcPr>
            <w:tcW w:w="2505" w:type="dxa"/>
            <w:vAlign w:val="center"/>
          </w:tcPr>
          <w:p w14:paraId="7A574578">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5009.121</w:t>
            </w:r>
          </w:p>
        </w:tc>
      </w:tr>
      <w:tr w14:paraId="4920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jc w:val="center"/>
        </w:trPr>
        <w:tc>
          <w:tcPr>
            <w:tcW w:w="820" w:type="dxa"/>
            <w:vAlign w:val="center"/>
          </w:tcPr>
          <w:p w14:paraId="0E6B7EF7">
            <w:pPr>
              <w:overflowPunct w:val="0"/>
              <w:topLinePunct/>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5</w:t>
            </w:r>
          </w:p>
        </w:tc>
        <w:tc>
          <w:tcPr>
            <w:tcW w:w="2480" w:type="dxa"/>
            <w:vAlign w:val="center"/>
          </w:tcPr>
          <w:p w14:paraId="348AEFD1">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丙酸及其钠盐、钙盐（以丙酸计）</w:t>
            </w:r>
          </w:p>
        </w:tc>
        <w:tc>
          <w:tcPr>
            <w:tcW w:w="3234" w:type="dxa"/>
            <w:vAlign w:val="center"/>
          </w:tcPr>
          <w:p w14:paraId="6DF6B02E">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2760</w:t>
            </w:r>
          </w:p>
        </w:tc>
        <w:tc>
          <w:tcPr>
            <w:tcW w:w="2505" w:type="dxa"/>
            <w:vAlign w:val="center"/>
          </w:tcPr>
          <w:p w14:paraId="68D48335">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GB 5009.120</w:t>
            </w:r>
          </w:p>
        </w:tc>
      </w:tr>
      <w:tr w14:paraId="643D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exact"/>
          <w:jc w:val="center"/>
        </w:trPr>
        <w:tc>
          <w:tcPr>
            <w:tcW w:w="820" w:type="dxa"/>
            <w:vAlign w:val="center"/>
          </w:tcPr>
          <w:p w14:paraId="3A2493E6">
            <w:pPr>
              <w:overflowPunct w:val="0"/>
              <w:topLinePunct/>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6</w:t>
            </w:r>
          </w:p>
        </w:tc>
        <w:tc>
          <w:tcPr>
            <w:tcW w:w="2480" w:type="dxa"/>
            <w:vAlign w:val="center"/>
          </w:tcPr>
          <w:p w14:paraId="66521232">
            <w:pPr>
              <w:widowControl/>
              <w:snapToGrid w:val="0"/>
              <w:spacing w:line="360" w:lineRule="exact"/>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rPr>
              <w:t>防腐剂混合使用时各自用量占其最大使用量的比例之和</w:t>
            </w:r>
          </w:p>
        </w:tc>
        <w:tc>
          <w:tcPr>
            <w:tcW w:w="3234" w:type="dxa"/>
            <w:vAlign w:val="center"/>
          </w:tcPr>
          <w:p w14:paraId="68A008E0">
            <w:pPr>
              <w:widowControl/>
              <w:spacing w:line="400" w:lineRule="exact"/>
              <w:jc w:val="center"/>
              <w:textAlignment w:val="center"/>
              <w:rPr>
                <w:rFonts w:ascii="Times New Roman" w:hAnsi="Times New Roman" w:eastAsia="仿宋_GB2312"/>
                <w:b w:val="0"/>
                <w:bCs w:val="0"/>
                <w:color w:val="auto"/>
                <w:sz w:val="28"/>
                <w:szCs w:val="28"/>
                <w:highlight w:val="none"/>
              </w:rPr>
            </w:pPr>
            <w:r>
              <w:rPr>
                <w:rFonts w:ascii="Times New Roman" w:hAnsi="Times New Roman" w:eastAsia="仿宋"/>
                <w:b w:val="0"/>
                <w:bCs w:val="0"/>
                <w:color w:val="auto"/>
                <w:kern w:val="0"/>
                <w:sz w:val="28"/>
                <w:szCs w:val="28"/>
                <w:highlight w:val="none"/>
              </w:rPr>
              <w:t>GB 276</w:t>
            </w:r>
            <w:r>
              <w:rPr>
                <w:rFonts w:hint="eastAsia" w:ascii="Times New Roman" w:hAnsi="Times New Roman" w:eastAsia="仿宋"/>
                <w:b w:val="0"/>
                <w:bCs w:val="0"/>
                <w:color w:val="auto"/>
                <w:kern w:val="0"/>
                <w:sz w:val="28"/>
                <w:szCs w:val="28"/>
                <w:highlight w:val="none"/>
              </w:rPr>
              <w:t>0</w:t>
            </w:r>
          </w:p>
        </w:tc>
        <w:tc>
          <w:tcPr>
            <w:tcW w:w="2505" w:type="dxa"/>
            <w:vAlign w:val="center"/>
          </w:tcPr>
          <w:p w14:paraId="32C15315">
            <w:pPr>
              <w:overflowPunct w:val="0"/>
              <w:topLinePunct/>
              <w:snapToGrid w:val="0"/>
              <w:spacing w:line="40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
                <w:b w:val="0"/>
                <w:bCs w:val="0"/>
                <w:color w:val="auto"/>
                <w:sz w:val="28"/>
                <w:szCs w:val="28"/>
                <w:highlight w:val="none"/>
              </w:rPr>
              <w:t>/</w:t>
            </w:r>
          </w:p>
        </w:tc>
      </w:tr>
      <w:tr w14:paraId="0682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exact"/>
          <w:jc w:val="center"/>
        </w:trPr>
        <w:tc>
          <w:tcPr>
            <w:tcW w:w="820" w:type="dxa"/>
            <w:vAlign w:val="center"/>
          </w:tcPr>
          <w:p w14:paraId="0B5CC222">
            <w:pPr>
              <w:overflowPunct w:val="0"/>
              <w:topLinePunct/>
              <w:spacing w:line="360" w:lineRule="exact"/>
              <w:jc w:val="center"/>
              <w:rPr>
                <w:rFonts w:hint="eastAsia"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7</w:t>
            </w:r>
          </w:p>
        </w:tc>
        <w:tc>
          <w:tcPr>
            <w:tcW w:w="2480" w:type="dxa"/>
            <w:vAlign w:val="center"/>
          </w:tcPr>
          <w:p w14:paraId="7BD71BAB">
            <w:pPr>
              <w:widowControl/>
              <w:snapToGrid w:val="0"/>
              <w:spacing w:line="360" w:lineRule="exact"/>
              <w:jc w:val="center"/>
              <w:rPr>
                <w:rFonts w:hint="eastAsia"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酸价（以脂肪计）（KOH）</w:t>
            </w:r>
            <w:r>
              <w:rPr>
                <w:rFonts w:hint="eastAsia" w:ascii="Times New Roman" w:hAnsi="Times New Roman" w:eastAsia="仿宋_GB2312"/>
                <w:b w:val="0"/>
                <w:bCs w:val="0"/>
                <w:color w:val="auto"/>
                <w:sz w:val="28"/>
                <w:szCs w:val="28"/>
                <w:highlight w:val="none"/>
                <w:vertAlign w:val="superscript"/>
              </w:rPr>
              <w:t>a</w:t>
            </w:r>
          </w:p>
        </w:tc>
        <w:tc>
          <w:tcPr>
            <w:tcW w:w="3234" w:type="dxa"/>
            <w:vAlign w:val="center"/>
          </w:tcPr>
          <w:p w14:paraId="69370FEB">
            <w:pPr>
              <w:widowControl/>
              <w:spacing w:line="400" w:lineRule="exact"/>
              <w:jc w:val="center"/>
              <w:textAlignment w:val="center"/>
              <w:rPr>
                <w:rFonts w:ascii="Times New Roman" w:hAnsi="Times New Roman" w:eastAsia="仿宋"/>
                <w:b w:val="0"/>
                <w:bCs w:val="0"/>
                <w:color w:val="auto"/>
                <w:kern w:val="0"/>
                <w:sz w:val="28"/>
                <w:szCs w:val="28"/>
                <w:highlight w:val="none"/>
              </w:rPr>
            </w:pPr>
            <w:r>
              <w:rPr>
                <w:rFonts w:ascii="Times New Roman" w:hAnsi="Times New Roman" w:eastAsia="仿宋_GB2312"/>
                <w:b w:val="0"/>
                <w:bCs w:val="0"/>
                <w:color w:val="auto"/>
                <w:sz w:val="28"/>
                <w:szCs w:val="28"/>
                <w:highlight w:val="none"/>
              </w:rPr>
              <w:t>GB 7099-2015</w:t>
            </w:r>
          </w:p>
        </w:tc>
        <w:tc>
          <w:tcPr>
            <w:tcW w:w="2505" w:type="dxa"/>
            <w:vAlign w:val="center"/>
          </w:tcPr>
          <w:p w14:paraId="4200902A">
            <w:pPr>
              <w:overflowPunct w:val="0"/>
              <w:topLinePunct/>
              <w:snapToGrid w:val="0"/>
              <w:spacing w:line="400" w:lineRule="exact"/>
              <w:jc w:val="center"/>
              <w:rPr>
                <w:rFonts w:hint="eastAsia" w:ascii="Times New Roman" w:hAnsi="Times New Roman" w:eastAsia="仿宋"/>
                <w:b w:val="0"/>
                <w:bCs w:val="0"/>
                <w:color w:val="auto"/>
                <w:sz w:val="28"/>
                <w:szCs w:val="28"/>
                <w:highlight w:val="none"/>
              </w:rPr>
            </w:pPr>
            <w:r>
              <w:rPr>
                <w:rFonts w:hint="eastAsia" w:ascii="Times New Roman" w:hAnsi="Times New Roman" w:eastAsia="仿宋"/>
                <w:b w:val="0"/>
                <w:bCs w:val="0"/>
                <w:color w:val="auto"/>
                <w:sz w:val="28"/>
                <w:szCs w:val="28"/>
                <w:highlight w:val="none"/>
              </w:rPr>
              <w:t>GB 5009.229-2016</w:t>
            </w:r>
          </w:p>
        </w:tc>
      </w:tr>
      <w:tr w14:paraId="0CB8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exact"/>
          <w:jc w:val="center"/>
        </w:trPr>
        <w:tc>
          <w:tcPr>
            <w:tcW w:w="820" w:type="dxa"/>
            <w:vAlign w:val="center"/>
          </w:tcPr>
          <w:p w14:paraId="62F55990">
            <w:pPr>
              <w:overflowPunct w:val="0"/>
              <w:topLinePunct/>
              <w:spacing w:line="360" w:lineRule="exact"/>
              <w:jc w:val="center"/>
              <w:rPr>
                <w:rFonts w:hint="eastAsia"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8</w:t>
            </w:r>
          </w:p>
        </w:tc>
        <w:tc>
          <w:tcPr>
            <w:tcW w:w="2480" w:type="dxa"/>
            <w:vAlign w:val="center"/>
          </w:tcPr>
          <w:p w14:paraId="455AA72F">
            <w:pPr>
              <w:widowControl/>
              <w:snapToGrid w:val="0"/>
              <w:spacing w:line="360" w:lineRule="exact"/>
              <w:jc w:val="center"/>
              <w:rPr>
                <w:rFonts w:ascii="Times New Roman" w:hAnsi="Times New Roman" w:eastAsia="仿宋_GB2312"/>
                <w:b w:val="0"/>
                <w:bCs w:val="0"/>
                <w:color w:val="auto"/>
                <w:sz w:val="28"/>
                <w:szCs w:val="28"/>
                <w:highlight w:val="none"/>
              </w:rPr>
            </w:pPr>
            <w:r>
              <w:rPr>
                <w:rFonts w:hint="eastAsia" w:ascii="Times New Roman" w:hAnsi="Times New Roman" w:eastAsia="仿宋_GB2312"/>
                <w:b w:val="0"/>
                <w:bCs w:val="0"/>
                <w:color w:val="auto"/>
                <w:sz w:val="28"/>
                <w:szCs w:val="28"/>
                <w:highlight w:val="none"/>
              </w:rPr>
              <w:t>过氧化值（以脂肪计）</w:t>
            </w:r>
            <w:r>
              <w:rPr>
                <w:rFonts w:ascii="Times New Roman" w:hAnsi="Times New Roman" w:eastAsia="仿宋_GB2312"/>
                <w:b w:val="0"/>
                <w:bCs w:val="0"/>
                <w:color w:val="auto"/>
                <w:sz w:val="28"/>
                <w:szCs w:val="28"/>
                <w:highlight w:val="none"/>
                <w:vertAlign w:val="superscript"/>
              </w:rPr>
              <w:t>a</w:t>
            </w:r>
          </w:p>
        </w:tc>
        <w:tc>
          <w:tcPr>
            <w:tcW w:w="3234" w:type="dxa"/>
            <w:vAlign w:val="center"/>
          </w:tcPr>
          <w:p w14:paraId="0386A680">
            <w:pPr>
              <w:widowControl/>
              <w:spacing w:line="400" w:lineRule="exact"/>
              <w:jc w:val="center"/>
              <w:textAlignment w:val="center"/>
              <w:rPr>
                <w:rFonts w:ascii="Times New Roman" w:hAnsi="Times New Roman" w:eastAsia="仿宋"/>
                <w:b w:val="0"/>
                <w:bCs w:val="0"/>
                <w:color w:val="auto"/>
                <w:kern w:val="0"/>
                <w:sz w:val="28"/>
                <w:szCs w:val="28"/>
                <w:highlight w:val="none"/>
              </w:rPr>
            </w:pPr>
            <w:r>
              <w:rPr>
                <w:rFonts w:ascii="Times New Roman" w:hAnsi="Times New Roman" w:eastAsia="仿宋_GB2312"/>
                <w:b w:val="0"/>
                <w:bCs w:val="0"/>
                <w:color w:val="auto"/>
                <w:sz w:val="28"/>
                <w:szCs w:val="28"/>
                <w:highlight w:val="none"/>
              </w:rPr>
              <w:t>GB 7099-2015</w:t>
            </w:r>
          </w:p>
        </w:tc>
        <w:tc>
          <w:tcPr>
            <w:tcW w:w="2505" w:type="dxa"/>
            <w:vAlign w:val="center"/>
          </w:tcPr>
          <w:p w14:paraId="02DD3556">
            <w:pPr>
              <w:overflowPunct w:val="0"/>
              <w:topLinePunct/>
              <w:snapToGrid w:val="0"/>
              <w:spacing w:line="400" w:lineRule="exact"/>
              <w:jc w:val="center"/>
              <w:rPr>
                <w:rFonts w:hint="eastAsia" w:ascii="Times New Roman" w:hAnsi="Times New Roman" w:eastAsia="仿宋"/>
                <w:b w:val="0"/>
                <w:bCs w:val="0"/>
                <w:color w:val="auto"/>
                <w:sz w:val="28"/>
                <w:szCs w:val="28"/>
                <w:highlight w:val="none"/>
              </w:rPr>
            </w:pPr>
            <w:r>
              <w:rPr>
                <w:rFonts w:hint="eastAsia" w:ascii="Times New Roman" w:hAnsi="Times New Roman" w:eastAsia="仿宋"/>
                <w:b w:val="0"/>
                <w:bCs w:val="0"/>
                <w:color w:val="auto"/>
                <w:sz w:val="28"/>
                <w:szCs w:val="28"/>
                <w:highlight w:val="none"/>
              </w:rPr>
              <w:t>GB 5009.227-2016</w:t>
            </w:r>
          </w:p>
        </w:tc>
      </w:tr>
      <w:tr w14:paraId="514C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jc w:val="center"/>
        </w:trPr>
        <w:tc>
          <w:tcPr>
            <w:tcW w:w="9039" w:type="dxa"/>
            <w:gridSpan w:val="4"/>
            <w:vAlign w:val="center"/>
          </w:tcPr>
          <w:p w14:paraId="69B883DB">
            <w:pPr>
              <w:overflowPunct w:val="0"/>
              <w:topLinePunct/>
              <w:spacing w:line="240" w:lineRule="exact"/>
              <w:rPr>
                <w:rFonts w:hint="eastAsia" w:ascii="Times New Roman" w:hAnsi="Times New Roman" w:eastAsia="仿宋"/>
                <w:b w:val="0"/>
                <w:bCs w:val="0"/>
                <w:color w:val="auto"/>
                <w:sz w:val="28"/>
                <w:szCs w:val="28"/>
                <w:highlight w:val="none"/>
              </w:rPr>
            </w:pPr>
            <w:r>
              <w:rPr>
                <w:rFonts w:hint="eastAsia" w:ascii="Times New Roman" w:hAnsi="Times New Roman" w:eastAsia="仿宋_GB2312"/>
                <w:b w:val="0"/>
                <w:bCs w:val="0"/>
                <w:color w:val="auto"/>
                <w:highlight w:val="none"/>
              </w:rPr>
              <w:t>注：a限添加油脂制品</w:t>
            </w:r>
            <w:r>
              <w:rPr>
                <w:rFonts w:hint="eastAsia" w:ascii="Times New Roman" w:hAnsi="Times New Roman" w:eastAsia="仿宋_GB2312"/>
                <w:b w:val="0"/>
                <w:bCs w:val="0"/>
                <w:color w:val="auto"/>
                <w:highlight w:val="none"/>
                <w:lang w:val="en-US" w:eastAsia="zh-Hans"/>
              </w:rPr>
              <w:t>的样品</w:t>
            </w:r>
            <w:r>
              <w:rPr>
                <w:rFonts w:hint="eastAsia" w:ascii="Times New Roman" w:hAnsi="Times New Roman" w:eastAsia="仿宋_GB2312"/>
                <w:b w:val="0"/>
                <w:bCs w:val="0"/>
                <w:color w:val="auto"/>
                <w:highlight w:val="none"/>
              </w:rPr>
              <w:t>检测</w:t>
            </w:r>
          </w:p>
        </w:tc>
      </w:tr>
    </w:tbl>
    <w:p w14:paraId="55311E4A">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6</w:t>
      </w:r>
      <w:r>
        <w:rPr>
          <w:rFonts w:ascii="Times New Roman" w:hAnsi="Times New Roman" w:eastAsia="仿宋_GB2312"/>
          <w:b w:val="0"/>
          <w:bCs w:val="0"/>
          <w:color w:val="auto"/>
          <w:sz w:val="32"/>
          <w:szCs w:val="32"/>
          <w:highlight w:val="none"/>
        </w:rPr>
        <w:t xml:space="preserve"> </w:t>
      </w:r>
      <w:r>
        <w:rPr>
          <w:rFonts w:ascii="Times New Roman" w:hAnsi="Times New Roman" w:eastAsia="黑体"/>
          <w:b w:val="0"/>
          <w:bCs w:val="0"/>
          <w:color w:val="auto"/>
          <w:sz w:val="32"/>
          <w:szCs w:val="32"/>
          <w:highlight w:val="none"/>
        </w:rPr>
        <w:t>判定原则与结论</w:t>
      </w:r>
    </w:p>
    <w:p w14:paraId="39C485A7">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ascii="Times New Roman" w:hAnsi="Times New Roman" w:eastAsia="仿宋_GB2312"/>
          <w:b w:val="0"/>
          <w:bCs w:val="0"/>
          <w:color w:val="auto"/>
          <w:sz w:val="32"/>
          <w:szCs w:val="32"/>
          <w:highlight w:val="none"/>
        </w:rPr>
        <w:t>出具抽检检验报告，检验报告中检验结论按如下方式作出判定：</w:t>
      </w:r>
    </w:p>
    <w:p w14:paraId="7A9FA6ED">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6.1</w:t>
      </w:r>
      <w:r>
        <w:rPr>
          <w:rFonts w:ascii="Times New Roman" w:hAnsi="Times New Roman" w:eastAsia="仿宋_GB2312"/>
          <w:b w:val="0"/>
          <w:bCs w:val="0"/>
          <w:color w:val="auto"/>
          <w:sz w:val="32"/>
          <w:szCs w:val="32"/>
          <w:highlight w:val="none"/>
        </w:rPr>
        <w:t xml:space="preserve"> 检验项目全部符合相应依据的法律法规或标准要求的，检验结论为</w:t>
      </w:r>
      <w:r>
        <w:rPr>
          <w:rFonts w:hint="eastAsia" w:ascii="Times New Roman" w:hAnsi="Times New Roman" w:eastAsia="仿宋_GB2312"/>
          <w:b w:val="0"/>
          <w:bCs w:val="0"/>
          <w:color w:val="auto"/>
          <w:sz w:val="32"/>
          <w:szCs w:val="32"/>
          <w:highlight w:val="none"/>
        </w:rPr>
        <w:t>：“</w:t>
      </w:r>
      <w:r>
        <w:rPr>
          <w:rFonts w:ascii="Times New Roman" w:hAnsi="Times New Roman" w:eastAsia="仿宋_GB2312"/>
          <w:b w:val="0"/>
          <w:bCs w:val="0"/>
          <w:color w:val="auto"/>
          <w:sz w:val="32"/>
          <w:szCs w:val="32"/>
          <w:highlight w:val="none"/>
        </w:rPr>
        <w:t>经抽样检验，所检项目符合××××要求</w:t>
      </w:r>
      <w:r>
        <w:rPr>
          <w:rFonts w:hint="eastAsia" w:ascii="Times New Roman" w:hAnsi="Times New Roman" w:eastAsia="仿宋_GB2312"/>
          <w:b w:val="0"/>
          <w:bCs w:val="0"/>
          <w:color w:val="auto"/>
          <w:sz w:val="32"/>
          <w:szCs w:val="32"/>
          <w:highlight w:val="none"/>
        </w:rPr>
        <w:t>”</w:t>
      </w:r>
      <w:r>
        <w:rPr>
          <w:rFonts w:ascii="Times New Roman" w:hAnsi="Times New Roman" w:eastAsia="仿宋_GB2312"/>
          <w:b w:val="0"/>
          <w:bCs w:val="0"/>
          <w:color w:val="auto"/>
          <w:sz w:val="32"/>
          <w:szCs w:val="32"/>
          <w:highlight w:val="none"/>
        </w:rPr>
        <w:t>。</w:t>
      </w:r>
    </w:p>
    <w:p w14:paraId="54716447">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6.2</w:t>
      </w:r>
      <w:r>
        <w:rPr>
          <w:rFonts w:ascii="Times New Roman" w:hAnsi="Times New Roman" w:eastAsia="仿宋_GB2312"/>
          <w:b w:val="0"/>
          <w:bCs w:val="0"/>
          <w:color w:val="auto"/>
          <w:sz w:val="32"/>
          <w:szCs w:val="32"/>
          <w:highlight w:val="none"/>
        </w:rPr>
        <w:t xml:space="preserve"> 检验项目有不符合相应依据的法律法规或标准要求的，检验结论为</w:t>
      </w:r>
      <w:r>
        <w:rPr>
          <w:rFonts w:hint="eastAsia" w:ascii="Times New Roman" w:hAnsi="Times New Roman" w:eastAsia="仿宋_GB2312"/>
          <w:b w:val="0"/>
          <w:bCs w:val="0"/>
          <w:color w:val="auto"/>
          <w:sz w:val="32"/>
          <w:szCs w:val="32"/>
          <w:highlight w:val="none"/>
        </w:rPr>
        <w:t>：“</w:t>
      </w:r>
      <w:r>
        <w:rPr>
          <w:rFonts w:ascii="Times New Roman" w:hAnsi="Times New Roman" w:eastAsia="仿宋_GB2312"/>
          <w:b w:val="0"/>
          <w:bCs w:val="0"/>
          <w:color w:val="auto"/>
          <w:sz w:val="32"/>
          <w:szCs w:val="32"/>
          <w:highlight w:val="none"/>
        </w:rPr>
        <w:t>经抽样检验，××项目不符合××××要求，检验结论为不合格</w:t>
      </w:r>
      <w:r>
        <w:rPr>
          <w:rFonts w:hint="eastAsia" w:ascii="Times New Roman" w:hAnsi="Times New Roman" w:eastAsia="仿宋_GB2312"/>
          <w:b w:val="0"/>
          <w:bCs w:val="0"/>
          <w:color w:val="auto"/>
          <w:sz w:val="32"/>
          <w:szCs w:val="32"/>
          <w:highlight w:val="none"/>
        </w:rPr>
        <w:t>”</w:t>
      </w:r>
      <w:r>
        <w:rPr>
          <w:rFonts w:ascii="Times New Roman" w:hAnsi="Times New Roman" w:eastAsia="仿宋_GB2312"/>
          <w:b w:val="0"/>
          <w:bCs w:val="0"/>
          <w:color w:val="auto"/>
          <w:sz w:val="32"/>
          <w:szCs w:val="32"/>
          <w:highlight w:val="none"/>
        </w:rPr>
        <w:t>。</w:t>
      </w:r>
    </w:p>
    <w:p w14:paraId="004AE6E1">
      <w:pPr>
        <w:overflowPunct w:val="0"/>
        <w:topLinePunct/>
        <w:snapToGrid w:val="0"/>
        <w:spacing w:before="156" w:beforeLines="50" w:after="156" w:afterLines="50" w:line="560" w:lineRule="exact"/>
        <w:ind w:firstLine="640" w:firstLineChars="200"/>
        <w:jc w:val="center"/>
        <w:rPr>
          <w:rFonts w:ascii="Times New Roman" w:hAnsi="Times New Roman" w:eastAsia="黑体"/>
          <w:color w:val="auto"/>
          <w:sz w:val="32"/>
          <w:szCs w:val="32"/>
          <w:highlight w:val="none"/>
        </w:rPr>
      </w:pPr>
      <w:r>
        <w:rPr>
          <w:rFonts w:hint="eastAsia" w:ascii="Times New Roman" w:hAnsi="Times New Roman" w:eastAsia="黑体"/>
          <w:b w:val="0"/>
          <w:bCs w:val="0"/>
          <w:color w:val="auto"/>
          <w:sz w:val="32"/>
          <w:szCs w:val="32"/>
          <w:highlight w:val="none"/>
          <w:lang w:val="en-US" w:eastAsia="zh-CN"/>
        </w:rPr>
        <w:t>三</w:t>
      </w:r>
      <w:r>
        <w:rPr>
          <w:rFonts w:hint="eastAsia" w:ascii="Times New Roman" w:hAnsi="Times New Roman" w:eastAsia="黑体"/>
          <w:b w:val="0"/>
          <w:bCs w:val="0"/>
          <w:color w:val="auto"/>
          <w:sz w:val="32"/>
          <w:szCs w:val="32"/>
          <w:highlight w:val="none"/>
        </w:rPr>
        <w:t>、</w:t>
      </w:r>
      <w:r>
        <w:rPr>
          <w:rFonts w:hint="eastAsia" w:ascii="Times New Roman" w:hAnsi="Times New Roman" w:eastAsia="黑体"/>
          <w:b/>
          <w:bCs/>
          <w:color w:val="auto"/>
          <w:sz w:val="32"/>
          <w:szCs w:val="32"/>
          <w:highlight w:val="none"/>
        </w:rPr>
        <w:t>食用农产品</w:t>
      </w:r>
    </w:p>
    <w:p w14:paraId="6E4319CA">
      <w:pPr>
        <w:overflowPunct w:val="0"/>
        <w:topLinePunct/>
        <w:snapToGrid w:val="0"/>
        <w:spacing w:before="156" w:beforeLines="50" w:after="156" w:afterLines="50" w:line="560" w:lineRule="exact"/>
        <w:ind w:firstLine="640" w:firstLineChars="200"/>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rPr>
        <w:t>1</w:t>
      </w:r>
      <w:r>
        <w:rPr>
          <w:rFonts w:ascii="Times New Roman" w:hAnsi="Times New Roman" w:eastAsia="黑体"/>
          <w:color w:val="auto"/>
          <w:sz w:val="32"/>
          <w:szCs w:val="32"/>
          <w:highlight w:val="none"/>
        </w:rPr>
        <w:t xml:space="preserve"> </w:t>
      </w:r>
      <w:r>
        <w:rPr>
          <w:rFonts w:hint="eastAsia" w:ascii="Times New Roman" w:hAnsi="Times New Roman" w:eastAsia="黑体"/>
          <w:color w:val="auto"/>
          <w:sz w:val="32"/>
          <w:szCs w:val="32"/>
          <w:highlight w:val="none"/>
          <w:lang w:eastAsia="zh-CN"/>
        </w:rPr>
        <w:t>苹果</w:t>
      </w:r>
    </w:p>
    <w:p w14:paraId="694AED62">
      <w:pPr>
        <w:overflowPunct w:val="0"/>
        <w:topLinePunct/>
        <w:snapToGrid w:val="0"/>
        <w:spacing w:before="156" w:beforeLines="50" w:after="156" w:afterLines="50" w:line="560" w:lineRule="exact"/>
        <w:ind w:firstLine="640"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1.1适用范围</w:t>
      </w:r>
    </w:p>
    <w:p w14:paraId="7EE79AD5">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本细则适用于新疆区内（不含兵团）依据实际情况而定的食用农产品新鲜水果类苹果食品安全监督抽检。</w:t>
      </w:r>
    </w:p>
    <w:p w14:paraId="6A66708A">
      <w:pPr>
        <w:overflowPunct w:val="0"/>
        <w:topLinePunct/>
        <w:snapToGrid w:val="0"/>
        <w:spacing w:before="156" w:beforeLines="50" w:after="156" w:afterLines="50" w:line="560" w:lineRule="exact"/>
        <w:ind w:firstLine="640"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1.2</w:t>
      </w:r>
      <w:r>
        <w:rPr>
          <w:rFonts w:ascii="Times New Roman" w:hAnsi="Times New Roman" w:eastAsia="黑体"/>
          <w:color w:val="auto"/>
          <w:sz w:val="32"/>
          <w:szCs w:val="32"/>
          <w:highlight w:val="none"/>
        </w:rPr>
        <w:t xml:space="preserve"> </w:t>
      </w:r>
      <w:r>
        <w:rPr>
          <w:rFonts w:hint="eastAsia" w:ascii="Times New Roman" w:hAnsi="Times New Roman" w:eastAsia="黑体"/>
          <w:color w:val="auto"/>
          <w:sz w:val="32"/>
          <w:szCs w:val="32"/>
          <w:highlight w:val="none"/>
        </w:rPr>
        <w:t>产品种类</w:t>
      </w:r>
    </w:p>
    <w:p w14:paraId="4AF6B815">
      <w:pPr>
        <w:overflowPunct w:val="0"/>
        <w:topLinePunct/>
        <w:snapToGrid w:val="0"/>
        <w:spacing w:before="156" w:beforeLines="50" w:after="156" w:afterLines="50"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新鲜水果类仁果类水果苹果。</w:t>
      </w:r>
    </w:p>
    <w:p w14:paraId="4D4B2BE9">
      <w:pPr>
        <w:overflowPunct w:val="0"/>
        <w:topLinePunct/>
        <w:snapToGrid w:val="0"/>
        <w:spacing w:before="156" w:beforeLines="50" w:after="156" w:afterLines="50" w:line="560" w:lineRule="exact"/>
        <w:ind w:firstLine="640"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1.3</w:t>
      </w:r>
      <w:r>
        <w:rPr>
          <w:rFonts w:ascii="Times New Roman" w:hAnsi="Times New Roman" w:eastAsia="黑体"/>
          <w:color w:val="auto"/>
          <w:sz w:val="32"/>
          <w:szCs w:val="32"/>
          <w:highlight w:val="none"/>
        </w:rPr>
        <w:t xml:space="preserve"> </w:t>
      </w:r>
      <w:r>
        <w:rPr>
          <w:rFonts w:hint="eastAsia" w:ascii="Times New Roman" w:hAnsi="Times New Roman" w:eastAsia="黑体"/>
          <w:color w:val="auto"/>
          <w:sz w:val="32"/>
          <w:szCs w:val="32"/>
          <w:highlight w:val="none"/>
        </w:rPr>
        <w:t>检验依据</w:t>
      </w:r>
    </w:p>
    <w:p w14:paraId="11937823">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下列文件凡是注明日期的，其随后所有的修改单或修订版均不适用于本细则。凡是不注明日期的，其最新版本适用于本细则。</w:t>
      </w:r>
    </w:p>
    <w:p w14:paraId="197E8F7F">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GB 2763 食品安全国家标准 食品中农药最大残留限量</w:t>
      </w:r>
    </w:p>
    <w:p w14:paraId="198A9183">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GB 23200.113 食品安全国家标准 植物源性食品中208种农药及其代谢物残留量的测定 气相色谱-质谱联用法</w:t>
      </w:r>
    </w:p>
    <w:p w14:paraId="5DD2F499">
      <w:pPr>
        <w:overflowPunct w:val="0"/>
        <w:topLinePunct/>
        <w:snapToGrid w:val="0"/>
        <w:spacing w:line="560" w:lineRule="exact"/>
        <w:ind w:firstLine="64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产品明示标准和质量要求</w:t>
      </w:r>
    </w:p>
    <w:p w14:paraId="629C4F95">
      <w:pPr>
        <w:overflowPunct w:val="0"/>
        <w:topLinePunct/>
        <w:snapToGrid w:val="0"/>
        <w:spacing w:line="560" w:lineRule="exact"/>
        <w:ind w:firstLine="64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相关的法律法规、部门规章和规定</w:t>
      </w:r>
    </w:p>
    <w:p w14:paraId="3C402BE7">
      <w:pPr>
        <w:overflowPunct w:val="0"/>
        <w:topLinePunct/>
        <w:snapToGrid w:val="0"/>
        <w:spacing w:line="560" w:lineRule="exact"/>
        <w:ind w:firstLine="64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 xml:space="preserve">1.4 </w:t>
      </w:r>
      <w:r>
        <w:rPr>
          <w:rFonts w:hint="eastAsia" w:ascii="Times New Roman" w:hAnsi="Times New Roman" w:eastAsia="黑体"/>
          <w:color w:val="auto"/>
          <w:sz w:val="32"/>
          <w:szCs w:val="32"/>
          <w:highlight w:val="none"/>
        </w:rPr>
        <w:t>抽样</w:t>
      </w:r>
    </w:p>
    <w:p w14:paraId="7B9C7DDE">
      <w:pPr>
        <w:overflowPunct w:val="0"/>
        <w:topLinePunct/>
        <w:snapToGrid w:val="0"/>
        <w:spacing w:line="560" w:lineRule="exact"/>
        <w:ind w:firstLine="64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1.4.</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 xml:space="preserve"> 抽样方法及数量</w:t>
      </w:r>
    </w:p>
    <w:p w14:paraId="338B08DA">
      <w:pPr>
        <w:overflowPunct w:val="0"/>
        <w:topLinePunct/>
        <w:snapToGrid w:val="0"/>
        <w:spacing w:line="560" w:lineRule="exact"/>
        <w:ind w:firstLine="64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同食品安全监督抽检实施细则《2023年版》</w:t>
      </w:r>
    </w:p>
    <w:p w14:paraId="67D65C61">
      <w:pPr>
        <w:overflowPunct w:val="0"/>
        <w:topLinePunct/>
        <w:snapToGrid w:val="0"/>
        <w:spacing w:line="560" w:lineRule="exact"/>
        <w:ind w:firstLine="64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1.4.</w:t>
      </w: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 xml:space="preserve"> 抽样单</w:t>
      </w:r>
    </w:p>
    <w:p w14:paraId="74218776">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应按有关规定填写抽样单，并记录所抽样品及生产经营企业相关信息。</w:t>
      </w:r>
    </w:p>
    <w:p w14:paraId="028A699C">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1.4.</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 xml:space="preserve"> 封样和样品运输、贮存</w:t>
      </w:r>
    </w:p>
    <w:p w14:paraId="4502AB9A">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抽样完成后由抽样人与被抽样单位在抽样单和封条上签字、盖章，当场封样，检验样品、备份样品分别封样。为保证样品的真实性，应有相应的防拆封措施，并保证封条在运输过程中不会破损。样品的运输、贮存，应采取有效的防护措施，确保样品不被污染，不发生腐败变质，不影响后续检验。样品的运输、贮存，应符合产品明示要求或产品实际需要的条件要求。</w:t>
      </w:r>
    </w:p>
    <w:p w14:paraId="481C6EE9">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在网络食品经营平台抽样时，抽样单和封条无需被抽样单位签字、盖章。</w:t>
      </w:r>
    </w:p>
    <w:p w14:paraId="357E7EBF">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 xml:space="preserve">1.5 </w:t>
      </w:r>
      <w:r>
        <w:rPr>
          <w:rFonts w:hint="eastAsia" w:ascii="Times New Roman" w:hAnsi="Times New Roman" w:eastAsia="黑体"/>
          <w:color w:val="auto"/>
          <w:sz w:val="32"/>
          <w:szCs w:val="32"/>
          <w:highlight w:val="none"/>
        </w:rPr>
        <w:t>检验要求</w:t>
      </w:r>
    </w:p>
    <w:p w14:paraId="71F4B62E">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1.5.1 检验项目</w:t>
      </w:r>
    </w:p>
    <w:p w14:paraId="671C895C">
      <w:pPr>
        <w:overflowPunct w:val="0"/>
        <w:topLinePunct/>
        <w:snapToGrid w:val="0"/>
        <w:spacing w:line="560" w:lineRule="exact"/>
        <w:ind w:firstLine="640" w:firstLineChars="200"/>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1.5.1.1 苹果检验项目见表4</w:t>
      </w:r>
      <w:r>
        <w:rPr>
          <w:rFonts w:hint="eastAsia" w:ascii="Times New Roman" w:hAnsi="Times New Roman" w:eastAsia="仿宋_GB2312"/>
          <w:color w:val="auto"/>
          <w:sz w:val="32"/>
          <w:szCs w:val="32"/>
          <w:highlight w:val="none"/>
          <w:lang w:val="en-US" w:eastAsia="zh-CN"/>
        </w:rPr>
        <w:t>-1</w:t>
      </w:r>
    </w:p>
    <w:p w14:paraId="6C654437">
      <w:pPr>
        <w:widowControl/>
        <w:spacing w:before="156" w:beforeLines="50" w:after="156" w:afterLines="50" w:line="36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表</w:t>
      </w:r>
      <w:r>
        <w:rPr>
          <w:rFonts w:hint="eastAsia" w:ascii="Times New Roman" w:hAnsi="Times New Roman" w:eastAsia="黑体"/>
          <w:color w:val="auto"/>
          <w:sz w:val="28"/>
          <w:szCs w:val="28"/>
          <w:highlight w:val="none"/>
          <w:lang w:val="en-US" w:eastAsia="zh-CN"/>
        </w:rPr>
        <w:t>4-1</w:t>
      </w:r>
      <w:r>
        <w:rPr>
          <w:rFonts w:ascii="Times New Roman" w:hAnsi="Times New Roman" w:eastAsia="黑体"/>
          <w:color w:val="auto"/>
          <w:sz w:val="28"/>
          <w:szCs w:val="28"/>
          <w:highlight w:val="none"/>
        </w:rPr>
        <w:t xml:space="preserve"> </w:t>
      </w:r>
      <w:r>
        <w:rPr>
          <w:rFonts w:hint="eastAsia" w:ascii="Times New Roman" w:hAnsi="Times New Roman" w:eastAsia="黑体"/>
          <w:color w:val="auto"/>
          <w:sz w:val="28"/>
          <w:szCs w:val="28"/>
          <w:highlight w:val="none"/>
        </w:rPr>
        <w:t>苹果检验项目及检测方法</w:t>
      </w:r>
    </w:p>
    <w:tbl>
      <w:tblPr>
        <w:tblStyle w:val="27"/>
        <w:tblpPr w:leftFromText="180" w:rightFromText="180" w:vertAnchor="text" w:horzAnchor="page" w:tblpX="1567" w:tblpY="230"/>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480"/>
        <w:gridCol w:w="2809"/>
        <w:gridCol w:w="2930"/>
      </w:tblGrid>
      <w:tr w14:paraId="45FB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tblHeader/>
        </w:trPr>
        <w:tc>
          <w:tcPr>
            <w:tcW w:w="820" w:type="dxa"/>
            <w:noWrap w:val="0"/>
            <w:vAlign w:val="center"/>
          </w:tcPr>
          <w:p w14:paraId="45F2AA79">
            <w:pPr>
              <w:overflowPunct w:val="0"/>
              <w:topLinePunct/>
              <w:snapToGrid w:val="0"/>
              <w:spacing w:line="40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序号</w:t>
            </w:r>
          </w:p>
        </w:tc>
        <w:tc>
          <w:tcPr>
            <w:tcW w:w="2480" w:type="dxa"/>
            <w:noWrap w:val="0"/>
            <w:vAlign w:val="center"/>
          </w:tcPr>
          <w:p w14:paraId="3C9A68BA">
            <w:pPr>
              <w:overflowPunct w:val="0"/>
              <w:topLinePunct/>
              <w:snapToGrid w:val="0"/>
              <w:spacing w:line="40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检验项目</w:t>
            </w:r>
          </w:p>
        </w:tc>
        <w:tc>
          <w:tcPr>
            <w:tcW w:w="2809" w:type="dxa"/>
            <w:noWrap w:val="0"/>
            <w:vAlign w:val="center"/>
          </w:tcPr>
          <w:p w14:paraId="39257829">
            <w:pPr>
              <w:overflowPunct w:val="0"/>
              <w:topLinePunct/>
              <w:snapToGrid w:val="0"/>
              <w:spacing w:line="40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依据法律法规或标准</w:t>
            </w:r>
          </w:p>
        </w:tc>
        <w:tc>
          <w:tcPr>
            <w:tcW w:w="2930" w:type="dxa"/>
            <w:noWrap w:val="0"/>
            <w:vAlign w:val="center"/>
          </w:tcPr>
          <w:p w14:paraId="4312ECB2">
            <w:pPr>
              <w:overflowPunct w:val="0"/>
              <w:topLinePunct/>
              <w:snapToGrid w:val="0"/>
              <w:spacing w:line="40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检测方法</w:t>
            </w:r>
          </w:p>
        </w:tc>
      </w:tr>
      <w:tr w14:paraId="1A54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4" w:hRule="exact"/>
        </w:trPr>
        <w:tc>
          <w:tcPr>
            <w:tcW w:w="820" w:type="dxa"/>
            <w:noWrap w:val="0"/>
            <w:vAlign w:val="center"/>
          </w:tcPr>
          <w:p w14:paraId="152BB4C5">
            <w:pPr>
              <w:widowControl/>
              <w:snapToGrid w:val="0"/>
              <w:spacing w:line="360" w:lineRule="exact"/>
              <w:jc w:val="center"/>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1</w:t>
            </w:r>
          </w:p>
        </w:tc>
        <w:tc>
          <w:tcPr>
            <w:tcW w:w="2480" w:type="dxa"/>
            <w:noWrap w:val="0"/>
            <w:vAlign w:val="center"/>
          </w:tcPr>
          <w:p w14:paraId="215CDE31">
            <w:pPr>
              <w:widowControl/>
              <w:snapToGrid w:val="0"/>
              <w:spacing w:line="360" w:lineRule="exact"/>
              <w:jc w:val="center"/>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丙溴磷</w:t>
            </w:r>
          </w:p>
        </w:tc>
        <w:tc>
          <w:tcPr>
            <w:tcW w:w="2809" w:type="dxa"/>
            <w:noWrap w:val="0"/>
            <w:vAlign w:val="center"/>
          </w:tcPr>
          <w:p w14:paraId="40A519B8">
            <w:pPr>
              <w:widowControl/>
              <w:snapToGrid w:val="0"/>
              <w:spacing w:line="360" w:lineRule="exact"/>
              <w:jc w:val="center"/>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GB 2763</w:t>
            </w:r>
          </w:p>
        </w:tc>
        <w:tc>
          <w:tcPr>
            <w:tcW w:w="2930" w:type="dxa"/>
            <w:noWrap w:val="0"/>
            <w:vAlign w:val="center"/>
          </w:tcPr>
          <w:p w14:paraId="21871EBA">
            <w:pPr>
              <w:widowControl/>
              <w:snapToGrid w:val="0"/>
              <w:spacing w:line="360" w:lineRule="exact"/>
              <w:jc w:val="center"/>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GB 23200.113</w:t>
            </w:r>
          </w:p>
          <w:p w14:paraId="47536984">
            <w:pPr>
              <w:widowControl/>
              <w:snapToGrid w:val="0"/>
              <w:spacing w:line="360" w:lineRule="exact"/>
              <w:jc w:val="center"/>
              <w:rPr>
                <w:rFonts w:hint="eastAsia"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lang w:val="en-US" w:eastAsia="zh-CN"/>
              </w:rPr>
              <w:t>GB 23200.8</w:t>
            </w:r>
          </w:p>
          <w:p w14:paraId="1DAE0E40">
            <w:pPr>
              <w:widowControl/>
              <w:snapToGrid w:val="0"/>
              <w:spacing w:line="360" w:lineRule="exact"/>
              <w:jc w:val="center"/>
              <w:rPr>
                <w:rFonts w:hint="eastAsia"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lang w:val="en-US" w:eastAsia="zh-CN"/>
              </w:rPr>
              <w:t>GB 23200.113</w:t>
            </w:r>
          </w:p>
          <w:p w14:paraId="3C25855C">
            <w:pPr>
              <w:widowControl/>
              <w:snapToGrid w:val="0"/>
              <w:spacing w:line="360" w:lineRule="exact"/>
              <w:jc w:val="center"/>
              <w:rPr>
                <w:rFonts w:hint="eastAsia"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lang w:val="en-US" w:eastAsia="zh-CN"/>
              </w:rPr>
              <w:t>GB 23200.116</w:t>
            </w:r>
          </w:p>
          <w:p w14:paraId="56A4D45E">
            <w:pPr>
              <w:widowControl/>
              <w:snapToGrid w:val="0"/>
              <w:spacing w:line="360" w:lineRule="exact"/>
              <w:jc w:val="center"/>
              <w:rPr>
                <w:rFonts w:hint="eastAsia"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lang w:val="en-US" w:eastAsia="zh-CN"/>
              </w:rPr>
              <w:t>NY/T 761</w:t>
            </w:r>
          </w:p>
          <w:p w14:paraId="319DF4A9">
            <w:pPr>
              <w:widowControl/>
              <w:snapToGrid w:val="0"/>
              <w:spacing w:line="360" w:lineRule="exact"/>
              <w:jc w:val="center"/>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GB 23200.121</w:t>
            </w:r>
          </w:p>
        </w:tc>
      </w:tr>
    </w:tbl>
    <w:p w14:paraId="2231EEC3">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 xml:space="preserve">1.5.2 </w:t>
      </w:r>
      <w:r>
        <w:rPr>
          <w:rFonts w:hint="eastAsia" w:ascii="Times New Roman" w:hAnsi="Times New Roman" w:eastAsia="黑体"/>
          <w:color w:val="auto"/>
          <w:sz w:val="32"/>
          <w:szCs w:val="32"/>
          <w:highlight w:val="none"/>
        </w:rPr>
        <w:t>检验应注意的问题</w:t>
      </w:r>
    </w:p>
    <w:p w14:paraId="74CFD92C">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农药残留项目的测定部位按GB 2763资料性附录A“食品类别及测定部位”规定。</w:t>
      </w:r>
    </w:p>
    <w:p w14:paraId="07AA1800">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1.6</w:t>
      </w:r>
      <w:r>
        <w:rPr>
          <w:rFonts w:ascii="Times New Roman" w:hAnsi="Times New Roman" w:eastAsia="仿宋_GB2312"/>
          <w:color w:val="auto"/>
          <w:sz w:val="32"/>
          <w:szCs w:val="32"/>
          <w:highlight w:val="none"/>
        </w:rPr>
        <w:t xml:space="preserve"> </w:t>
      </w:r>
      <w:r>
        <w:rPr>
          <w:rFonts w:ascii="Times New Roman" w:hAnsi="Times New Roman" w:eastAsia="黑体"/>
          <w:color w:val="auto"/>
          <w:sz w:val="32"/>
          <w:szCs w:val="32"/>
          <w:highlight w:val="none"/>
        </w:rPr>
        <w:t>判定原则与结论</w:t>
      </w:r>
    </w:p>
    <w:p w14:paraId="01E5D755">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原则上按照细则中检验项目依据的法律法规或标准要求判定</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若被检产品明示标准或质量要求高于该要求时，应按被检产品明示标准或质量要求判定。若所检项目既不符合食品安全标准，又不符合产品明示标准或质量要求时，应在检验结论中同时体现</w:t>
      </w:r>
      <w:r>
        <w:rPr>
          <w:rFonts w:hint="eastAsia" w:ascii="Times New Roman" w:hAnsi="Times New Roman" w:eastAsia="仿宋_GB2312"/>
          <w:color w:val="auto"/>
          <w:sz w:val="32"/>
          <w:szCs w:val="32"/>
          <w:highlight w:val="none"/>
        </w:rPr>
        <w:t>。</w:t>
      </w:r>
    </w:p>
    <w:p w14:paraId="01D9162F">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出具抽检检验报告，检验报告中检验结论按如下方式作出判定：</w:t>
      </w:r>
    </w:p>
    <w:p w14:paraId="6B49F04E">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6.1</w:t>
      </w:r>
      <w:r>
        <w:rPr>
          <w:rFonts w:ascii="Times New Roman" w:hAnsi="Times New Roman" w:eastAsia="仿宋_GB2312"/>
          <w:color w:val="auto"/>
          <w:sz w:val="32"/>
          <w:szCs w:val="32"/>
          <w:highlight w:val="none"/>
        </w:rPr>
        <w:t xml:space="preserve"> 检验项目全部符合相应依据的法律法规或标准要求的，检验结论为</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经抽样检验，所检项目符合××××要求</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w:t>
      </w:r>
    </w:p>
    <w:p w14:paraId="0834BD4E">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1.6.2</w:t>
      </w:r>
      <w:r>
        <w:rPr>
          <w:rFonts w:ascii="Times New Roman" w:hAnsi="Times New Roman" w:eastAsia="仿宋_GB2312"/>
          <w:color w:val="auto"/>
          <w:sz w:val="32"/>
          <w:szCs w:val="32"/>
          <w:highlight w:val="none"/>
        </w:rPr>
        <w:t xml:space="preserve"> 检验项目有不符合相应依据的法律法规或标准要求的，检验结论为</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经抽样检验，××项目不符合××××要求，检验结论为不合格</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w:t>
      </w:r>
    </w:p>
    <w:p w14:paraId="1BD66BA8">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 xml:space="preserve">1.6.3 </w:t>
      </w:r>
      <w:r>
        <w:rPr>
          <w:rFonts w:ascii="Times New Roman" w:hAnsi="Times New Roman" w:eastAsia="仿宋_GB2312"/>
          <w:color w:val="auto"/>
          <w:sz w:val="32"/>
          <w:szCs w:val="32"/>
          <w:highlight w:val="none"/>
        </w:rPr>
        <w:t>检验项目既不符合食品安全标准，又不符合产品明示标准或质量要求时，检验结论为</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经抽样检验，××项目不符合××××</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食品安全标准</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要求、××××</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产品明示标准或质量要求</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要求，检验结论为不合格</w:t>
      </w:r>
      <w:r>
        <w:rPr>
          <w:rFonts w:hint="eastAsia" w:ascii="Times New Roman" w:hAnsi="Times New Roman" w:eastAsia="仿宋_GB2312"/>
          <w:color w:val="auto"/>
          <w:sz w:val="32"/>
          <w:szCs w:val="32"/>
          <w:highlight w:val="none"/>
        </w:rPr>
        <w:t>”。</w:t>
      </w:r>
    </w:p>
    <w:p w14:paraId="4D60285C">
      <w:pPr>
        <w:overflowPunct w:val="0"/>
        <w:topLinePunct/>
        <w:snapToGrid w:val="0"/>
        <w:spacing w:before="156" w:beforeLines="50" w:after="156" w:afterLines="50" w:line="560" w:lineRule="exact"/>
        <w:ind w:firstLine="640" w:firstLineChars="200"/>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val="en-US" w:eastAsia="zh-CN"/>
        </w:rPr>
        <w:t>2</w:t>
      </w:r>
      <w:r>
        <w:rPr>
          <w:rFonts w:ascii="Times New Roman" w:hAnsi="Times New Roman" w:eastAsia="黑体"/>
          <w:color w:val="auto"/>
          <w:sz w:val="32"/>
          <w:szCs w:val="32"/>
          <w:highlight w:val="none"/>
        </w:rPr>
        <w:t xml:space="preserve"> </w:t>
      </w:r>
      <w:r>
        <w:rPr>
          <w:rFonts w:hint="eastAsia" w:ascii="Times New Roman" w:hAnsi="Times New Roman" w:eastAsia="黑体"/>
          <w:color w:val="auto"/>
          <w:sz w:val="32"/>
          <w:szCs w:val="32"/>
          <w:highlight w:val="none"/>
          <w:lang w:eastAsia="zh-CN"/>
        </w:rPr>
        <w:t>生干坚果</w:t>
      </w:r>
    </w:p>
    <w:p w14:paraId="59DD8D71">
      <w:pPr>
        <w:overflowPunct w:val="0"/>
        <w:topLinePunct/>
        <w:snapToGrid w:val="0"/>
        <w:spacing w:before="156" w:beforeLines="50" w:after="156" w:afterLines="50" w:line="560" w:lineRule="exact"/>
        <w:ind w:firstLine="640"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lang w:val="en-US" w:eastAsia="zh-CN"/>
        </w:rPr>
        <w:t>2</w:t>
      </w:r>
      <w:r>
        <w:rPr>
          <w:rFonts w:hint="eastAsia" w:ascii="Times New Roman" w:hAnsi="Times New Roman" w:eastAsia="黑体"/>
          <w:color w:val="auto"/>
          <w:sz w:val="32"/>
          <w:szCs w:val="32"/>
          <w:highlight w:val="none"/>
        </w:rPr>
        <w:t>.1适用范围</w:t>
      </w:r>
    </w:p>
    <w:p w14:paraId="60EDCA4E">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本细则适用于新疆区内（不含兵团）依据实际情况而定的食用农产品</w:t>
      </w:r>
      <w:r>
        <w:rPr>
          <w:rFonts w:hint="eastAsia" w:ascii="Times New Roman" w:hAnsi="Times New Roman" w:eastAsia="仿宋_GB2312"/>
          <w:color w:val="auto"/>
          <w:sz w:val="32"/>
          <w:szCs w:val="32"/>
          <w:highlight w:val="none"/>
          <w:lang w:eastAsia="zh-CN"/>
        </w:rPr>
        <w:t>生干坚果</w:t>
      </w:r>
      <w:r>
        <w:rPr>
          <w:rFonts w:hint="eastAsia" w:ascii="Times New Roman" w:hAnsi="Times New Roman" w:eastAsia="仿宋_GB2312"/>
          <w:color w:val="auto"/>
          <w:sz w:val="32"/>
          <w:szCs w:val="32"/>
          <w:highlight w:val="none"/>
        </w:rPr>
        <w:t>食品安全监督抽检。</w:t>
      </w:r>
    </w:p>
    <w:p w14:paraId="1FA0C10C">
      <w:pPr>
        <w:overflowPunct w:val="0"/>
        <w:topLinePunct/>
        <w:snapToGrid w:val="0"/>
        <w:spacing w:before="156" w:beforeLines="50" w:after="156" w:afterLines="50" w:line="560" w:lineRule="exact"/>
        <w:ind w:firstLine="640"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lang w:val="en-US" w:eastAsia="zh-CN"/>
        </w:rPr>
        <w:t>2</w:t>
      </w:r>
      <w:r>
        <w:rPr>
          <w:rFonts w:hint="eastAsia" w:ascii="Times New Roman" w:hAnsi="Times New Roman" w:eastAsia="黑体"/>
          <w:color w:val="auto"/>
          <w:sz w:val="32"/>
          <w:szCs w:val="32"/>
          <w:highlight w:val="none"/>
        </w:rPr>
        <w:t>.2</w:t>
      </w:r>
      <w:r>
        <w:rPr>
          <w:rFonts w:ascii="Times New Roman" w:hAnsi="Times New Roman" w:eastAsia="黑体"/>
          <w:color w:val="auto"/>
          <w:sz w:val="32"/>
          <w:szCs w:val="32"/>
          <w:highlight w:val="none"/>
        </w:rPr>
        <w:t xml:space="preserve"> </w:t>
      </w:r>
      <w:r>
        <w:rPr>
          <w:rFonts w:hint="eastAsia" w:ascii="Times New Roman" w:hAnsi="Times New Roman" w:eastAsia="黑体"/>
          <w:color w:val="auto"/>
          <w:sz w:val="32"/>
          <w:szCs w:val="32"/>
          <w:highlight w:val="none"/>
        </w:rPr>
        <w:t>产品种类</w:t>
      </w:r>
    </w:p>
    <w:p w14:paraId="5C908E98">
      <w:pPr>
        <w:overflowPunct w:val="0"/>
        <w:topLinePunct/>
        <w:snapToGrid w:val="0"/>
        <w:spacing w:before="156" w:beforeLines="50" w:after="156" w:afterLines="50" w:line="56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生干坚果与籽类食品是指经过清洗、筛选、或去壳、或干燥等处理，未经熟制工艺加工的坚果与籽类食品</w:t>
      </w:r>
      <w:r>
        <w:rPr>
          <w:rFonts w:hint="eastAsia" w:ascii="Times New Roman" w:hAnsi="Times New Roman" w:eastAsia="仿宋_GB2312"/>
          <w:color w:val="auto"/>
          <w:sz w:val="32"/>
          <w:szCs w:val="32"/>
          <w:highlight w:val="none"/>
        </w:rPr>
        <w:t>。</w:t>
      </w:r>
    </w:p>
    <w:p w14:paraId="1C8F73AA">
      <w:pPr>
        <w:overflowPunct w:val="0"/>
        <w:topLinePunct/>
        <w:snapToGrid w:val="0"/>
        <w:spacing w:before="156" w:beforeLines="50" w:after="156" w:afterLines="50" w:line="560" w:lineRule="exact"/>
        <w:ind w:firstLine="640" w:firstLineChars="200"/>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坚果是指具有坚硬外壳的木本类植物的籽粒，包括开心果、杏仁、松仁、核桃（含山核桃）、栗（板栗、锥栗）、榛子、腰果、香榧、夏威夷果、巴旦木、扁桃仁等坚果。</w:t>
      </w:r>
    </w:p>
    <w:p w14:paraId="1BCFBC60">
      <w:pPr>
        <w:overflowPunct w:val="0"/>
        <w:topLinePunct/>
        <w:snapToGrid w:val="0"/>
        <w:spacing w:before="156" w:beforeLines="50" w:after="156" w:afterLines="50" w:line="560" w:lineRule="exact"/>
        <w:ind w:firstLine="640"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lang w:val="en-US" w:eastAsia="zh-CN"/>
        </w:rPr>
        <w:t>2</w:t>
      </w:r>
      <w:r>
        <w:rPr>
          <w:rFonts w:hint="eastAsia" w:ascii="Times New Roman" w:hAnsi="Times New Roman" w:eastAsia="黑体"/>
          <w:color w:val="auto"/>
          <w:sz w:val="32"/>
          <w:szCs w:val="32"/>
          <w:highlight w:val="none"/>
        </w:rPr>
        <w:t>.3</w:t>
      </w:r>
      <w:r>
        <w:rPr>
          <w:rFonts w:ascii="Times New Roman" w:hAnsi="Times New Roman" w:eastAsia="黑体"/>
          <w:color w:val="auto"/>
          <w:sz w:val="32"/>
          <w:szCs w:val="32"/>
          <w:highlight w:val="none"/>
        </w:rPr>
        <w:t xml:space="preserve"> </w:t>
      </w:r>
      <w:r>
        <w:rPr>
          <w:rFonts w:hint="eastAsia" w:ascii="Times New Roman" w:hAnsi="Times New Roman" w:eastAsia="黑体"/>
          <w:color w:val="auto"/>
          <w:sz w:val="32"/>
          <w:szCs w:val="32"/>
          <w:highlight w:val="none"/>
        </w:rPr>
        <w:t>检验依据</w:t>
      </w:r>
    </w:p>
    <w:p w14:paraId="33D56449">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下列文件凡是注明日期的，其随后所有的修改单或修订版均不适用于本细则。凡是不注明日期的，其最新版本适用于本细则。</w:t>
      </w:r>
    </w:p>
    <w:p w14:paraId="28DBD05D">
      <w:pPr>
        <w:overflowPunct w:val="0"/>
        <w:topLinePunct/>
        <w:snapToGrid w:val="0"/>
        <w:spacing w:line="560" w:lineRule="exact"/>
        <w:ind w:firstLine="640" w:firstLineChars="200"/>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 xml:space="preserve">GB 2760 </w:t>
      </w:r>
      <w:r>
        <w:rPr>
          <w:rFonts w:hint="eastAsia" w:ascii="Times New Roman" w:hAnsi="Times New Roman" w:eastAsia="仿宋_GB2312"/>
          <w:color w:val="auto"/>
          <w:kern w:val="0"/>
          <w:sz w:val="32"/>
          <w:szCs w:val="32"/>
          <w:highlight w:val="none"/>
        </w:rPr>
        <w:t>食品安全国家标准</w:t>
      </w:r>
      <w:r>
        <w:rPr>
          <w:rFonts w:ascii="Times New Roman" w:hAnsi="Times New Roman" w:eastAsia="仿宋_GB2312"/>
          <w:color w:val="auto"/>
          <w:kern w:val="0"/>
          <w:sz w:val="32"/>
          <w:szCs w:val="32"/>
          <w:highlight w:val="none"/>
        </w:rPr>
        <w:t xml:space="preserve"> </w:t>
      </w:r>
      <w:r>
        <w:rPr>
          <w:rFonts w:hint="eastAsia" w:ascii="Times New Roman" w:hAnsi="Times New Roman" w:eastAsia="仿宋_GB2312"/>
          <w:color w:val="auto"/>
          <w:kern w:val="0"/>
          <w:sz w:val="32"/>
          <w:szCs w:val="32"/>
          <w:highlight w:val="none"/>
        </w:rPr>
        <w:t>食品添加剂使用标准</w:t>
      </w:r>
    </w:p>
    <w:p w14:paraId="7F66F739">
      <w:pPr>
        <w:overflowPunct w:val="0"/>
        <w:topLinePunct/>
        <w:snapToGrid w:val="0"/>
        <w:spacing w:line="560" w:lineRule="exact"/>
        <w:ind w:firstLine="64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GB 5009.28 食品安全国家标准 食品中苯甲酸、山梨酸和糖精钠的测定</w:t>
      </w:r>
    </w:p>
    <w:p w14:paraId="0A76724F">
      <w:pPr>
        <w:overflowPunct w:val="0"/>
        <w:topLinePunct/>
        <w:snapToGrid w:val="0"/>
        <w:spacing w:line="560" w:lineRule="exact"/>
        <w:ind w:firstLine="64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GB 5009.34 食品安全国家标准 食品中二氧化硫的测定</w:t>
      </w:r>
    </w:p>
    <w:p w14:paraId="2D362C7D">
      <w:pPr>
        <w:overflowPunct w:val="0"/>
        <w:topLinePunct/>
        <w:snapToGrid w:val="0"/>
        <w:spacing w:line="560" w:lineRule="exact"/>
        <w:ind w:firstLine="64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产品明示标准和质量要求</w:t>
      </w:r>
    </w:p>
    <w:p w14:paraId="1D30D2B4">
      <w:pPr>
        <w:overflowPunct w:val="0"/>
        <w:topLinePunct/>
        <w:snapToGrid w:val="0"/>
        <w:spacing w:line="560" w:lineRule="exact"/>
        <w:ind w:firstLine="64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相关的法律法规、部门规章和规定</w:t>
      </w:r>
    </w:p>
    <w:p w14:paraId="35E15D12">
      <w:pPr>
        <w:overflowPunct w:val="0"/>
        <w:topLinePunct/>
        <w:snapToGrid w:val="0"/>
        <w:spacing w:line="560" w:lineRule="exact"/>
        <w:ind w:firstLine="64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 xml:space="preserve">.4 </w:t>
      </w:r>
      <w:r>
        <w:rPr>
          <w:rFonts w:hint="eastAsia" w:ascii="Times New Roman" w:hAnsi="Times New Roman" w:eastAsia="黑体"/>
          <w:color w:val="auto"/>
          <w:sz w:val="32"/>
          <w:szCs w:val="32"/>
          <w:highlight w:val="none"/>
        </w:rPr>
        <w:t>抽样</w:t>
      </w:r>
    </w:p>
    <w:p w14:paraId="2AAD726A">
      <w:pPr>
        <w:overflowPunct w:val="0"/>
        <w:topLinePunct/>
        <w:snapToGrid w:val="0"/>
        <w:spacing w:line="560" w:lineRule="exact"/>
        <w:ind w:firstLine="64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.4.</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 xml:space="preserve"> 抽样方法及数量</w:t>
      </w:r>
    </w:p>
    <w:p w14:paraId="1AE08ED9">
      <w:pPr>
        <w:overflowPunct w:val="0"/>
        <w:topLinePunct/>
        <w:snapToGrid w:val="0"/>
        <w:spacing w:line="560" w:lineRule="exact"/>
        <w:ind w:firstLine="64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同食品安全监督抽检实施细则《2023年版》</w:t>
      </w:r>
    </w:p>
    <w:p w14:paraId="201D7486">
      <w:pPr>
        <w:overflowPunct w:val="0"/>
        <w:topLinePunct/>
        <w:snapToGrid w:val="0"/>
        <w:spacing w:line="560" w:lineRule="exact"/>
        <w:ind w:firstLine="64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.4.</w:t>
      </w: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 xml:space="preserve"> 抽样单</w:t>
      </w:r>
    </w:p>
    <w:p w14:paraId="00217AF8">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应按有关规定填写抽样单，并记录所抽样品及生产经营企业相关信息。</w:t>
      </w:r>
    </w:p>
    <w:p w14:paraId="453F0B93">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.4.</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 xml:space="preserve"> 封样和样品运输、贮存</w:t>
      </w:r>
    </w:p>
    <w:p w14:paraId="3E1C2B27">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抽样完成后由抽样人与被抽样单位在抽样单和封条上签字、盖章，当场封样，检验样品、备份样品分别封样。为保证样品的真实性，应有相应的防拆封措施，并保证封条在运输过程中不会破损。样品的运输、贮存，应采取有效的防护措施，确保样品不被污染，不发生腐败变质，不影响后续检验。样品的运输、贮存，应符合产品明示要求或产品实际需要的条件要求。</w:t>
      </w:r>
    </w:p>
    <w:p w14:paraId="16E63129">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在网络食品经营平台抽样时，抽样单和封条无需被抽样单位签字、盖章。</w:t>
      </w:r>
    </w:p>
    <w:p w14:paraId="1BD8E650">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 xml:space="preserve">.5 </w:t>
      </w:r>
      <w:r>
        <w:rPr>
          <w:rFonts w:hint="eastAsia" w:ascii="Times New Roman" w:hAnsi="Times New Roman" w:eastAsia="黑体"/>
          <w:color w:val="auto"/>
          <w:sz w:val="32"/>
          <w:szCs w:val="32"/>
          <w:highlight w:val="none"/>
        </w:rPr>
        <w:t>检验要求</w:t>
      </w:r>
    </w:p>
    <w:p w14:paraId="02B86E74">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.5.1 检验项目</w:t>
      </w:r>
    </w:p>
    <w:p w14:paraId="461F259A">
      <w:pPr>
        <w:overflowPunct w:val="0"/>
        <w:topLinePunct/>
        <w:snapToGrid w:val="0"/>
        <w:spacing w:line="560" w:lineRule="exact"/>
        <w:ind w:firstLine="640" w:firstLineChars="200"/>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 xml:space="preserve">.5.1.1 </w:t>
      </w:r>
      <w:r>
        <w:rPr>
          <w:rFonts w:hint="eastAsia" w:ascii="Times New Roman" w:hAnsi="Times New Roman" w:eastAsia="仿宋_GB2312"/>
          <w:color w:val="auto"/>
          <w:sz w:val="32"/>
          <w:szCs w:val="32"/>
          <w:highlight w:val="none"/>
          <w:lang w:eastAsia="zh-CN"/>
        </w:rPr>
        <w:t>生干坚果</w:t>
      </w:r>
      <w:r>
        <w:rPr>
          <w:rFonts w:hint="eastAsia" w:ascii="Times New Roman" w:hAnsi="Times New Roman" w:eastAsia="仿宋_GB2312"/>
          <w:color w:val="auto"/>
          <w:sz w:val="32"/>
          <w:szCs w:val="32"/>
          <w:highlight w:val="none"/>
        </w:rPr>
        <w:t>检验项目见表4</w:t>
      </w:r>
      <w:r>
        <w:rPr>
          <w:rFonts w:hint="eastAsia" w:ascii="Times New Roman" w:hAnsi="Times New Roman" w:eastAsia="仿宋_GB2312"/>
          <w:color w:val="auto"/>
          <w:sz w:val="32"/>
          <w:szCs w:val="32"/>
          <w:highlight w:val="none"/>
          <w:lang w:val="en-US" w:eastAsia="zh-CN"/>
        </w:rPr>
        <w:t>-2</w:t>
      </w:r>
    </w:p>
    <w:p w14:paraId="1832C27C">
      <w:pPr>
        <w:widowControl/>
        <w:spacing w:before="156" w:beforeLines="50" w:after="156" w:afterLines="50" w:line="36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表</w:t>
      </w:r>
      <w:r>
        <w:rPr>
          <w:rFonts w:hint="eastAsia" w:ascii="Times New Roman" w:hAnsi="Times New Roman" w:eastAsia="黑体"/>
          <w:color w:val="auto"/>
          <w:sz w:val="28"/>
          <w:szCs w:val="28"/>
          <w:highlight w:val="none"/>
          <w:lang w:val="en-US" w:eastAsia="zh-CN"/>
        </w:rPr>
        <w:t>4-2</w:t>
      </w:r>
      <w:r>
        <w:rPr>
          <w:rFonts w:ascii="Times New Roman" w:hAnsi="Times New Roman" w:eastAsia="黑体"/>
          <w:color w:val="auto"/>
          <w:sz w:val="28"/>
          <w:szCs w:val="28"/>
          <w:highlight w:val="none"/>
        </w:rPr>
        <w:t xml:space="preserve"> </w:t>
      </w:r>
      <w:r>
        <w:rPr>
          <w:rFonts w:hint="eastAsia" w:ascii="Times New Roman" w:hAnsi="Times New Roman" w:eastAsia="黑体"/>
          <w:color w:val="auto"/>
          <w:sz w:val="28"/>
          <w:szCs w:val="28"/>
          <w:highlight w:val="none"/>
          <w:lang w:eastAsia="zh-CN"/>
        </w:rPr>
        <w:t>生干坚果</w:t>
      </w:r>
      <w:r>
        <w:rPr>
          <w:rFonts w:hint="eastAsia" w:ascii="Times New Roman" w:hAnsi="Times New Roman" w:eastAsia="黑体"/>
          <w:color w:val="auto"/>
          <w:sz w:val="28"/>
          <w:szCs w:val="28"/>
          <w:highlight w:val="none"/>
        </w:rPr>
        <w:t>检验项目及检测方法</w:t>
      </w:r>
    </w:p>
    <w:tbl>
      <w:tblPr>
        <w:tblStyle w:val="27"/>
        <w:tblpPr w:leftFromText="180" w:rightFromText="180" w:vertAnchor="text" w:horzAnchor="page" w:tblpX="1567" w:tblpY="230"/>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480"/>
        <w:gridCol w:w="2809"/>
        <w:gridCol w:w="2930"/>
      </w:tblGrid>
      <w:tr w14:paraId="756B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tblHeader/>
        </w:trPr>
        <w:tc>
          <w:tcPr>
            <w:tcW w:w="820" w:type="dxa"/>
            <w:noWrap w:val="0"/>
            <w:vAlign w:val="center"/>
          </w:tcPr>
          <w:p w14:paraId="104366F3">
            <w:pPr>
              <w:overflowPunct w:val="0"/>
              <w:topLinePunct/>
              <w:snapToGrid w:val="0"/>
              <w:spacing w:line="40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序号</w:t>
            </w:r>
          </w:p>
        </w:tc>
        <w:tc>
          <w:tcPr>
            <w:tcW w:w="2480" w:type="dxa"/>
            <w:noWrap w:val="0"/>
            <w:vAlign w:val="center"/>
          </w:tcPr>
          <w:p w14:paraId="7F2EAC24">
            <w:pPr>
              <w:overflowPunct w:val="0"/>
              <w:topLinePunct/>
              <w:snapToGrid w:val="0"/>
              <w:spacing w:line="40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检验项目</w:t>
            </w:r>
          </w:p>
        </w:tc>
        <w:tc>
          <w:tcPr>
            <w:tcW w:w="2809" w:type="dxa"/>
            <w:noWrap w:val="0"/>
            <w:vAlign w:val="center"/>
          </w:tcPr>
          <w:p w14:paraId="5EDB4277">
            <w:pPr>
              <w:overflowPunct w:val="0"/>
              <w:topLinePunct/>
              <w:snapToGrid w:val="0"/>
              <w:spacing w:line="40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依据法律法规或标准</w:t>
            </w:r>
          </w:p>
        </w:tc>
        <w:tc>
          <w:tcPr>
            <w:tcW w:w="2930" w:type="dxa"/>
            <w:noWrap w:val="0"/>
            <w:vAlign w:val="center"/>
          </w:tcPr>
          <w:p w14:paraId="09A974C7">
            <w:pPr>
              <w:overflowPunct w:val="0"/>
              <w:topLinePunct/>
              <w:snapToGrid w:val="0"/>
              <w:spacing w:line="40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检测方法</w:t>
            </w:r>
          </w:p>
        </w:tc>
      </w:tr>
      <w:tr w14:paraId="2AC5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exact"/>
        </w:trPr>
        <w:tc>
          <w:tcPr>
            <w:tcW w:w="820" w:type="dxa"/>
            <w:noWrap w:val="0"/>
            <w:vAlign w:val="center"/>
          </w:tcPr>
          <w:p w14:paraId="0FD81EE1">
            <w:pPr>
              <w:widowControl/>
              <w:snapToGrid w:val="0"/>
              <w:spacing w:line="360" w:lineRule="exact"/>
              <w:jc w:val="center"/>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1</w:t>
            </w:r>
          </w:p>
        </w:tc>
        <w:tc>
          <w:tcPr>
            <w:tcW w:w="2480" w:type="dxa"/>
            <w:noWrap w:val="0"/>
            <w:vAlign w:val="center"/>
          </w:tcPr>
          <w:p w14:paraId="29350AF3">
            <w:pPr>
              <w:widowControl/>
              <w:snapToGrid w:val="0"/>
              <w:spacing w:line="360" w:lineRule="exact"/>
              <w:jc w:val="center"/>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lang w:eastAsia="zh-CN"/>
              </w:rPr>
              <w:t>糖精钠</w:t>
            </w:r>
          </w:p>
        </w:tc>
        <w:tc>
          <w:tcPr>
            <w:tcW w:w="2809" w:type="dxa"/>
            <w:noWrap w:val="0"/>
            <w:vAlign w:val="center"/>
          </w:tcPr>
          <w:p w14:paraId="4A4D64C8">
            <w:pPr>
              <w:widowControl/>
              <w:snapToGrid w:val="0"/>
              <w:spacing w:line="360" w:lineRule="exact"/>
              <w:jc w:val="center"/>
              <w:rPr>
                <w:rFonts w:hint="eastAsia" w:ascii="Times New Roman" w:hAnsi="Times New Roman" w:eastAsia="仿宋_GB2312"/>
                <w:color w:val="auto"/>
                <w:sz w:val="28"/>
                <w:szCs w:val="28"/>
                <w:highlight w:val="none"/>
                <w:lang w:eastAsia="zh-CN"/>
              </w:rPr>
            </w:pPr>
            <w:r>
              <w:rPr>
                <w:rFonts w:hint="eastAsia" w:ascii="Times New Roman" w:hAnsi="Times New Roman" w:eastAsia="仿宋_GB2312"/>
                <w:color w:val="auto"/>
                <w:sz w:val="28"/>
                <w:szCs w:val="28"/>
                <w:highlight w:val="none"/>
              </w:rPr>
              <w:t>GB 276</w:t>
            </w:r>
            <w:r>
              <w:rPr>
                <w:rFonts w:hint="eastAsia" w:ascii="Times New Roman" w:hAnsi="Times New Roman" w:eastAsia="仿宋_GB2312"/>
                <w:color w:val="auto"/>
                <w:sz w:val="28"/>
                <w:szCs w:val="28"/>
                <w:highlight w:val="none"/>
                <w:lang w:val="en-US" w:eastAsia="zh-CN"/>
              </w:rPr>
              <w:t>0</w:t>
            </w:r>
          </w:p>
        </w:tc>
        <w:tc>
          <w:tcPr>
            <w:tcW w:w="2930" w:type="dxa"/>
            <w:noWrap w:val="0"/>
            <w:vAlign w:val="center"/>
          </w:tcPr>
          <w:p w14:paraId="36DD0552">
            <w:pPr>
              <w:widowControl/>
              <w:snapToGrid w:val="0"/>
              <w:spacing w:line="360" w:lineRule="exact"/>
              <w:jc w:val="center"/>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GB </w:t>
            </w:r>
            <w:r>
              <w:rPr>
                <w:rFonts w:hint="eastAsia" w:ascii="Times New Roman" w:hAnsi="Times New Roman" w:eastAsia="仿宋_GB2312"/>
                <w:color w:val="auto"/>
                <w:sz w:val="28"/>
                <w:szCs w:val="28"/>
                <w:highlight w:val="none"/>
                <w:lang w:val="en-US" w:eastAsia="zh-CN"/>
              </w:rPr>
              <w:t>5009</w:t>
            </w:r>
            <w:r>
              <w:rPr>
                <w:rFonts w:hint="eastAsia" w:ascii="Times New Roman" w:hAnsi="Times New Roman" w:eastAsia="仿宋_GB2312"/>
                <w:color w:val="auto"/>
                <w:sz w:val="28"/>
                <w:szCs w:val="28"/>
                <w:highlight w:val="none"/>
              </w:rPr>
              <w:t>.</w:t>
            </w:r>
            <w:r>
              <w:rPr>
                <w:rFonts w:hint="eastAsia" w:ascii="Times New Roman" w:hAnsi="Times New Roman" w:eastAsia="仿宋_GB2312"/>
                <w:color w:val="auto"/>
                <w:sz w:val="28"/>
                <w:szCs w:val="28"/>
                <w:highlight w:val="none"/>
                <w:lang w:val="en-US" w:eastAsia="zh-CN"/>
              </w:rPr>
              <w:t>28</w:t>
            </w:r>
          </w:p>
        </w:tc>
      </w:tr>
      <w:tr w14:paraId="7AE5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exact"/>
        </w:trPr>
        <w:tc>
          <w:tcPr>
            <w:tcW w:w="820" w:type="dxa"/>
            <w:noWrap w:val="0"/>
            <w:vAlign w:val="center"/>
          </w:tcPr>
          <w:p w14:paraId="771F621E">
            <w:pPr>
              <w:widowControl/>
              <w:snapToGrid w:val="0"/>
              <w:spacing w:line="360" w:lineRule="exact"/>
              <w:jc w:val="center"/>
              <w:rPr>
                <w:rFonts w:hint="eastAsia"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lang w:val="en-US" w:eastAsia="zh-CN"/>
              </w:rPr>
              <w:t>2</w:t>
            </w:r>
          </w:p>
        </w:tc>
        <w:tc>
          <w:tcPr>
            <w:tcW w:w="2480" w:type="dxa"/>
            <w:noWrap w:val="0"/>
            <w:vAlign w:val="center"/>
          </w:tcPr>
          <w:p w14:paraId="33E3A6F0">
            <w:pPr>
              <w:widowControl/>
              <w:snapToGrid w:val="0"/>
              <w:spacing w:line="360" w:lineRule="exact"/>
              <w:jc w:val="center"/>
              <w:rPr>
                <w:rFonts w:hint="eastAsia" w:ascii="Times New Roman" w:hAnsi="Times New Roman" w:eastAsia="仿宋_GB2312"/>
                <w:color w:val="auto"/>
                <w:sz w:val="28"/>
                <w:szCs w:val="28"/>
                <w:highlight w:val="none"/>
                <w:lang w:eastAsia="zh-CN"/>
              </w:rPr>
            </w:pPr>
            <w:r>
              <w:rPr>
                <w:rFonts w:hint="eastAsia" w:ascii="Times New Roman" w:hAnsi="Times New Roman" w:eastAsia="仿宋_GB2312"/>
                <w:color w:val="auto"/>
                <w:sz w:val="28"/>
                <w:szCs w:val="28"/>
                <w:highlight w:val="none"/>
                <w:lang w:eastAsia="zh-CN"/>
              </w:rPr>
              <w:t>二氧化硫残留量</w:t>
            </w:r>
          </w:p>
        </w:tc>
        <w:tc>
          <w:tcPr>
            <w:tcW w:w="2809" w:type="dxa"/>
            <w:noWrap w:val="0"/>
            <w:vAlign w:val="center"/>
          </w:tcPr>
          <w:p w14:paraId="72803A1A">
            <w:pPr>
              <w:widowControl/>
              <w:snapToGrid w:val="0"/>
              <w:spacing w:line="360" w:lineRule="exact"/>
              <w:jc w:val="center"/>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GB 276</w:t>
            </w:r>
            <w:r>
              <w:rPr>
                <w:rFonts w:hint="eastAsia" w:ascii="Times New Roman" w:hAnsi="Times New Roman" w:eastAsia="仿宋_GB2312"/>
                <w:color w:val="auto"/>
                <w:sz w:val="28"/>
                <w:szCs w:val="28"/>
                <w:highlight w:val="none"/>
                <w:lang w:val="en-US" w:eastAsia="zh-CN"/>
              </w:rPr>
              <w:t>0</w:t>
            </w:r>
          </w:p>
        </w:tc>
        <w:tc>
          <w:tcPr>
            <w:tcW w:w="2930" w:type="dxa"/>
            <w:noWrap w:val="0"/>
            <w:vAlign w:val="center"/>
          </w:tcPr>
          <w:p w14:paraId="5930814A">
            <w:pPr>
              <w:widowControl/>
              <w:snapToGrid w:val="0"/>
              <w:spacing w:line="360" w:lineRule="exact"/>
              <w:jc w:val="center"/>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rPr>
              <w:t xml:space="preserve">GB </w:t>
            </w:r>
            <w:r>
              <w:rPr>
                <w:rFonts w:hint="eastAsia" w:ascii="Times New Roman" w:hAnsi="Times New Roman" w:eastAsia="仿宋_GB2312"/>
                <w:color w:val="auto"/>
                <w:sz w:val="28"/>
                <w:szCs w:val="28"/>
                <w:highlight w:val="none"/>
                <w:lang w:val="en-US" w:eastAsia="zh-CN"/>
              </w:rPr>
              <w:t>5009</w:t>
            </w:r>
            <w:r>
              <w:rPr>
                <w:rFonts w:hint="eastAsia" w:ascii="Times New Roman" w:hAnsi="Times New Roman" w:eastAsia="仿宋_GB2312"/>
                <w:color w:val="auto"/>
                <w:sz w:val="28"/>
                <w:szCs w:val="28"/>
                <w:highlight w:val="none"/>
              </w:rPr>
              <w:t>.</w:t>
            </w:r>
            <w:r>
              <w:rPr>
                <w:rFonts w:hint="eastAsia" w:ascii="Times New Roman" w:hAnsi="Times New Roman" w:eastAsia="仿宋_GB2312"/>
                <w:color w:val="auto"/>
                <w:sz w:val="28"/>
                <w:szCs w:val="28"/>
                <w:highlight w:val="none"/>
                <w:lang w:val="en-US" w:eastAsia="zh-CN"/>
              </w:rPr>
              <w:t>34</w:t>
            </w:r>
          </w:p>
        </w:tc>
      </w:tr>
    </w:tbl>
    <w:p w14:paraId="3CFEF31C">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6</w:t>
      </w:r>
      <w:r>
        <w:rPr>
          <w:rFonts w:hint="eastAsia" w:ascii="Times New Roman" w:hAnsi="Times New Roman" w:eastAsia="仿宋_GB2312"/>
          <w:color w:val="auto"/>
          <w:sz w:val="32"/>
          <w:szCs w:val="32"/>
          <w:highlight w:val="none"/>
        </w:rPr>
        <w:t xml:space="preserve"> </w:t>
      </w:r>
      <w:r>
        <w:rPr>
          <w:rFonts w:ascii="Times New Roman" w:hAnsi="Times New Roman" w:eastAsia="黑体"/>
          <w:color w:val="auto"/>
          <w:sz w:val="32"/>
          <w:szCs w:val="32"/>
          <w:highlight w:val="none"/>
        </w:rPr>
        <w:t>判定原则与结论</w:t>
      </w:r>
    </w:p>
    <w:p w14:paraId="247957DD">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原则上按照细则中检验项目依据的法律法规或标准要求判定</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若被检产品明示标准或质量要求高于该要求时，应按被检产品明示标准或质量要求判定。若所检项目既不符合食品安全标准，又不符合产品明示标准或质量要求时，应在检验结论中同时体现</w:t>
      </w:r>
      <w:r>
        <w:rPr>
          <w:rFonts w:hint="eastAsia" w:ascii="Times New Roman" w:hAnsi="Times New Roman" w:eastAsia="仿宋_GB2312"/>
          <w:color w:val="auto"/>
          <w:sz w:val="32"/>
          <w:szCs w:val="32"/>
          <w:highlight w:val="none"/>
        </w:rPr>
        <w:t>。</w:t>
      </w:r>
    </w:p>
    <w:p w14:paraId="7405E078">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出具抽检检验报告，检验报告中检验结论按如下方式作出判定：</w:t>
      </w:r>
    </w:p>
    <w:p w14:paraId="3B3639CE">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6.1</w:t>
      </w:r>
      <w:r>
        <w:rPr>
          <w:rFonts w:ascii="Times New Roman" w:hAnsi="Times New Roman" w:eastAsia="仿宋_GB2312"/>
          <w:color w:val="auto"/>
          <w:sz w:val="32"/>
          <w:szCs w:val="32"/>
          <w:highlight w:val="none"/>
        </w:rPr>
        <w:t xml:space="preserve"> 检验项目全部符合相应依据的法律法规或标准要求的，检验结论为</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经抽样检验，所检项目符合××××要求</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w:t>
      </w:r>
    </w:p>
    <w:p w14:paraId="0B15F341">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.6.2</w:t>
      </w:r>
      <w:r>
        <w:rPr>
          <w:rFonts w:ascii="Times New Roman" w:hAnsi="Times New Roman" w:eastAsia="仿宋_GB2312"/>
          <w:color w:val="auto"/>
          <w:sz w:val="32"/>
          <w:szCs w:val="32"/>
          <w:highlight w:val="none"/>
        </w:rPr>
        <w:t xml:space="preserve"> 检验项目有不符合相应依据的法律法规或标准要求的，检验结论为</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经抽样检验，××项目不符合××××要求，检验结论为不合格</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w:t>
      </w:r>
    </w:p>
    <w:p w14:paraId="5230FAC6">
      <w:pPr>
        <w:overflowPunct w:val="0"/>
        <w:topLinePunct/>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 xml:space="preserve">.6.3 </w:t>
      </w:r>
      <w:r>
        <w:rPr>
          <w:rFonts w:ascii="Times New Roman" w:hAnsi="Times New Roman" w:eastAsia="仿宋_GB2312"/>
          <w:color w:val="auto"/>
          <w:sz w:val="32"/>
          <w:szCs w:val="32"/>
          <w:highlight w:val="none"/>
        </w:rPr>
        <w:t>检验项目既不符合食品安全标准，又不符合产品明示标准或质量要求时，检验结论为</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经抽样检验，××项目不符合××××</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食品安全标准</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要求、××××</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产品明示标准或质量要求</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要求，检验结论为不合格</w:t>
      </w:r>
      <w:r>
        <w:rPr>
          <w:rFonts w:hint="eastAsia" w:ascii="Times New Roman" w:hAnsi="Times New Roman" w:eastAsia="仿宋_GB2312"/>
          <w:color w:val="auto"/>
          <w:sz w:val="32"/>
          <w:szCs w:val="32"/>
          <w:highlight w:val="none"/>
        </w:rPr>
        <w:t>”。</w:t>
      </w:r>
    </w:p>
    <w:p w14:paraId="4A1EF0B5">
      <w:pPr>
        <w:overflowPunct w:val="0"/>
        <w:topLinePunct/>
        <w:snapToGrid w:val="0"/>
        <w:spacing w:line="560" w:lineRule="exact"/>
        <w:ind w:firstLine="640" w:firstLineChars="200"/>
        <w:rPr>
          <w:rFonts w:ascii="Times New Roman" w:hAnsi="Times New Roman" w:eastAsia="仿宋_GB2312"/>
          <w:b w:val="0"/>
          <w:bCs w:val="0"/>
          <w:color w:val="auto"/>
          <w:sz w:val="32"/>
          <w:szCs w:val="32"/>
          <w:highlight w:val="none"/>
        </w:rPr>
      </w:pPr>
    </w:p>
    <w:sectPr>
      <w:footerReference r:id="rId5" w:type="default"/>
      <w:pgSz w:w="11906" w:h="16838"/>
      <w:pgMar w:top="1418" w:right="1418" w:bottom="1418" w:left="1418" w:header="851" w:footer="851" w:gutter="0"/>
      <w:pgNumType w:start="1"/>
      <w:cols w:space="720"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PS_1605614406" w:date="2023-02-26T22:55:44Z" w:initials="">
    <w:p w14:paraId="3D027D8B">
      <w:pPr>
        <w:pStyle w:val="8"/>
        <w:rPr>
          <w:rFonts w:hint="default" w:eastAsia="仿宋"/>
          <w:lang w:val="en-US" w:eastAsia="zh-CN"/>
        </w:rPr>
      </w:pPr>
      <w:r>
        <w:rPr>
          <w:rFonts w:ascii="Times New Roman" w:hAnsi="Times New Roman" w:eastAsia="仿宋"/>
          <w:sz w:val="28"/>
          <w:szCs w:val="28"/>
        </w:rPr>
        <w:t>GB 5009.</w:t>
      </w:r>
      <w:r>
        <w:rPr>
          <w:rFonts w:hint="eastAsia" w:ascii="Times New Roman" w:hAnsi="Times New Roman" w:eastAsia="仿宋"/>
          <w:sz w:val="28"/>
          <w:szCs w:val="28"/>
        </w:rPr>
        <w:t>35</w:t>
      </w:r>
      <w:r>
        <w:rPr>
          <w:rFonts w:hint="eastAsia" w:ascii="Times New Roman" w:hAnsi="Times New Roman" w:eastAsia="仿宋"/>
          <w:sz w:val="28"/>
          <w:szCs w:val="28"/>
          <w:lang w:val="en-US" w:eastAsia="zh-Hans"/>
        </w:rPr>
        <w:t>标</w:t>
      </w:r>
      <w:r>
        <w:rPr>
          <w:rFonts w:hint="eastAsia" w:ascii="Times New Roman" w:hAnsi="Times New Roman" w:eastAsia="仿宋"/>
          <w:sz w:val="28"/>
          <w:szCs w:val="28"/>
          <w:lang w:val="en-US" w:eastAsia="zh-CN"/>
        </w:rPr>
        <w:t>准</w:t>
      </w:r>
      <w:r>
        <w:rPr>
          <w:rFonts w:hint="eastAsia" w:ascii="Times New Roman" w:hAnsi="Times New Roman" w:eastAsia="仿宋"/>
          <w:sz w:val="28"/>
          <w:szCs w:val="28"/>
          <w:lang w:val="en-US" w:eastAsia="zh-Hans"/>
        </w:rPr>
        <w:t>中规定的检测方法基质无</w:t>
      </w:r>
      <w:r>
        <w:rPr>
          <w:rFonts w:hint="eastAsia" w:ascii="Times New Roman" w:hAnsi="Times New Roman" w:eastAsia="仿宋"/>
          <w:sz w:val="28"/>
          <w:szCs w:val="28"/>
          <w:lang w:val="en-US" w:eastAsia="zh-CN"/>
        </w:rPr>
        <w:t>“</w:t>
      </w:r>
      <w:r>
        <w:rPr>
          <w:rFonts w:hint="eastAsia" w:ascii="Times New Roman" w:hAnsi="Times New Roman" w:eastAsia="仿宋"/>
          <w:sz w:val="28"/>
          <w:szCs w:val="28"/>
          <w:lang w:val="en-US" w:eastAsia="zh-Hans"/>
        </w:rPr>
        <w:t>米面及其制品</w:t>
      </w:r>
      <w:r>
        <w:rPr>
          <w:rFonts w:hint="eastAsia" w:ascii="Times New Roman" w:hAnsi="Times New Roman" w:eastAsia="仿宋"/>
          <w:sz w:val="28"/>
          <w:szCs w:val="28"/>
          <w:lang w:val="en-US" w:eastAsia="zh-CN"/>
        </w:rPr>
        <w:t>”</w:t>
      </w:r>
      <w:r>
        <w:rPr>
          <w:rFonts w:hint="eastAsia" w:ascii="Times New Roman" w:hAnsi="Times New Roman" w:eastAsia="仿宋"/>
          <w:sz w:val="28"/>
          <w:szCs w:val="28"/>
          <w:lang w:eastAsia="zh-CN"/>
        </w:rPr>
        <w:t>、“</w:t>
      </w:r>
      <w:r>
        <w:rPr>
          <w:rFonts w:hint="eastAsia" w:ascii="Times New Roman" w:hAnsi="Times New Roman" w:eastAsia="仿宋"/>
          <w:sz w:val="28"/>
          <w:szCs w:val="28"/>
          <w:lang w:val="en-US" w:eastAsia="zh-Hans"/>
        </w:rPr>
        <w:t>凉皮</w:t>
      </w:r>
      <w:r>
        <w:rPr>
          <w:rFonts w:hint="eastAsia" w:ascii="Times New Roman" w:hAnsi="Times New Roman" w:eastAsia="仿宋"/>
          <w:sz w:val="28"/>
          <w:szCs w:val="28"/>
          <w:lang w:eastAsia="zh-CN"/>
        </w:rPr>
        <w:t>”</w:t>
      </w:r>
      <w:r>
        <w:rPr>
          <w:rFonts w:hint="eastAsia" w:ascii="Times New Roman" w:hAnsi="Times New Roman" w:eastAsia="仿宋"/>
          <w:sz w:val="28"/>
          <w:szCs w:val="28"/>
          <w:lang w:val="en-US" w:eastAsia="zh-CN"/>
        </w:rPr>
        <w:t>等</w:t>
      </w:r>
      <w:r>
        <w:rPr>
          <w:rFonts w:hint="eastAsia" w:ascii="Times New Roman" w:hAnsi="Times New Roman" w:eastAsia="仿宋"/>
          <w:sz w:val="28"/>
          <w:szCs w:val="28"/>
          <w:lang w:val="en-US" w:eastAsia="zh-Hans"/>
        </w:rPr>
        <w:t>类别</w:t>
      </w:r>
      <w:r>
        <w:rPr>
          <w:rFonts w:hint="default" w:ascii="Times New Roman" w:hAnsi="Times New Roman" w:eastAsia="仿宋"/>
          <w:sz w:val="28"/>
          <w:szCs w:val="28"/>
          <w:lang w:eastAsia="zh-Hans"/>
        </w:rPr>
        <w:t>。</w:t>
      </w:r>
      <w:r>
        <w:rPr>
          <w:rFonts w:hint="eastAsia" w:ascii="Times New Roman" w:hAnsi="Times New Roman" w:eastAsia="仿宋"/>
          <w:sz w:val="28"/>
          <w:szCs w:val="28"/>
          <w:lang w:val="en-US" w:eastAsia="zh-Hans"/>
        </w:rPr>
        <w:t>且近三年国抽细则中未要求检测</w:t>
      </w:r>
      <w:r>
        <w:rPr>
          <w:rFonts w:hint="eastAsia" w:ascii="Times New Roman" w:hAnsi="Times New Roman" w:eastAsia="仿宋"/>
          <w:sz w:val="28"/>
          <w:szCs w:val="28"/>
          <w:lang w:val="en-US" w:eastAsia="zh-CN"/>
        </w:rPr>
        <w:t>该</w:t>
      </w:r>
      <w:r>
        <w:rPr>
          <w:rFonts w:hint="eastAsia" w:ascii="Times New Roman" w:hAnsi="Times New Roman" w:eastAsia="仿宋"/>
          <w:sz w:val="28"/>
          <w:szCs w:val="28"/>
          <w:lang w:val="en-US" w:eastAsia="zh-Hans"/>
        </w:rPr>
        <w:t>项目</w:t>
      </w:r>
      <w:r>
        <w:rPr>
          <w:rFonts w:hint="default" w:ascii="Times New Roman" w:hAnsi="Times New Roman" w:eastAsia="仿宋"/>
          <w:sz w:val="28"/>
          <w:szCs w:val="28"/>
          <w:lang w:eastAsia="zh-Hans"/>
        </w:rPr>
        <w:t>。</w:t>
      </w:r>
      <w:r>
        <w:rPr>
          <w:rFonts w:hint="eastAsia" w:ascii="Times New Roman" w:hAnsi="Times New Roman" w:eastAsia="仿宋"/>
          <w:sz w:val="28"/>
          <w:szCs w:val="28"/>
          <w:lang w:val="en-US" w:eastAsia="zh-Hans"/>
        </w:rPr>
        <w:t>建议在</w:t>
      </w:r>
      <w:r>
        <w:rPr>
          <w:rFonts w:hint="eastAsia" w:ascii="Times New Roman" w:hAnsi="Times New Roman" w:eastAsia="仿宋"/>
          <w:sz w:val="28"/>
          <w:szCs w:val="28"/>
          <w:lang w:val="en-US" w:eastAsia="zh-CN"/>
        </w:rPr>
        <w:t>该</w:t>
      </w:r>
      <w:r>
        <w:rPr>
          <w:rFonts w:hint="eastAsia" w:ascii="Times New Roman" w:hAnsi="Times New Roman" w:eastAsia="仿宋"/>
          <w:sz w:val="28"/>
          <w:szCs w:val="28"/>
          <w:lang w:val="en-US" w:eastAsia="zh-Hans"/>
        </w:rPr>
        <w:t>方法</w:t>
      </w:r>
      <w:r>
        <w:rPr>
          <w:rFonts w:hint="eastAsia" w:ascii="Times New Roman" w:hAnsi="Times New Roman" w:eastAsia="仿宋"/>
          <w:sz w:val="28"/>
          <w:szCs w:val="28"/>
          <w:lang w:val="en-US" w:eastAsia="zh-CN"/>
        </w:rPr>
        <w:t>使</w:t>
      </w:r>
      <w:r>
        <w:rPr>
          <w:rFonts w:hint="eastAsia" w:ascii="Times New Roman" w:hAnsi="Times New Roman" w:eastAsia="仿宋"/>
          <w:sz w:val="28"/>
          <w:szCs w:val="28"/>
          <w:lang w:val="en-US" w:eastAsia="zh-Hans"/>
        </w:rPr>
        <w:t>用前</w:t>
      </w:r>
      <w:r>
        <w:rPr>
          <w:rFonts w:hint="eastAsia" w:ascii="Times New Roman" w:hAnsi="Times New Roman" w:eastAsia="仿宋"/>
          <w:sz w:val="28"/>
          <w:szCs w:val="28"/>
          <w:lang w:val="en-US" w:eastAsia="zh-CN"/>
        </w:rPr>
        <w:t>，针对新增基质从新做方法验证实验，确保方法适用性及数据准确性。</w:t>
      </w:r>
    </w:p>
  </w:comment>
  <w:comment w:id="1" w:author="糟卫仁" w:date="2023-02-28T21:07:22Z" w:initials="">
    <w:p w14:paraId="56F1592B">
      <w:pPr>
        <w:pStyle w:val="8"/>
        <w:rPr>
          <w:rFonts w:hint="default" w:eastAsia="宋体"/>
          <w:lang w:val="en-US" w:eastAsia="zh-CN"/>
        </w:rPr>
      </w:pPr>
      <w:r>
        <w:rPr>
          <w:rFonts w:hint="eastAsia"/>
          <w:lang w:val="en-US" w:eastAsia="zh-CN"/>
        </w:rPr>
        <w:t>建议标准更新后进行监督抽检，新标准未实施前做监测项目</w:t>
      </w:r>
    </w:p>
  </w:comment>
  <w:comment w:id="2" w:author="糟卫仁" w:date="2023-02-28T21:07:22Z" w:initials="">
    <w:p w14:paraId="09DD010E">
      <w:pPr>
        <w:pStyle w:val="8"/>
        <w:rPr>
          <w:rFonts w:hint="default" w:eastAsia="宋体"/>
          <w:lang w:val="en-US" w:eastAsia="zh-CN"/>
        </w:rPr>
      </w:pPr>
      <w:r>
        <w:rPr>
          <w:rFonts w:hint="eastAsia"/>
          <w:lang w:val="en-US" w:eastAsia="zh-CN"/>
        </w:rPr>
        <w:t>建议标准更新后进行监督抽检，新标准未实施前做监测项目</w:t>
      </w:r>
    </w:p>
  </w:comment>
  <w:comment w:id="3" w:author="糟卫仁" w:date="2023-02-28T21:09:39Z" w:initials="">
    <w:p w14:paraId="0C8245AB">
      <w:pPr>
        <w:pStyle w:val="8"/>
      </w:pPr>
      <w:r>
        <w:rPr>
          <w:rFonts w:hint="eastAsia"/>
          <w:lang w:val="en-US" w:eastAsia="zh-CN"/>
        </w:rPr>
        <w:t>建议标准更新后进行监督抽检，新标准未实施前做监测项目</w:t>
      </w:r>
    </w:p>
  </w:comment>
  <w:comment w:id="4" w:author="糟卫仁" w:date="2023-02-28T21:07:22Z" w:initials="">
    <w:p w14:paraId="55D9126A">
      <w:pPr>
        <w:pStyle w:val="8"/>
        <w:rPr>
          <w:rFonts w:hint="default" w:eastAsia="宋体"/>
          <w:lang w:val="en-US" w:eastAsia="zh-CN"/>
        </w:rPr>
      </w:pPr>
      <w:r>
        <w:rPr>
          <w:rFonts w:hint="eastAsia"/>
          <w:lang w:val="en-US" w:eastAsia="zh-CN"/>
        </w:rPr>
        <w:t>建议标准更新后进行监督抽检，新标准未实施前做监测项目</w:t>
      </w:r>
    </w:p>
  </w:comment>
  <w:comment w:id="5" w:author="刘宇轩" w:date="2023-02-26T23:18:19Z" w:initials="">
    <w:p w14:paraId="121D1ECD">
      <w:pPr>
        <w:pStyle w:val="8"/>
        <w:numPr>
          <w:ilvl w:val="0"/>
          <w:numId w:val="1"/>
        </w:numPr>
        <w:rPr>
          <w:rFonts w:hint="eastAsia" w:ascii="Times New Roman" w:hAnsi="Times New Roman" w:eastAsia="仿宋_GB2312"/>
          <w:lang w:val="en-US" w:eastAsia="zh-CN"/>
        </w:rPr>
      </w:pPr>
      <w:r>
        <w:rPr>
          <w:rFonts w:hint="eastAsia" w:ascii="Times New Roman" w:hAnsi="Times New Roman" w:eastAsia="仿宋_GB2312"/>
          <w:sz w:val="28"/>
          <w:szCs w:val="28"/>
        </w:rPr>
        <w:t>黄曲霉毒素B</w:t>
      </w:r>
      <w:r>
        <w:rPr>
          <w:rFonts w:hint="eastAsia" w:ascii="Times New Roman" w:hAnsi="Times New Roman" w:eastAsia="仿宋_GB2312"/>
          <w:sz w:val="28"/>
          <w:szCs w:val="28"/>
          <w:vertAlign w:val="subscript"/>
        </w:rPr>
        <w:t>1</w:t>
      </w:r>
      <w:r>
        <w:rPr>
          <w:rFonts w:hint="eastAsia" w:ascii="Times New Roman" w:hAnsi="Times New Roman" w:eastAsia="仿宋_GB2312"/>
          <w:sz w:val="28"/>
          <w:szCs w:val="28"/>
          <w:vertAlign w:val="baseline"/>
          <w:lang w:val="en-US" w:eastAsia="zh-CN"/>
        </w:rPr>
        <w:t>为建议增加的检测项目，说明：</w:t>
      </w:r>
      <w:r>
        <w:rPr>
          <w:rFonts w:hint="default" w:ascii="Times New Roman" w:hAnsi="Times New Roman" w:eastAsia="仿宋_GB2312"/>
        </w:rPr>
        <w:t>2023</w:t>
      </w:r>
      <w:r>
        <w:rPr>
          <w:rFonts w:hint="eastAsia" w:ascii="Times New Roman" w:hAnsi="Times New Roman" w:eastAsia="仿宋_GB2312"/>
          <w:lang w:val="en-US" w:eastAsia="zh-Hans"/>
        </w:rPr>
        <w:t>年国抽细则中芝麻制品</w:t>
      </w:r>
      <w:r>
        <w:rPr>
          <w:rFonts w:hint="eastAsia" w:ascii="Times New Roman" w:hAnsi="Times New Roman" w:eastAsia="仿宋_GB2312"/>
          <w:lang w:val="en-US" w:eastAsia="zh-CN"/>
        </w:rPr>
        <w:t>中规定</w:t>
      </w:r>
      <w:r>
        <w:rPr>
          <w:rFonts w:hint="eastAsia" w:ascii="Times New Roman" w:hAnsi="Times New Roman" w:eastAsia="仿宋_GB2312"/>
          <w:lang w:val="en-US" w:eastAsia="zh-Hans"/>
        </w:rPr>
        <w:t>检测此项目</w:t>
      </w:r>
      <w:r>
        <w:rPr>
          <w:rFonts w:hint="eastAsia" w:ascii="Times New Roman" w:hAnsi="Times New Roman" w:eastAsia="仿宋_GB2312"/>
          <w:lang w:val="en-US" w:eastAsia="zh-CN"/>
        </w:rPr>
        <w:t>。</w:t>
      </w:r>
    </w:p>
    <w:p w14:paraId="591475D8">
      <w:pPr>
        <w:pStyle w:val="8"/>
        <w:numPr>
          <w:ilvl w:val="0"/>
          <w:numId w:val="1"/>
        </w:numPr>
        <w:rPr>
          <w:rFonts w:hint="eastAsia" w:ascii="Times New Roman" w:hAnsi="Times New Roman" w:eastAsia="仿宋_GB2312"/>
          <w:lang w:val="en-US" w:eastAsia="zh-CN"/>
        </w:rPr>
      </w:pPr>
      <w:r>
        <w:rPr>
          <w:rFonts w:hint="eastAsia" w:ascii="Times New Roman" w:hAnsi="Times New Roman" w:eastAsia="仿宋_GB2312"/>
          <w:lang w:val="en-US" w:eastAsia="zh-CN"/>
        </w:rPr>
        <w:t>红色字体为新增项目与备注信息。</w:t>
      </w:r>
    </w:p>
  </w:comment>
  <w:comment w:id="6" w:author="刘宇轩" w:date="2023-02-26T23:23:24Z" w:initials="">
    <w:p w14:paraId="77786DC4">
      <w:pPr>
        <w:pStyle w:val="8"/>
        <w:numPr>
          <w:ilvl w:val="0"/>
          <w:numId w:val="0"/>
        </w:numPr>
        <w:rPr>
          <w:rFonts w:hint="eastAsia" w:ascii="Times New Roman" w:hAnsi="Times New Roman" w:eastAsia="仿宋_GB2312"/>
          <w:lang w:val="en-US" w:eastAsia="zh-CN"/>
        </w:rPr>
      </w:pPr>
      <w:r>
        <w:rPr>
          <w:rFonts w:hint="eastAsia" w:ascii="Times New Roman" w:hAnsi="Times New Roman" w:eastAsia="仿宋_GB2312"/>
          <w:sz w:val="28"/>
          <w:szCs w:val="28"/>
          <w:lang w:val="en-US" w:eastAsia="zh-CN"/>
        </w:rPr>
        <w:t>1、酸价与过氧化值</w:t>
      </w:r>
      <w:r>
        <w:rPr>
          <w:rFonts w:hint="eastAsia" w:ascii="Times New Roman" w:hAnsi="Times New Roman" w:eastAsia="仿宋_GB2312"/>
          <w:sz w:val="28"/>
          <w:szCs w:val="28"/>
          <w:vertAlign w:val="baseline"/>
          <w:lang w:val="en-US" w:eastAsia="zh-CN"/>
        </w:rPr>
        <w:t>为建议增加的检测项目，说明：</w:t>
      </w:r>
      <w:r>
        <w:rPr>
          <w:rFonts w:hint="default" w:ascii="Times New Roman" w:hAnsi="Times New Roman" w:eastAsia="仿宋_GB2312"/>
        </w:rPr>
        <w:t>2023</w:t>
      </w:r>
      <w:r>
        <w:rPr>
          <w:rFonts w:hint="eastAsia" w:ascii="Times New Roman" w:hAnsi="Times New Roman" w:eastAsia="仿宋_GB2312"/>
          <w:lang w:val="en-US" w:eastAsia="zh-Hans"/>
        </w:rPr>
        <w:t>年国抽细则中</w:t>
      </w:r>
      <w:r>
        <w:rPr>
          <w:rFonts w:hint="eastAsia" w:ascii="Times New Roman" w:hAnsi="Times New Roman" w:eastAsia="仿宋_GB2312"/>
          <w:lang w:val="en-US" w:eastAsia="zh-CN"/>
        </w:rPr>
        <w:t>月饼中规定</w:t>
      </w:r>
      <w:r>
        <w:rPr>
          <w:rFonts w:hint="eastAsia" w:ascii="Times New Roman" w:hAnsi="Times New Roman" w:eastAsia="仿宋_GB2312"/>
          <w:lang w:val="en-US" w:eastAsia="zh-Hans"/>
        </w:rPr>
        <w:t>检测此项目</w:t>
      </w:r>
      <w:r>
        <w:rPr>
          <w:rFonts w:hint="eastAsia" w:ascii="Times New Roman" w:hAnsi="Times New Roman" w:eastAsia="仿宋_GB2312"/>
          <w:lang w:val="en-US" w:eastAsia="zh-CN"/>
        </w:rPr>
        <w:t>。</w:t>
      </w:r>
    </w:p>
    <w:p w14:paraId="6CAA3A41">
      <w:pPr>
        <w:pStyle w:val="8"/>
        <w:numPr>
          <w:ilvl w:val="0"/>
          <w:numId w:val="0"/>
        </w:numPr>
      </w:pPr>
      <w:r>
        <w:rPr>
          <w:rFonts w:hint="eastAsia" w:ascii="Times New Roman" w:hAnsi="Times New Roman" w:eastAsia="仿宋_GB2312"/>
          <w:lang w:val="en-US" w:eastAsia="zh-CN"/>
        </w:rPr>
        <w:t>2、红色字体为新增项目与备注信息。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027D8B" w15:done="0"/>
  <w15:commentEx w15:paraId="56F1592B" w15:done="0"/>
  <w15:commentEx w15:paraId="09DD010E" w15:done="0"/>
  <w15:commentEx w15:paraId="0C8245AB" w15:done="0"/>
  <w15:commentEx w15:paraId="55D9126A" w15:done="0"/>
  <w15:commentEx w15:paraId="591475D8" w15:done="0"/>
  <w15:commentEx w15:paraId="6CAA3A4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ABFDA6-BAB8-4A89-8F54-B01DD052CE4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embedRegular r:id="rId2" w:fontKey="{AEE90310-A966-4473-A853-5D7DB6364331}"/>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DC1868FA-14EC-4054-A2B0-0FC70CD8F47F}"/>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4" w:fontKey="{A821440D-A39F-4A24-B3D9-F0569B6C0B5C}"/>
  </w:font>
  <w:font w:name="方正仿宋_GB2312">
    <w:panose1 w:val="02000000000000000000"/>
    <w:charset w:val="86"/>
    <w:family w:val="auto"/>
    <w:pitch w:val="default"/>
    <w:sig w:usb0="A00002BF" w:usb1="184F6CFA" w:usb2="00000012" w:usb3="00000000" w:csb0="00040001" w:csb1="00000000"/>
    <w:embedRegular r:id="rId5" w:fontKey="{BC4D6725-40EF-4D62-9943-E21B621102F6}"/>
  </w:font>
  <w:font w:name="TimesNewRomanPSMT">
    <w:altName w:val="Times New Roman"/>
    <w:panose1 w:val="02020603050405020304"/>
    <w:charset w:val="00"/>
    <w:family w:val="auto"/>
    <w:pitch w:val="default"/>
    <w:sig w:usb0="00000000" w:usb1="00000000" w:usb2="00000000" w:usb3="00000000" w:csb0="00000000" w:csb1="00000000"/>
    <w:embedRegular r:id="rId6" w:fontKey="{697E2BF5-DAB5-4E50-A694-566E576F388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03806">
    <w:pPr>
      <w:pStyle w:val="15"/>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1A7CEA0">
                          <w:pPr>
                            <w:pStyle w:val="15"/>
                            <w:jc w:val="right"/>
                          </w:pPr>
                          <w:r>
                            <w:fldChar w:fldCharType="begin"/>
                          </w:r>
                          <w:r>
                            <w:instrText xml:space="preserve">PAGE   \* MERGEFORMAT</w:instrText>
                          </w:r>
                          <w:r>
                            <w:fldChar w:fldCharType="separate"/>
                          </w:r>
                          <w:r>
                            <w:rPr>
                              <w:lang w:val="zh-CN"/>
                            </w:rPr>
                            <w:t>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1A7CEA0">
                    <w:pPr>
                      <w:pStyle w:val="15"/>
                      <w:jc w:val="right"/>
                    </w:pPr>
                    <w:r>
                      <w:fldChar w:fldCharType="begin"/>
                    </w:r>
                    <w:r>
                      <w:instrText xml:space="preserve">PAGE   \* MERGEFORMAT</w:instrText>
                    </w:r>
                    <w:r>
                      <w:fldChar w:fldCharType="separate"/>
                    </w:r>
                    <w:r>
                      <w:rPr>
                        <w:lang w:val="zh-CN"/>
                      </w:rPr>
                      <w:t>8</w:t>
                    </w:r>
                    <w:r>
                      <w:rPr>
                        <w:lang w:val="zh-CN"/>
                      </w:rPr>
                      <w:fldChar w:fldCharType="end"/>
                    </w:r>
                  </w:p>
                </w:txbxContent>
              </v:textbox>
            </v:shape>
          </w:pict>
        </mc:Fallback>
      </mc:AlternateContent>
    </w:r>
  </w:p>
  <w:p w14:paraId="246E95C0">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27E9C"/>
    <w:multiLevelType w:val="singleLevel"/>
    <w:tmpl w:val="CF327E9C"/>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05614406">
    <w15:presenceInfo w15:providerId="WPS Office" w15:userId="4915336590"/>
  </w15:person>
  <w15:person w15:author="糟卫仁">
    <w15:presenceInfo w15:providerId="WPS Office" w15:userId="12218189"/>
  </w15:person>
  <w15:person w15:author="刘宇轩">
    <w15:presenceInfo w15:providerId="WPS Office" w15:userId="2284890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iZDk1MmEzNmZjNDRiYzMwOWQ4MzRjMWM1MmVjYTEifQ=="/>
    <w:docVar w:name="KSO_WPS_MARK_KEY" w:val="1c80b973-9b74-475e-b48a-8c0692c988ac"/>
  </w:docVars>
  <w:rsids>
    <w:rsidRoot w:val="008D362E"/>
    <w:rsid w:val="00006924"/>
    <w:rsid w:val="00011E90"/>
    <w:rsid w:val="00023241"/>
    <w:rsid w:val="000316BF"/>
    <w:rsid w:val="00033A05"/>
    <w:rsid w:val="000344AA"/>
    <w:rsid w:val="000447B3"/>
    <w:rsid w:val="000642CB"/>
    <w:rsid w:val="0007655A"/>
    <w:rsid w:val="0008058E"/>
    <w:rsid w:val="00081586"/>
    <w:rsid w:val="00081F18"/>
    <w:rsid w:val="0009151A"/>
    <w:rsid w:val="00091C68"/>
    <w:rsid w:val="000927D9"/>
    <w:rsid w:val="000A2CEB"/>
    <w:rsid w:val="000A60CE"/>
    <w:rsid w:val="000A7843"/>
    <w:rsid w:val="000B5F1B"/>
    <w:rsid w:val="000B6FA5"/>
    <w:rsid w:val="000C0CD6"/>
    <w:rsid w:val="000C2C5A"/>
    <w:rsid w:val="000C5C6D"/>
    <w:rsid w:val="000C72F9"/>
    <w:rsid w:val="000D23D5"/>
    <w:rsid w:val="000E2AAA"/>
    <w:rsid w:val="000E6E3A"/>
    <w:rsid w:val="00104107"/>
    <w:rsid w:val="00106F11"/>
    <w:rsid w:val="00114AEC"/>
    <w:rsid w:val="00124DAA"/>
    <w:rsid w:val="001415B1"/>
    <w:rsid w:val="001445E6"/>
    <w:rsid w:val="00147045"/>
    <w:rsid w:val="00147AD7"/>
    <w:rsid w:val="00150B7F"/>
    <w:rsid w:val="0015114C"/>
    <w:rsid w:val="00155112"/>
    <w:rsid w:val="001714EA"/>
    <w:rsid w:val="00171814"/>
    <w:rsid w:val="001729BE"/>
    <w:rsid w:val="00184DFF"/>
    <w:rsid w:val="00193A05"/>
    <w:rsid w:val="001A2702"/>
    <w:rsid w:val="001A4458"/>
    <w:rsid w:val="001A7F52"/>
    <w:rsid w:val="001B0748"/>
    <w:rsid w:val="001B15B6"/>
    <w:rsid w:val="001C13EA"/>
    <w:rsid w:val="001C4BDB"/>
    <w:rsid w:val="001D496B"/>
    <w:rsid w:val="001F542C"/>
    <w:rsid w:val="00222304"/>
    <w:rsid w:val="002249C1"/>
    <w:rsid w:val="00235F7E"/>
    <w:rsid w:val="00272482"/>
    <w:rsid w:val="002727D2"/>
    <w:rsid w:val="002737E5"/>
    <w:rsid w:val="0027561B"/>
    <w:rsid w:val="00275DEA"/>
    <w:rsid w:val="00276265"/>
    <w:rsid w:val="002832F1"/>
    <w:rsid w:val="00283DCD"/>
    <w:rsid w:val="00290A71"/>
    <w:rsid w:val="002951FB"/>
    <w:rsid w:val="002A0A95"/>
    <w:rsid w:val="002B7F77"/>
    <w:rsid w:val="002C1919"/>
    <w:rsid w:val="002C3D6B"/>
    <w:rsid w:val="002D37C2"/>
    <w:rsid w:val="002E31DC"/>
    <w:rsid w:val="002E4141"/>
    <w:rsid w:val="002E4584"/>
    <w:rsid w:val="002E5C92"/>
    <w:rsid w:val="002F10A6"/>
    <w:rsid w:val="00300793"/>
    <w:rsid w:val="00301F3C"/>
    <w:rsid w:val="00304C84"/>
    <w:rsid w:val="00304EC7"/>
    <w:rsid w:val="00312D27"/>
    <w:rsid w:val="0034215B"/>
    <w:rsid w:val="00343464"/>
    <w:rsid w:val="00343600"/>
    <w:rsid w:val="00354228"/>
    <w:rsid w:val="00367C26"/>
    <w:rsid w:val="003734BB"/>
    <w:rsid w:val="00376F00"/>
    <w:rsid w:val="00386A59"/>
    <w:rsid w:val="00394F7D"/>
    <w:rsid w:val="00397B96"/>
    <w:rsid w:val="003B1012"/>
    <w:rsid w:val="003B7A63"/>
    <w:rsid w:val="003E1668"/>
    <w:rsid w:val="004246AE"/>
    <w:rsid w:val="004432AF"/>
    <w:rsid w:val="00445DE3"/>
    <w:rsid w:val="00454DF8"/>
    <w:rsid w:val="00463C1F"/>
    <w:rsid w:val="004662FB"/>
    <w:rsid w:val="00473DA1"/>
    <w:rsid w:val="00475063"/>
    <w:rsid w:val="004778BF"/>
    <w:rsid w:val="00490C45"/>
    <w:rsid w:val="004940D3"/>
    <w:rsid w:val="00494BDE"/>
    <w:rsid w:val="004972F9"/>
    <w:rsid w:val="004A0150"/>
    <w:rsid w:val="004A18FB"/>
    <w:rsid w:val="004C2712"/>
    <w:rsid w:val="004C3ED0"/>
    <w:rsid w:val="004D0057"/>
    <w:rsid w:val="004D67DC"/>
    <w:rsid w:val="004F00A1"/>
    <w:rsid w:val="005060C0"/>
    <w:rsid w:val="00513A57"/>
    <w:rsid w:val="00517976"/>
    <w:rsid w:val="005235EF"/>
    <w:rsid w:val="00525DEE"/>
    <w:rsid w:val="00534678"/>
    <w:rsid w:val="005723BF"/>
    <w:rsid w:val="00580721"/>
    <w:rsid w:val="0058779B"/>
    <w:rsid w:val="005877F6"/>
    <w:rsid w:val="005918BA"/>
    <w:rsid w:val="00592E32"/>
    <w:rsid w:val="005970A3"/>
    <w:rsid w:val="005A5D9A"/>
    <w:rsid w:val="005C03FC"/>
    <w:rsid w:val="005C2689"/>
    <w:rsid w:val="005C40C3"/>
    <w:rsid w:val="005D3022"/>
    <w:rsid w:val="005D544A"/>
    <w:rsid w:val="005D66BC"/>
    <w:rsid w:val="005D7794"/>
    <w:rsid w:val="005E1CD4"/>
    <w:rsid w:val="005F51F0"/>
    <w:rsid w:val="005F777F"/>
    <w:rsid w:val="0061753A"/>
    <w:rsid w:val="006201A1"/>
    <w:rsid w:val="00626FA6"/>
    <w:rsid w:val="00643915"/>
    <w:rsid w:val="00645B0D"/>
    <w:rsid w:val="00645BC2"/>
    <w:rsid w:val="006468C8"/>
    <w:rsid w:val="00657B49"/>
    <w:rsid w:val="00660363"/>
    <w:rsid w:val="006603EB"/>
    <w:rsid w:val="0066427B"/>
    <w:rsid w:val="00667CD3"/>
    <w:rsid w:val="00671A4E"/>
    <w:rsid w:val="00671FA5"/>
    <w:rsid w:val="00684CE9"/>
    <w:rsid w:val="00686E66"/>
    <w:rsid w:val="00691E33"/>
    <w:rsid w:val="006B0438"/>
    <w:rsid w:val="006B1BDE"/>
    <w:rsid w:val="006B692D"/>
    <w:rsid w:val="006C7E2D"/>
    <w:rsid w:val="006D7D63"/>
    <w:rsid w:val="006E3687"/>
    <w:rsid w:val="006E6CAC"/>
    <w:rsid w:val="006F0609"/>
    <w:rsid w:val="0070382E"/>
    <w:rsid w:val="00726871"/>
    <w:rsid w:val="00732314"/>
    <w:rsid w:val="0073543C"/>
    <w:rsid w:val="00741D91"/>
    <w:rsid w:val="007449FF"/>
    <w:rsid w:val="007468FA"/>
    <w:rsid w:val="00764D0E"/>
    <w:rsid w:val="00797CF0"/>
    <w:rsid w:val="007A2E38"/>
    <w:rsid w:val="007A33BD"/>
    <w:rsid w:val="007A3E2E"/>
    <w:rsid w:val="007A4C40"/>
    <w:rsid w:val="007B35BC"/>
    <w:rsid w:val="007C4231"/>
    <w:rsid w:val="007C57A7"/>
    <w:rsid w:val="007C7AFF"/>
    <w:rsid w:val="007D17EF"/>
    <w:rsid w:val="007D4297"/>
    <w:rsid w:val="007E46BC"/>
    <w:rsid w:val="00804A1C"/>
    <w:rsid w:val="00812713"/>
    <w:rsid w:val="008133FF"/>
    <w:rsid w:val="00816F75"/>
    <w:rsid w:val="00822021"/>
    <w:rsid w:val="00822F23"/>
    <w:rsid w:val="008243DB"/>
    <w:rsid w:val="0083007E"/>
    <w:rsid w:val="008319EA"/>
    <w:rsid w:val="00833CC2"/>
    <w:rsid w:val="00835420"/>
    <w:rsid w:val="008429C8"/>
    <w:rsid w:val="008460D1"/>
    <w:rsid w:val="008671F7"/>
    <w:rsid w:val="00877C18"/>
    <w:rsid w:val="00882496"/>
    <w:rsid w:val="00883D77"/>
    <w:rsid w:val="008864D5"/>
    <w:rsid w:val="00893210"/>
    <w:rsid w:val="008A1EDB"/>
    <w:rsid w:val="008A2945"/>
    <w:rsid w:val="008A404E"/>
    <w:rsid w:val="008A59D2"/>
    <w:rsid w:val="008B1234"/>
    <w:rsid w:val="008C00B5"/>
    <w:rsid w:val="008C6957"/>
    <w:rsid w:val="008D1C88"/>
    <w:rsid w:val="008D362E"/>
    <w:rsid w:val="008F0CB4"/>
    <w:rsid w:val="008F7520"/>
    <w:rsid w:val="00901AF6"/>
    <w:rsid w:val="00903536"/>
    <w:rsid w:val="009049D8"/>
    <w:rsid w:val="009063B2"/>
    <w:rsid w:val="009068CB"/>
    <w:rsid w:val="00915DD4"/>
    <w:rsid w:val="0092100F"/>
    <w:rsid w:val="00926E07"/>
    <w:rsid w:val="00933669"/>
    <w:rsid w:val="0093393A"/>
    <w:rsid w:val="00936115"/>
    <w:rsid w:val="00936656"/>
    <w:rsid w:val="00942266"/>
    <w:rsid w:val="00943297"/>
    <w:rsid w:val="0095626E"/>
    <w:rsid w:val="0095784E"/>
    <w:rsid w:val="0096492B"/>
    <w:rsid w:val="009808F7"/>
    <w:rsid w:val="0099061A"/>
    <w:rsid w:val="00993053"/>
    <w:rsid w:val="00993575"/>
    <w:rsid w:val="009B15A6"/>
    <w:rsid w:val="009B179D"/>
    <w:rsid w:val="009B1FAC"/>
    <w:rsid w:val="009D2A3C"/>
    <w:rsid w:val="009D3026"/>
    <w:rsid w:val="009D6A11"/>
    <w:rsid w:val="009E1BE5"/>
    <w:rsid w:val="009E41AA"/>
    <w:rsid w:val="009F096B"/>
    <w:rsid w:val="009F099B"/>
    <w:rsid w:val="009F3963"/>
    <w:rsid w:val="00A0257B"/>
    <w:rsid w:val="00A06461"/>
    <w:rsid w:val="00A10E02"/>
    <w:rsid w:val="00A11851"/>
    <w:rsid w:val="00A20127"/>
    <w:rsid w:val="00A22457"/>
    <w:rsid w:val="00A26978"/>
    <w:rsid w:val="00A3361B"/>
    <w:rsid w:val="00A3730A"/>
    <w:rsid w:val="00A42DEF"/>
    <w:rsid w:val="00A45459"/>
    <w:rsid w:val="00A464FE"/>
    <w:rsid w:val="00A46C2F"/>
    <w:rsid w:val="00A52588"/>
    <w:rsid w:val="00A6539F"/>
    <w:rsid w:val="00A66954"/>
    <w:rsid w:val="00A672D9"/>
    <w:rsid w:val="00A769D1"/>
    <w:rsid w:val="00A81F33"/>
    <w:rsid w:val="00A82FE0"/>
    <w:rsid w:val="00A8522D"/>
    <w:rsid w:val="00A92238"/>
    <w:rsid w:val="00AA2165"/>
    <w:rsid w:val="00AA6524"/>
    <w:rsid w:val="00AC6621"/>
    <w:rsid w:val="00AC6C03"/>
    <w:rsid w:val="00AC719C"/>
    <w:rsid w:val="00AD02C3"/>
    <w:rsid w:val="00AD0DA0"/>
    <w:rsid w:val="00AD3DDB"/>
    <w:rsid w:val="00AD6B39"/>
    <w:rsid w:val="00AE2903"/>
    <w:rsid w:val="00AE485D"/>
    <w:rsid w:val="00AE6DBB"/>
    <w:rsid w:val="00AF2A78"/>
    <w:rsid w:val="00AF4C6E"/>
    <w:rsid w:val="00AF5EA9"/>
    <w:rsid w:val="00B0162C"/>
    <w:rsid w:val="00B06041"/>
    <w:rsid w:val="00B20AB9"/>
    <w:rsid w:val="00B21110"/>
    <w:rsid w:val="00B25FC7"/>
    <w:rsid w:val="00B3277E"/>
    <w:rsid w:val="00B42394"/>
    <w:rsid w:val="00B613F3"/>
    <w:rsid w:val="00B618A9"/>
    <w:rsid w:val="00B650E4"/>
    <w:rsid w:val="00B6603C"/>
    <w:rsid w:val="00B66C17"/>
    <w:rsid w:val="00B81246"/>
    <w:rsid w:val="00B81857"/>
    <w:rsid w:val="00B972F7"/>
    <w:rsid w:val="00B97E31"/>
    <w:rsid w:val="00BA0433"/>
    <w:rsid w:val="00BA353A"/>
    <w:rsid w:val="00BA6A0D"/>
    <w:rsid w:val="00BB437B"/>
    <w:rsid w:val="00BC2CD8"/>
    <w:rsid w:val="00BC7926"/>
    <w:rsid w:val="00BD151C"/>
    <w:rsid w:val="00BD2603"/>
    <w:rsid w:val="00BD721F"/>
    <w:rsid w:val="00C211B1"/>
    <w:rsid w:val="00C23469"/>
    <w:rsid w:val="00C30486"/>
    <w:rsid w:val="00C40093"/>
    <w:rsid w:val="00C516CE"/>
    <w:rsid w:val="00C54218"/>
    <w:rsid w:val="00C54C1A"/>
    <w:rsid w:val="00C56F59"/>
    <w:rsid w:val="00C573F3"/>
    <w:rsid w:val="00C65522"/>
    <w:rsid w:val="00C664F4"/>
    <w:rsid w:val="00C701E9"/>
    <w:rsid w:val="00C70208"/>
    <w:rsid w:val="00C72FE6"/>
    <w:rsid w:val="00C731BF"/>
    <w:rsid w:val="00C73290"/>
    <w:rsid w:val="00CA5388"/>
    <w:rsid w:val="00CA6CFB"/>
    <w:rsid w:val="00CA797B"/>
    <w:rsid w:val="00CB1A69"/>
    <w:rsid w:val="00CB2979"/>
    <w:rsid w:val="00CB53B3"/>
    <w:rsid w:val="00CC0D1F"/>
    <w:rsid w:val="00CC1765"/>
    <w:rsid w:val="00CD128F"/>
    <w:rsid w:val="00CD6EDB"/>
    <w:rsid w:val="00CE4578"/>
    <w:rsid w:val="00CE6AE8"/>
    <w:rsid w:val="00CF0D6A"/>
    <w:rsid w:val="00CF2034"/>
    <w:rsid w:val="00CF2172"/>
    <w:rsid w:val="00D05C5C"/>
    <w:rsid w:val="00D10AA8"/>
    <w:rsid w:val="00D165C8"/>
    <w:rsid w:val="00D251C4"/>
    <w:rsid w:val="00D26015"/>
    <w:rsid w:val="00D272A8"/>
    <w:rsid w:val="00D334C1"/>
    <w:rsid w:val="00D3390E"/>
    <w:rsid w:val="00D46B93"/>
    <w:rsid w:val="00D47737"/>
    <w:rsid w:val="00D56695"/>
    <w:rsid w:val="00D60CFE"/>
    <w:rsid w:val="00D61A17"/>
    <w:rsid w:val="00D65F8A"/>
    <w:rsid w:val="00D87DD1"/>
    <w:rsid w:val="00DA01A4"/>
    <w:rsid w:val="00DA3736"/>
    <w:rsid w:val="00DA6C17"/>
    <w:rsid w:val="00DB0B41"/>
    <w:rsid w:val="00DB1428"/>
    <w:rsid w:val="00DB7D29"/>
    <w:rsid w:val="00DC0557"/>
    <w:rsid w:val="00DC10DE"/>
    <w:rsid w:val="00DC4E82"/>
    <w:rsid w:val="00DC4FD6"/>
    <w:rsid w:val="00DC529A"/>
    <w:rsid w:val="00DD65DA"/>
    <w:rsid w:val="00DF22AF"/>
    <w:rsid w:val="00DF3450"/>
    <w:rsid w:val="00DF5B8F"/>
    <w:rsid w:val="00DF6823"/>
    <w:rsid w:val="00DF7322"/>
    <w:rsid w:val="00E02B0A"/>
    <w:rsid w:val="00E072FC"/>
    <w:rsid w:val="00E2446D"/>
    <w:rsid w:val="00E26064"/>
    <w:rsid w:val="00E32D2B"/>
    <w:rsid w:val="00E47A7A"/>
    <w:rsid w:val="00E5324E"/>
    <w:rsid w:val="00E61A7B"/>
    <w:rsid w:val="00E77F09"/>
    <w:rsid w:val="00E81A0E"/>
    <w:rsid w:val="00EC5ED8"/>
    <w:rsid w:val="00ED195D"/>
    <w:rsid w:val="00ED6055"/>
    <w:rsid w:val="00EE1D38"/>
    <w:rsid w:val="00EE64E7"/>
    <w:rsid w:val="00EF26AC"/>
    <w:rsid w:val="00EF5D61"/>
    <w:rsid w:val="00EF5DFB"/>
    <w:rsid w:val="00EF70E2"/>
    <w:rsid w:val="00F02675"/>
    <w:rsid w:val="00F037B9"/>
    <w:rsid w:val="00F03884"/>
    <w:rsid w:val="00F04528"/>
    <w:rsid w:val="00F10E19"/>
    <w:rsid w:val="00F26CB2"/>
    <w:rsid w:val="00F30790"/>
    <w:rsid w:val="00F35D92"/>
    <w:rsid w:val="00F41B8D"/>
    <w:rsid w:val="00F43394"/>
    <w:rsid w:val="00F4517B"/>
    <w:rsid w:val="00F47F5A"/>
    <w:rsid w:val="00F50954"/>
    <w:rsid w:val="00F523F9"/>
    <w:rsid w:val="00F75ACF"/>
    <w:rsid w:val="00F75C7D"/>
    <w:rsid w:val="00F824FE"/>
    <w:rsid w:val="00F83A87"/>
    <w:rsid w:val="00F85EFD"/>
    <w:rsid w:val="00F93856"/>
    <w:rsid w:val="00F94C24"/>
    <w:rsid w:val="00F94CD8"/>
    <w:rsid w:val="00FA1CF4"/>
    <w:rsid w:val="00FA3C66"/>
    <w:rsid w:val="00FC4567"/>
    <w:rsid w:val="00FE09F6"/>
    <w:rsid w:val="00FE42B0"/>
    <w:rsid w:val="00FE70C9"/>
    <w:rsid w:val="00FF5AB0"/>
    <w:rsid w:val="00FF7E0B"/>
    <w:rsid w:val="01AF0507"/>
    <w:rsid w:val="02677F42"/>
    <w:rsid w:val="02B002BB"/>
    <w:rsid w:val="02B45577"/>
    <w:rsid w:val="031164B3"/>
    <w:rsid w:val="03311D45"/>
    <w:rsid w:val="03321A85"/>
    <w:rsid w:val="038B2898"/>
    <w:rsid w:val="042E0790"/>
    <w:rsid w:val="050335AD"/>
    <w:rsid w:val="056C0B30"/>
    <w:rsid w:val="05BC516B"/>
    <w:rsid w:val="05DD550D"/>
    <w:rsid w:val="05EF6A1F"/>
    <w:rsid w:val="068B5FA0"/>
    <w:rsid w:val="06F32E19"/>
    <w:rsid w:val="07226326"/>
    <w:rsid w:val="07706175"/>
    <w:rsid w:val="07770E68"/>
    <w:rsid w:val="077F4A40"/>
    <w:rsid w:val="07A340D7"/>
    <w:rsid w:val="08B8084A"/>
    <w:rsid w:val="0922463B"/>
    <w:rsid w:val="094B1DE4"/>
    <w:rsid w:val="0967009D"/>
    <w:rsid w:val="0A0113C8"/>
    <w:rsid w:val="0A115F02"/>
    <w:rsid w:val="0A6E19B4"/>
    <w:rsid w:val="0A966FF0"/>
    <w:rsid w:val="0AE667DB"/>
    <w:rsid w:val="0B8D04E6"/>
    <w:rsid w:val="0C13102F"/>
    <w:rsid w:val="0C273807"/>
    <w:rsid w:val="0CBD6B55"/>
    <w:rsid w:val="0D1C121F"/>
    <w:rsid w:val="0D2E4466"/>
    <w:rsid w:val="0D786F20"/>
    <w:rsid w:val="0DA646F8"/>
    <w:rsid w:val="0DD43876"/>
    <w:rsid w:val="0F0B2F85"/>
    <w:rsid w:val="0F9A3596"/>
    <w:rsid w:val="10824484"/>
    <w:rsid w:val="10FC0319"/>
    <w:rsid w:val="10FC060A"/>
    <w:rsid w:val="11605903"/>
    <w:rsid w:val="11943BFC"/>
    <w:rsid w:val="11F16E9B"/>
    <w:rsid w:val="11F306D3"/>
    <w:rsid w:val="12080872"/>
    <w:rsid w:val="126C57AE"/>
    <w:rsid w:val="128C468C"/>
    <w:rsid w:val="12952CF3"/>
    <w:rsid w:val="12F31522"/>
    <w:rsid w:val="13AE369B"/>
    <w:rsid w:val="1420412F"/>
    <w:rsid w:val="14567EF5"/>
    <w:rsid w:val="14D672DE"/>
    <w:rsid w:val="14DD0F6C"/>
    <w:rsid w:val="1509149A"/>
    <w:rsid w:val="155F7FDD"/>
    <w:rsid w:val="16065361"/>
    <w:rsid w:val="165D788E"/>
    <w:rsid w:val="1669BB99"/>
    <w:rsid w:val="169E17A5"/>
    <w:rsid w:val="16B46528"/>
    <w:rsid w:val="16BD3D30"/>
    <w:rsid w:val="16FF0597"/>
    <w:rsid w:val="17920D00"/>
    <w:rsid w:val="17AF1790"/>
    <w:rsid w:val="17E815B1"/>
    <w:rsid w:val="18DC5711"/>
    <w:rsid w:val="193C488F"/>
    <w:rsid w:val="19836A30"/>
    <w:rsid w:val="19DB2D10"/>
    <w:rsid w:val="1A9C0634"/>
    <w:rsid w:val="1AA83D35"/>
    <w:rsid w:val="1B4F3008"/>
    <w:rsid w:val="1C1A36F7"/>
    <w:rsid w:val="1C69015F"/>
    <w:rsid w:val="1C9C15F1"/>
    <w:rsid w:val="1CA93AF4"/>
    <w:rsid w:val="1D0B07AF"/>
    <w:rsid w:val="1D4C2F7A"/>
    <w:rsid w:val="1D531267"/>
    <w:rsid w:val="1D604AF7"/>
    <w:rsid w:val="1DAF4298"/>
    <w:rsid w:val="1DE63A32"/>
    <w:rsid w:val="1E1944FC"/>
    <w:rsid w:val="1ED6234A"/>
    <w:rsid w:val="1F941997"/>
    <w:rsid w:val="1F966617"/>
    <w:rsid w:val="1F9D1C52"/>
    <w:rsid w:val="1FEB2573"/>
    <w:rsid w:val="1FFDB858"/>
    <w:rsid w:val="201F799D"/>
    <w:rsid w:val="20F52909"/>
    <w:rsid w:val="217F0D68"/>
    <w:rsid w:val="21940D41"/>
    <w:rsid w:val="22334A6F"/>
    <w:rsid w:val="229C09BC"/>
    <w:rsid w:val="22C34341"/>
    <w:rsid w:val="22F01233"/>
    <w:rsid w:val="231C6401"/>
    <w:rsid w:val="232FDBEF"/>
    <w:rsid w:val="23517B9F"/>
    <w:rsid w:val="238E57BA"/>
    <w:rsid w:val="23C16186"/>
    <w:rsid w:val="23F559BA"/>
    <w:rsid w:val="241410AB"/>
    <w:rsid w:val="246F0C96"/>
    <w:rsid w:val="24B108F5"/>
    <w:rsid w:val="24EA695B"/>
    <w:rsid w:val="24FB4D7A"/>
    <w:rsid w:val="25123C68"/>
    <w:rsid w:val="25C0282E"/>
    <w:rsid w:val="260158AC"/>
    <w:rsid w:val="260A4BB8"/>
    <w:rsid w:val="26106DC6"/>
    <w:rsid w:val="2668214E"/>
    <w:rsid w:val="266831F8"/>
    <w:rsid w:val="2668592C"/>
    <w:rsid w:val="267E1246"/>
    <w:rsid w:val="26B62145"/>
    <w:rsid w:val="26E50D2A"/>
    <w:rsid w:val="26F64CE5"/>
    <w:rsid w:val="273D428B"/>
    <w:rsid w:val="27D17500"/>
    <w:rsid w:val="280029EB"/>
    <w:rsid w:val="284D2B72"/>
    <w:rsid w:val="285A788A"/>
    <w:rsid w:val="2942264A"/>
    <w:rsid w:val="29A35631"/>
    <w:rsid w:val="2A574550"/>
    <w:rsid w:val="2AF50D59"/>
    <w:rsid w:val="2B5F1496"/>
    <w:rsid w:val="2B794DB0"/>
    <w:rsid w:val="2BFB7981"/>
    <w:rsid w:val="2C4734E6"/>
    <w:rsid w:val="2D1C1412"/>
    <w:rsid w:val="2D3509AD"/>
    <w:rsid w:val="2D3F20BF"/>
    <w:rsid w:val="2D6B5EA9"/>
    <w:rsid w:val="2DAC4896"/>
    <w:rsid w:val="2DEA0ED7"/>
    <w:rsid w:val="2E3C5979"/>
    <w:rsid w:val="2E4833E7"/>
    <w:rsid w:val="2E4D023A"/>
    <w:rsid w:val="2EA579A7"/>
    <w:rsid w:val="2F6C57BA"/>
    <w:rsid w:val="2F927775"/>
    <w:rsid w:val="2F9B00AE"/>
    <w:rsid w:val="2FB13746"/>
    <w:rsid w:val="2FC32153"/>
    <w:rsid w:val="2FEB1D82"/>
    <w:rsid w:val="30183F1E"/>
    <w:rsid w:val="30557BC6"/>
    <w:rsid w:val="308D1F85"/>
    <w:rsid w:val="310F54AA"/>
    <w:rsid w:val="311D7C92"/>
    <w:rsid w:val="312243DD"/>
    <w:rsid w:val="3275B42E"/>
    <w:rsid w:val="32AD3BBB"/>
    <w:rsid w:val="32E63B15"/>
    <w:rsid w:val="32E9298A"/>
    <w:rsid w:val="33264BA4"/>
    <w:rsid w:val="334A5815"/>
    <w:rsid w:val="338814E6"/>
    <w:rsid w:val="33945FB2"/>
    <w:rsid w:val="33EC6A93"/>
    <w:rsid w:val="34366A15"/>
    <w:rsid w:val="357A5B15"/>
    <w:rsid w:val="35BA404D"/>
    <w:rsid w:val="365B3E4B"/>
    <w:rsid w:val="36CB53DF"/>
    <w:rsid w:val="36CEDA69"/>
    <w:rsid w:val="37060F75"/>
    <w:rsid w:val="379323FF"/>
    <w:rsid w:val="380E2C45"/>
    <w:rsid w:val="38347120"/>
    <w:rsid w:val="38B331B1"/>
    <w:rsid w:val="393671C3"/>
    <w:rsid w:val="39C51841"/>
    <w:rsid w:val="3A25040D"/>
    <w:rsid w:val="3A391794"/>
    <w:rsid w:val="3A401F0F"/>
    <w:rsid w:val="3A4C409B"/>
    <w:rsid w:val="3A695373"/>
    <w:rsid w:val="3AA849DF"/>
    <w:rsid w:val="3B9601B6"/>
    <w:rsid w:val="3BC82C9D"/>
    <w:rsid w:val="3BF5F81D"/>
    <w:rsid w:val="3CE50A0D"/>
    <w:rsid w:val="3CED41D9"/>
    <w:rsid w:val="3D0F19B9"/>
    <w:rsid w:val="3D675E71"/>
    <w:rsid w:val="3D9646D4"/>
    <w:rsid w:val="3DFEEFCD"/>
    <w:rsid w:val="3E4505F4"/>
    <w:rsid w:val="3EB4133D"/>
    <w:rsid w:val="3F8B4772"/>
    <w:rsid w:val="3F9B0850"/>
    <w:rsid w:val="3FB510E1"/>
    <w:rsid w:val="3FCFA054"/>
    <w:rsid w:val="3FD90D21"/>
    <w:rsid w:val="3FE02937"/>
    <w:rsid w:val="3FE43E1D"/>
    <w:rsid w:val="3FFF5EB2"/>
    <w:rsid w:val="40336C6E"/>
    <w:rsid w:val="40D41D5E"/>
    <w:rsid w:val="410C6036"/>
    <w:rsid w:val="4205007B"/>
    <w:rsid w:val="421C459E"/>
    <w:rsid w:val="42250C80"/>
    <w:rsid w:val="42784CF1"/>
    <w:rsid w:val="429644B3"/>
    <w:rsid w:val="42BB7828"/>
    <w:rsid w:val="43C006FD"/>
    <w:rsid w:val="44435C52"/>
    <w:rsid w:val="44B31520"/>
    <w:rsid w:val="44B466DF"/>
    <w:rsid w:val="450809C9"/>
    <w:rsid w:val="45241EDD"/>
    <w:rsid w:val="457A76E1"/>
    <w:rsid w:val="457C187D"/>
    <w:rsid w:val="46543FCA"/>
    <w:rsid w:val="46780386"/>
    <w:rsid w:val="4767148E"/>
    <w:rsid w:val="47864E23"/>
    <w:rsid w:val="47C14A44"/>
    <w:rsid w:val="47DD7F80"/>
    <w:rsid w:val="486A6DF0"/>
    <w:rsid w:val="48AD4E73"/>
    <w:rsid w:val="4909420D"/>
    <w:rsid w:val="49310424"/>
    <w:rsid w:val="4A69389D"/>
    <w:rsid w:val="4B223045"/>
    <w:rsid w:val="4BFE6193"/>
    <w:rsid w:val="4C5A3E2C"/>
    <w:rsid w:val="4C6D5668"/>
    <w:rsid w:val="4CFA6A2E"/>
    <w:rsid w:val="4D0B5DD9"/>
    <w:rsid w:val="4D5F67E0"/>
    <w:rsid w:val="4D9C5D37"/>
    <w:rsid w:val="4DA358EE"/>
    <w:rsid w:val="4DCD50A1"/>
    <w:rsid w:val="4E345D07"/>
    <w:rsid w:val="4EFC142B"/>
    <w:rsid w:val="4F152FF0"/>
    <w:rsid w:val="4F5F523A"/>
    <w:rsid w:val="50B82E88"/>
    <w:rsid w:val="50C8299F"/>
    <w:rsid w:val="511113A3"/>
    <w:rsid w:val="51B538E8"/>
    <w:rsid w:val="51C01C58"/>
    <w:rsid w:val="523E212F"/>
    <w:rsid w:val="52912EAF"/>
    <w:rsid w:val="530A54F1"/>
    <w:rsid w:val="532925FD"/>
    <w:rsid w:val="535544A0"/>
    <w:rsid w:val="53587D24"/>
    <w:rsid w:val="538C05FC"/>
    <w:rsid w:val="538F69F8"/>
    <w:rsid w:val="53DC18D8"/>
    <w:rsid w:val="54603722"/>
    <w:rsid w:val="54616FC7"/>
    <w:rsid w:val="547C5F7A"/>
    <w:rsid w:val="55593754"/>
    <w:rsid w:val="55B3706E"/>
    <w:rsid w:val="56312D95"/>
    <w:rsid w:val="56DC53C4"/>
    <w:rsid w:val="57AB3719"/>
    <w:rsid w:val="57BE2B36"/>
    <w:rsid w:val="57BE68AA"/>
    <w:rsid w:val="57EB61C9"/>
    <w:rsid w:val="57FB3A3A"/>
    <w:rsid w:val="58030CEA"/>
    <w:rsid w:val="581503B2"/>
    <w:rsid w:val="58AB62B5"/>
    <w:rsid w:val="593D15F5"/>
    <w:rsid w:val="59455646"/>
    <w:rsid w:val="59860243"/>
    <w:rsid w:val="5A493B6D"/>
    <w:rsid w:val="5A687ACB"/>
    <w:rsid w:val="5A700019"/>
    <w:rsid w:val="5A91720B"/>
    <w:rsid w:val="5ABC7144"/>
    <w:rsid w:val="5AC67861"/>
    <w:rsid w:val="5B3F7D02"/>
    <w:rsid w:val="5B476268"/>
    <w:rsid w:val="5BD04738"/>
    <w:rsid w:val="5C130681"/>
    <w:rsid w:val="5C6A7000"/>
    <w:rsid w:val="5CD91FE6"/>
    <w:rsid w:val="5CEC402B"/>
    <w:rsid w:val="5D0B61D7"/>
    <w:rsid w:val="5D5C2DED"/>
    <w:rsid w:val="5D8B0A1A"/>
    <w:rsid w:val="5DAE6AF1"/>
    <w:rsid w:val="5DB1138B"/>
    <w:rsid w:val="5DBE02F4"/>
    <w:rsid w:val="5DD72473"/>
    <w:rsid w:val="5DD80ADB"/>
    <w:rsid w:val="5E8A2F52"/>
    <w:rsid w:val="5EA05A74"/>
    <w:rsid w:val="5EA20304"/>
    <w:rsid w:val="5EFB6B1F"/>
    <w:rsid w:val="5EFC0B9B"/>
    <w:rsid w:val="5F714E4F"/>
    <w:rsid w:val="5F74E8AB"/>
    <w:rsid w:val="5F826B1D"/>
    <w:rsid w:val="5FEB4E93"/>
    <w:rsid w:val="600651AF"/>
    <w:rsid w:val="60200102"/>
    <w:rsid w:val="605E4C90"/>
    <w:rsid w:val="6165067D"/>
    <w:rsid w:val="63412E42"/>
    <w:rsid w:val="63436839"/>
    <w:rsid w:val="635A67E8"/>
    <w:rsid w:val="63EB3F65"/>
    <w:rsid w:val="644A57F4"/>
    <w:rsid w:val="645E66E1"/>
    <w:rsid w:val="64805613"/>
    <w:rsid w:val="6511454C"/>
    <w:rsid w:val="652459EF"/>
    <w:rsid w:val="65731120"/>
    <w:rsid w:val="65D26342"/>
    <w:rsid w:val="665A3E91"/>
    <w:rsid w:val="66664CDC"/>
    <w:rsid w:val="667180E7"/>
    <w:rsid w:val="66A852F5"/>
    <w:rsid w:val="66C35C8B"/>
    <w:rsid w:val="674617AE"/>
    <w:rsid w:val="6789461F"/>
    <w:rsid w:val="680050EB"/>
    <w:rsid w:val="680E1B3B"/>
    <w:rsid w:val="683E7CE3"/>
    <w:rsid w:val="6844595F"/>
    <w:rsid w:val="68477137"/>
    <w:rsid w:val="684B656B"/>
    <w:rsid w:val="694F06DC"/>
    <w:rsid w:val="69DC139D"/>
    <w:rsid w:val="69FD7D7B"/>
    <w:rsid w:val="6A853026"/>
    <w:rsid w:val="6B775011"/>
    <w:rsid w:val="6BEE00B4"/>
    <w:rsid w:val="6BF57A97"/>
    <w:rsid w:val="6C49442A"/>
    <w:rsid w:val="6C4B162A"/>
    <w:rsid w:val="6C971CC4"/>
    <w:rsid w:val="6CBC467B"/>
    <w:rsid w:val="6CE66AC1"/>
    <w:rsid w:val="6D150E69"/>
    <w:rsid w:val="6D686654"/>
    <w:rsid w:val="6D8F38FE"/>
    <w:rsid w:val="6D950260"/>
    <w:rsid w:val="6DD53419"/>
    <w:rsid w:val="6E607377"/>
    <w:rsid w:val="6E7E0D50"/>
    <w:rsid w:val="6E930948"/>
    <w:rsid w:val="6EC458CA"/>
    <w:rsid w:val="6F1F4627"/>
    <w:rsid w:val="6F2B4261"/>
    <w:rsid w:val="6FCA12D5"/>
    <w:rsid w:val="6FCC7E2E"/>
    <w:rsid w:val="6FF7228E"/>
    <w:rsid w:val="703C3FF6"/>
    <w:rsid w:val="70916637"/>
    <w:rsid w:val="70B15234"/>
    <w:rsid w:val="70B7542A"/>
    <w:rsid w:val="70C76378"/>
    <w:rsid w:val="70F136E1"/>
    <w:rsid w:val="713A49EC"/>
    <w:rsid w:val="714A3553"/>
    <w:rsid w:val="714B15D8"/>
    <w:rsid w:val="716511A1"/>
    <w:rsid w:val="71D9232F"/>
    <w:rsid w:val="71DE7E1D"/>
    <w:rsid w:val="71F47640"/>
    <w:rsid w:val="72702EB4"/>
    <w:rsid w:val="72C64D7E"/>
    <w:rsid w:val="72EB0F6C"/>
    <w:rsid w:val="733F0791"/>
    <w:rsid w:val="73457D88"/>
    <w:rsid w:val="73A9382B"/>
    <w:rsid w:val="73AD3F4B"/>
    <w:rsid w:val="73BC2C76"/>
    <w:rsid w:val="74441AE5"/>
    <w:rsid w:val="7476258E"/>
    <w:rsid w:val="74FBEEFD"/>
    <w:rsid w:val="75147375"/>
    <w:rsid w:val="757A06A2"/>
    <w:rsid w:val="75A31313"/>
    <w:rsid w:val="75EA6B95"/>
    <w:rsid w:val="76B37ACA"/>
    <w:rsid w:val="77AF5ABA"/>
    <w:rsid w:val="77ED2973"/>
    <w:rsid w:val="77F5B8AD"/>
    <w:rsid w:val="785B21C7"/>
    <w:rsid w:val="7860333A"/>
    <w:rsid w:val="787C6B26"/>
    <w:rsid w:val="79037F6C"/>
    <w:rsid w:val="79367137"/>
    <w:rsid w:val="799C269B"/>
    <w:rsid w:val="79A44A09"/>
    <w:rsid w:val="79A454A8"/>
    <w:rsid w:val="7A18449F"/>
    <w:rsid w:val="7A516EB3"/>
    <w:rsid w:val="7A5AA0E8"/>
    <w:rsid w:val="7B32650D"/>
    <w:rsid w:val="7B60418C"/>
    <w:rsid w:val="7BB13493"/>
    <w:rsid w:val="7BE59523"/>
    <w:rsid w:val="7BFFFC49"/>
    <w:rsid w:val="7CBD980E"/>
    <w:rsid w:val="7CE271A4"/>
    <w:rsid w:val="7D25537B"/>
    <w:rsid w:val="7D92188F"/>
    <w:rsid w:val="7DB30C85"/>
    <w:rsid w:val="7DE22A43"/>
    <w:rsid w:val="7DF454C3"/>
    <w:rsid w:val="7DFDBFE6"/>
    <w:rsid w:val="7E247357"/>
    <w:rsid w:val="7E2570D6"/>
    <w:rsid w:val="7E4C5130"/>
    <w:rsid w:val="7E8D6E52"/>
    <w:rsid w:val="7EFD655C"/>
    <w:rsid w:val="7F476151"/>
    <w:rsid w:val="7F7947FE"/>
    <w:rsid w:val="7F7D58EC"/>
    <w:rsid w:val="7F7DF942"/>
    <w:rsid w:val="7F883FDF"/>
    <w:rsid w:val="7FB04B26"/>
    <w:rsid w:val="7FDD36D6"/>
    <w:rsid w:val="7FFFACFC"/>
    <w:rsid w:val="9D4B5CFF"/>
    <w:rsid w:val="9FFF4BE2"/>
    <w:rsid w:val="ABFA10B1"/>
    <w:rsid w:val="AFF0B34B"/>
    <w:rsid w:val="B26EB33A"/>
    <w:rsid w:val="B2F601AF"/>
    <w:rsid w:val="B7AF19B5"/>
    <w:rsid w:val="BA7B23C6"/>
    <w:rsid w:val="BA7F17F3"/>
    <w:rsid w:val="BDF5575C"/>
    <w:rsid w:val="BEEDBD30"/>
    <w:rsid w:val="BFF95982"/>
    <w:rsid w:val="CAFD42C5"/>
    <w:rsid w:val="CBF749D6"/>
    <w:rsid w:val="CEFB8454"/>
    <w:rsid w:val="D9DF1F36"/>
    <w:rsid w:val="DEDFCD85"/>
    <w:rsid w:val="DFD76BB2"/>
    <w:rsid w:val="DFDE570B"/>
    <w:rsid w:val="E35F8B8C"/>
    <w:rsid w:val="E67F9AB2"/>
    <w:rsid w:val="E9D8765B"/>
    <w:rsid w:val="EACBCD5D"/>
    <w:rsid w:val="EBBA9D92"/>
    <w:rsid w:val="EC0F911D"/>
    <w:rsid w:val="EFFE8141"/>
    <w:rsid w:val="F3BF4956"/>
    <w:rsid w:val="F4F675F9"/>
    <w:rsid w:val="F5B914F9"/>
    <w:rsid w:val="F7E7B0A7"/>
    <w:rsid w:val="F7FE0C64"/>
    <w:rsid w:val="FCAF80CD"/>
    <w:rsid w:val="FD1EB7A0"/>
    <w:rsid w:val="FDBFD179"/>
    <w:rsid w:val="FDFF564E"/>
    <w:rsid w:val="FE734873"/>
    <w:rsid w:val="FEAD3C06"/>
    <w:rsid w:val="FEBF93B4"/>
    <w:rsid w:val="FEEE877F"/>
    <w:rsid w:val="FF2F2270"/>
    <w:rsid w:val="FF3EC315"/>
    <w:rsid w:val="FF97AFEB"/>
    <w:rsid w:val="FFEFA3C0"/>
    <w:rsid w:val="FFFE0BBB"/>
    <w:rsid w:val="FFFF2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ocked="1"/>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99"/>
    <w:pPr>
      <w:spacing w:before="360" w:after="360" w:line="360" w:lineRule="exact"/>
      <w:jc w:val="center"/>
      <w:outlineLvl w:val="0"/>
    </w:pPr>
    <w:rPr>
      <w:rFonts w:eastAsia="方正小标宋简体"/>
      <w:bCs/>
      <w:kern w:val="44"/>
      <w:sz w:val="36"/>
      <w:szCs w:val="44"/>
    </w:rPr>
  </w:style>
  <w:style w:type="paragraph" w:styleId="3">
    <w:name w:val="heading 2"/>
    <w:basedOn w:val="1"/>
    <w:next w:val="1"/>
    <w:link w:val="35"/>
    <w:qFormat/>
    <w:uiPriority w:val="99"/>
    <w:pPr>
      <w:keepNext/>
      <w:keepLines/>
      <w:spacing w:before="280" w:after="280" w:line="360" w:lineRule="exact"/>
      <w:jc w:val="left"/>
      <w:outlineLvl w:val="1"/>
    </w:pPr>
    <w:rPr>
      <w:rFonts w:ascii="Times New Roman" w:hAnsi="Times New Roman" w:eastAsia="黑体"/>
      <w:bCs/>
      <w:sz w:val="32"/>
      <w:szCs w:val="32"/>
    </w:rPr>
  </w:style>
  <w:style w:type="paragraph" w:styleId="4">
    <w:name w:val="heading 3"/>
    <w:basedOn w:val="1"/>
    <w:next w:val="1"/>
    <w:link w:val="36"/>
    <w:qFormat/>
    <w:uiPriority w:val="99"/>
    <w:pPr>
      <w:spacing w:before="100" w:beforeAutospacing="1" w:after="100" w:afterAutospacing="1"/>
      <w:jc w:val="left"/>
      <w:outlineLvl w:val="2"/>
    </w:pPr>
    <w:rPr>
      <w:rFonts w:ascii="宋体"/>
      <w:b/>
      <w:kern w:val="0"/>
      <w:sz w:val="27"/>
      <w:szCs w:val="27"/>
    </w:rPr>
  </w:style>
  <w:style w:type="paragraph" w:styleId="5">
    <w:name w:val="heading 4"/>
    <w:basedOn w:val="1"/>
    <w:next w:val="1"/>
    <w:link w:val="37"/>
    <w:qFormat/>
    <w:uiPriority w:val="99"/>
    <w:pPr>
      <w:keepNext/>
      <w:keepLines/>
      <w:spacing w:before="280" w:after="290" w:line="377" w:lineRule="auto"/>
      <w:outlineLvl w:val="3"/>
    </w:pPr>
    <w:rPr>
      <w:rFonts w:ascii="Cambria" w:hAnsi="Cambria"/>
      <w:b/>
      <w:bCs/>
      <w:sz w:val="28"/>
      <w:szCs w:val="28"/>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99"/>
    <w:pPr>
      <w:ind w:left="1200" w:leftChars="1200"/>
    </w:pPr>
  </w:style>
  <w:style w:type="paragraph" w:styleId="7">
    <w:name w:val="Document Map"/>
    <w:basedOn w:val="1"/>
    <w:link w:val="38"/>
    <w:qFormat/>
    <w:uiPriority w:val="99"/>
    <w:rPr>
      <w:rFonts w:ascii="宋体"/>
      <w:sz w:val="18"/>
      <w:szCs w:val="18"/>
    </w:rPr>
  </w:style>
  <w:style w:type="paragraph" w:styleId="8">
    <w:name w:val="annotation text"/>
    <w:basedOn w:val="1"/>
    <w:link w:val="39"/>
    <w:qFormat/>
    <w:uiPriority w:val="99"/>
    <w:pPr>
      <w:jc w:val="left"/>
    </w:pPr>
  </w:style>
  <w:style w:type="paragraph" w:styleId="9">
    <w:name w:val="Body Text"/>
    <w:basedOn w:val="1"/>
    <w:link w:val="40"/>
    <w:qFormat/>
    <w:uiPriority w:val="99"/>
    <w:pPr>
      <w:spacing w:after="120"/>
    </w:pPr>
  </w:style>
  <w:style w:type="paragraph" w:styleId="10">
    <w:name w:val="toc 5"/>
    <w:basedOn w:val="1"/>
    <w:next w:val="1"/>
    <w:qFormat/>
    <w:uiPriority w:val="99"/>
    <w:pPr>
      <w:ind w:left="800" w:leftChars="800"/>
    </w:pPr>
  </w:style>
  <w:style w:type="paragraph" w:styleId="11">
    <w:name w:val="toc 3"/>
    <w:basedOn w:val="1"/>
    <w:next w:val="1"/>
    <w:qFormat/>
    <w:uiPriority w:val="99"/>
    <w:pPr>
      <w:ind w:left="400" w:leftChars="400"/>
    </w:pPr>
    <w:rPr>
      <w:szCs w:val="21"/>
    </w:rPr>
  </w:style>
  <w:style w:type="paragraph" w:styleId="12">
    <w:name w:val="Plain Text"/>
    <w:basedOn w:val="1"/>
    <w:link w:val="41"/>
    <w:qFormat/>
    <w:uiPriority w:val="99"/>
    <w:rPr>
      <w:rFonts w:ascii="宋体" w:cs="Courier New"/>
      <w:szCs w:val="21"/>
    </w:rPr>
  </w:style>
  <w:style w:type="paragraph" w:styleId="13">
    <w:name w:val="toc 8"/>
    <w:basedOn w:val="1"/>
    <w:next w:val="1"/>
    <w:qFormat/>
    <w:uiPriority w:val="99"/>
    <w:pPr>
      <w:ind w:left="1400" w:leftChars="1400"/>
    </w:pPr>
  </w:style>
  <w:style w:type="paragraph" w:styleId="14">
    <w:name w:val="Balloon Text"/>
    <w:basedOn w:val="1"/>
    <w:link w:val="42"/>
    <w:qFormat/>
    <w:uiPriority w:val="99"/>
    <w:rPr>
      <w:sz w:val="18"/>
      <w:szCs w:val="18"/>
    </w:rPr>
  </w:style>
  <w:style w:type="paragraph" w:styleId="15">
    <w:name w:val="footer"/>
    <w:basedOn w:val="1"/>
    <w:link w:val="43"/>
    <w:qFormat/>
    <w:uiPriority w:val="99"/>
    <w:pPr>
      <w:tabs>
        <w:tab w:val="center" w:pos="4153"/>
        <w:tab w:val="right" w:pos="8306"/>
      </w:tabs>
      <w:snapToGrid w:val="0"/>
      <w:jc w:val="left"/>
    </w:pPr>
    <w:rPr>
      <w:rFonts w:cs="Arial"/>
      <w:sz w:val="18"/>
      <w:szCs w:val="18"/>
    </w:rPr>
  </w:style>
  <w:style w:type="paragraph" w:styleId="16">
    <w:name w:val="header"/>
    <w:basedOn w:val="1"/>
    <w:link w:val="44"/>
    <w:qFormat/>
    <w:uiPriority w:val="99"/>
    <w:pPr>
      <w:pBdr>
        <w:bottom w:val="single" w:color="auto" w:sz="6" w:space="1"/>
      </w:pBdr>
      <w:tabs>
        <w:tab w:val="center" w:pos="4153"/>
        <w:tab w:val="right" w:pos="8306"/>
      </w:tabs>
      <w:snapToGrid w:val="0"/>
      <w:jc w:val="center"/>
    </w:pPr>
    <w:rPr>
      <w:rFonts w:cs="Arial"/>
      <w:sz w:val="18"/>
      <w:szCs w:val="18"/>
    </w:rPr>
  </w:style>
  <w:style w:type="paragraph" w:styleId="17">
    <w:name w:val="toc 1"/>
    <w:basedOn w:val="1"/>
    <w:next w:val="1"/>
    <w:qFormat/>
    <w:uiPriority w:val="99"/>
    <w:rPr>
      <w:szCs w:val="21"/>
    </w:rPr>
  </w:style>
  <w:style w:type="paragraph" w:styleId="18">
    <w:name w:val="toc 4"/>
    <w:basedOn w:val="1"/>
    <w:next w:val="1"/>
    <w:qFormat/>
    <w:uiPriority w:val="99"/>
    <w:pPr>
      <w:ind w:left="600" w:leftChars="600"/>
    </w:pPr>
  </w:style>
  <w:style w:type="paragraph" w:styleId="19">
    <w:name w:val="footnote text"/>
    <w:basedOn w:val="1"/>
    <w:link w:val="45"/>
    <w:qFormat/>
    <w:uiPriority w:val="99"/>
    <w:pPr>
      <w:snapToGrid w:val="0"/>
      <w:jc w:val="left"/>
    </w:pPr>
    <w:rPr>
      <w:sz w:val="18"/>
      <w:szCs w:val="18"/>
    </w:rPr>
  </w:style>
  <w:style w:type="paragraph" w:styleId="20">
    <w:name w:val="toc 6"/>
    <w:basedOn w:val="1"/>
    <w:next w:val="1"/>
    <w:qFormat/>
    <w:uiPriority w:val="99"/>
    <w:pPr>
      <w:ind w:left="1000" w:leftChars="1000"/>
    </w:pPr>
  </w:style>
  <w:style w:type="paragraph" w:styleId="21">
    <w:name w:val="toc 2"/>
    <w:basedOn w:val="1"/>
    <w:next w:val="1"/>
    <w:qFormat/>
    <w:uiPriority w:val="99"/>
    <w:pPr>
      <w:ind w:left="200" w:leftChars="200"/>
    </w:pPr>
    <w:rPr>
      <w:szCs w:val="21"/>
    </w:rPr>
  </w:style>
  <w:style w:type="paragraph" w:styleId="22">
    <w:name w:val="toc 9"/>
    <w:basedOn w:val="1"/>
    <w:next w:val="1"/>
    <w:qFormat/>
    <w:uiPriority w:val="99"/>
    <w:pPr>
      <w:ind w:left="1600" w:leftChars="1600"/>
    </w:pPr>
  </w:style>
  <w:style w:type="paragraph" w:styleId="23">
    <w:name w:val="HTML Preformatted"/>
    <w:basedOn w:val="1"/>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4">
    <w:name w:val="Normal (Web)"/>
    <w:basedOn w:val="1"/>
    <w:qFormat/>
    <w:uiPriority w:val="99"/>
    <w:pPr>
      <w:widowControl/>
      <w:spacing w:before="100" w:beforeAutospacing="1" w:after="100" w:afterAutospacing="1"/>
      <w:jc w:val="left"/>
    </w:pPr>
    <w:rPr>
      <w:rFonts w:ascii="宋体" w:cs="宋体"/>
      <w:kern w:val="0"/>
      <w:sz w:val="24"/>
      <w:szCs w:val="24"/>
    </w:rPr>
  </w:style>
  <w:style w:type="paragraph" w:styleId="25">
    <w:name w:val="annotation subject"/>
    <w:basedOn w:val="8"/>
    <w:next w:val="8"/>
    <w:link w:val="46"/>
    <w:qFormat/>
    <w:uiPriority w:val="99"/>
    <w:rPr>
      <w:b/>
      <w:bCs/>
      <w:szCs w:val="21"/>
    </w:rPr>
  </w:style>
  <w:style w:type="paragraph" w:styleId="26">
    <w:name w:val="Body Text First Indent"/>
    <w:basedOn w:val="9"/>
    <w:link w:val="47"/>
    <w:qFormat/>
    <w:uiPriority w:val="99"/>
    <w:pPr>
      <w:ind w:firstLine="100" w:firstLineChars="100"/>
    </w:pPr>
    <w:rPr>
      <w:szCs w:val="21"/>
    </w:rPr>
  </w:style>
  <w:style w:type="character" w:styleId="29">
    <w:name w:val="page number"/>
    <w:basedOn w:val="28"/>
    <w:qFormat/>
    <w:uiPriority w:val="99"/>
    <w:rPr>
      <w:rFonts w:cs="Times New Roman"/>
    </w:rPr>
  </w:style>
  <w:style w:type="character" w:styleId="30">
    <w:name w:val="FollowedHyperlink"/>
    <w:basedOn w:val="28"/>
    <w:qFormat/>
    <w:uiPriority w:val="99"/>
    <w:rPr>
      <w:rFonts w:cs="Times New Roman"/>
      <w:color w:val="2C4C78"/>
      <w:u w:val="none"/>
    </w:rPr>
  </w:style>
  <w:style w:type="character" w:styleId="31">
    <w:name w:val="Emphasis"/>
    <w:basedOn w:val="28"/>
    <w:qFormat/>
    <w:uiPriority w:val="99"/>
    <w:rPr>
      <w:rFonts w:cs="Times New Roman"/>
    </w:rPr>
  </w:style>
  <w:style w:type="character" w:styleId="32">
    <w:name w:val="Hyperlink"/>
    <w:basedOn w:val="28"/>
    <w:qFormat/>
    <w:uiPriority w:val="99"/>
    <w:rPr>
      <w:rFonts w:cs="Times New Roman"/>
      <w:color w:val="0000FF"/>
      <w:u w:val="single"/>
    </w:rPr>
  </w:style>
  <w:style w:type="character" w:styleId="33">
    <w:name w:val="annotation reference"/>
    <w:basedOn w:val="28"/>
    <w:qFormat/>
    <w:uiPriority w:val="99"/>
    <w:rPr>
      <w:rFonts w:cs="Times New Roman"/>
      <w:sz w:val="21"/>
    </w:rPr>
  </w:style>
  <w:style w:type="character" w:customStyle="1" w:styleId="34">
    <w:name w:val="标题 1 字符"/>
    <w:basedOn w:val="28"/>
    <w:link w:val="2"/>
    <w:qFormat/>
    <w:uiPriority w:val="9"/>
    <w:rPr>
      <w:rFonts w:ascii="Calibri" w:hAnsi="Calibri"/>
      <w:b/>
      <w:bCs/>
      <w:kern w:val="44"/>
      <w:sz w:val="44"/>
      <w:szCs w:val="44"/>
    </w:rPr>
  </w:style>
  <w:style w:type="character" w:customStyle="1" w:styleId="35">
    <w:name w:val="标题 2 字符"/>
    <w:basedOn w:val="28"/>
    <w:link w:val="3"/>
    <w:semiHidden/>
    <w:qFormat/>
    <w:uiPriority w:val="9"/>
    <w:rPr>
      <w:rFonts w:ascii="Cambria" w:hAnsi="Cambria" w:eastAsia="宋体" w:cs="Times New Roman"/>
      <w:b/>
      <w:bCs/>
      <w:sz w:val="32"/>
      <w:szCs w:val="32"/>
    </w:rPr>
  </w:style>
  <w:style w:type="character" w:customStyle="1" w:styleId="36">
    <w:name w:val="标题 3 字符"/>
    <w:basedOn w:val="28"/>
    <w:link w:val="4"/>
    <w:semiHidden/>
    <w:qFormat/>
    <w:uiPriority w:val="9"/>
    <w:rPr>
      <w:rFonts w:ascii="Calibri" w:hAnsi="Calibri"/>
      <w:b/>
      <w:bCs/>
      <w:sz w:val="32"/>
      <w:szCs w:val="32"/>
    </w:rPr>
  </w:style>
  <w:style w:type="character" w:customStyle="1" w:styleId="37">
    <w:name w:val="标题 4 字符"/>
    <w:basedOn w:val="28"/>
    <w:link w:val="5"/>
    <w:semiHidden/>
    <w:qFormat/>
    <w:uiPriority w:val="9"/>
    <w:rPr>
      <w:rFonts w:ascii="Cambria" w:hAnsi="Cambria" w:eastAsia="宋体" w:cs="Times New Roman"/>
      <w:b/>
      <w:bCs/>
      <w:sz w:val="28"/>
      <w:szCs w:val="28"/>
    </w:rPr>
  </w:style>
  <w:style w:type="character" w:customStyle="1" w:styleId="38">
    <w:name w:val="文档结构图 字符"/>
    <w:basedOn w:val="28"/>
    <w:link w:val="7"/>
    <w:semiHidden/>
    <w:qFormat/>
    <w:uiPriority w:val="99"/>
    <w:rPr>
      <w:sz w:val="16"/>
      <w:szCs w:val="0"/>
    </w:rPr>
  </w:style>
  <w:style w:type="character" w:customStyle="1" w:styleId="39">
    <w:name w:val="批注文字 字符"/>
    <w:basedOn w:val="28"/>
    <w:link w:val="8"/>
    <w:semiHidden/>
    <w:qFormat/>
    <w:uiPriority w:val="99"/>
    <w:rPr>
      <w:rFonts w:ascii="Calibri" w:hAnsi="Calibri"/>
    </w:rPr>
  </w:style>
  <w:style w:type="character" w:customStyle="1" w:styleId="40">
    <w:name w:val="正文文本 字符"/>
    <w:basedOn w:val="28"/>
    <w:link w:val="9"/>
    <w:semiHidden/>
    <w:qFormat/>
    <w:uiPriority w:val="99"/>
    <w:rPr>
      <w:rFonts w:ascii="Calibri" w:hAnsi="Calibri"/>
    </w:rPr>
  </w:style>
  <w:style w:type="character" w:customStyle="1" w:styleId="41">
    <w:name w:val="纯文本 字符"/>
    <w:basedOn w:val="28"/>
    <w:link w:val="12"/>
    <w:semiHidden/>
    <w:qFormat/>
    <w:uiPriority w:val="99"/>
    <w:rPr>
      <w:rFonts w:ascii="宋体" w:hAnsi="Courier New" w:cs="Courier New"/>
      <w:szCs w:val="21"/>
    </w:rPr>
  </w:style>
  <w:style w:type="character" w:customStyle="1" w:styleId="42">
    <w:name w:val="批注框文本 字符"/>
    <w:basedOn w:val="28"/>
    <w:link w:val="14"/>
    <w:semiHidden/>
    <w:qFormat/>
    <w:uiPriority w:val="99"/>
    <w:rPr>
      <w:rFonts w:ascii="Calibri" w:hAnsi="Calibri"/>
      <w:sz w:val="16"/>
      <w:szCs w:val="0"/>
    </w:rPr>
  </w:style>
  <w:style w:type="character" w:customStyle="1" w:styleId="43">
    <w:name w:val="页脚 字符"/>
    <w:basedOn w:val="28"/>
    <w:link w:val="15"/>
    <w:qFormat/>
    <w:locked/>
    <w:uiPriority w:val="99"/>
    <w:rPr>
      <w:rFonts w:ascii="Calibri" w:hAnsi="Calibri" w:cs="Arial"/>
      <w:kern w:val="2"/>
      <w:sz w:val="18"/>
      <w:szCs w:val="18"/>
    </w:rPr>
  </w:style>
  <w:style w:type="character" w:customStyle="1" w:styleId="44">
    <w:name w:val="页眉 字符"/>
    <w:basedOn w:val="28"/>
    <w:link w:val="16"/>
    <w:semiHidden/>
    <w:qFormat/>
    <w:uiPriority w:val="99"/>
    <w:rPr>
      <w:rFonts w:ascii="Calibri" w:hAnsi="Calibri"/>
      <w:sz w:val="18"/>
      <w:szCs w:val="18"/>
    </w:rPr>
  </w:style>
  <w:style w:type="character" w:customStyle="1" w:styleId="45">
    <w:name w:val="脚注文本 字符"/>
    <w:basedOn w:val="28"/>
    <w:link w:val="19"/>
    <w:semiHidden/>
    <w:qFormat/>
    <w:uiPriority w:val="99"/>
    <w:rPr>
      <w:rFonts w:ascii="Calibri" w:hAnsi="Calibri"/>
      <w:sz w:val="18"/>
      <w:szCs w:val="18"/>
    </w:rPr>
  </w:style>
  <w:style w:type="character" w:customStyle="1" w:styleId="46">
    <w:name w:val="批注主题 字符"/>
    <w:basedOn w:val="39"/>
    <w:link w:val="25"/>
    <w:semiHidden/>
    <w:qFormat/>
    <w:uiPriority w:val="99"/>
    <w:rPr>
      <w:rFonts w:ascii="Calibri" w:hAnsi="Calibri"/>
      <w:b/>
      <w:bCs/>
    </w:rPr>
  </w:style>
  <w:style w:type="character" w:customStyle="1" w:styleId="47">
    <w:name w:val="正文文本首行缩进 字符"/>
    <w:basedOn w:val="40"/>
    <w:link w:val="26"/>
    <w:semiHidden/>
    <w:qFormat/>
    <w:uiPriority w:val="99"/>
    <w:rPr>
      <w:rFonts w:ascii="Calibri" w:hAnsi="Calibri"/>
    </w:rPr>
  </w:style>
  <w:style w:type="paragraph" w:customStyle="1" w:styleId="48">
    <w:name w:val="Default"/>
    <w:qFormat/>
    <w:uiPriority w:val="99"/>
    <w:pPr>
      <w:widowControl w:val="0"/>
      <w:autoSpaceDE w:val="0"/>
      <w:autoSpaceDN w:val="0"/>
      <w:adjustRightInd w:val="0"/>
    </w:pPr>
    <w:rPr>
      <w:rFonts w:ascii="Times New Roman" w:hAnsi="Times New Roman" w:eastAsia="宋体" w:cs="Arial"/>
      <w:color w:val="000000"/>
      <w:sz w:val="24"/>
      <w:lang w:val="en-US" w:eastAsia="zh-CN" w:bidi="ar-SA"/>
    </w:rPr>
  </w:style>
  <w:style w:type="paragraph" w:customStyle="1" w:styleId="49">
    <w:name w:val="Table Paragraph"/>
    <w:basedOn w:val="1"/>
    <w:qFormat/>
    <w:uiPriority w:val="99"/>
    <w:pPr>
      <w:jc w:val="center"/>
    </w:pPr>
    <w:rPr>
      <w:rFonts w:ascii="Times New Roman" w:hAnsi="Times New Roman"/>
      <w:szCs w:val="21"/>
    </w:rPr>
  </w:style>
  <w:style w:type="paragraph" w:customStyle="1" w:styleId="50">
    <w:name w:val="列出段落1"/>
    <w:basedOn w:val="1"/>
    <w:qFormat/>
    <w:uiPriority w:val="99"/>
    <w:pPr>
      <w:ind w:firstLine="200" w:firstLineChars="200"/>
    </w:pPr>
    <w:rPr>
      <w:szCs w:val="21"/>
    </w:rPr>
  </w:style>
  <w:style w:type="character" w:customStyle="1" w:styleId="51">
    <w:name w:val="font01"/>
    <w:qFormat/>
    <w:uiPriority w:val="99"/>
    <w:rPr>
      <w:rFonts w:ascii="仿宋" w:eastAsia="仿宋"/>
      <w:color w:val="000000"/>
      <w:sz w:val="21"/>
      <w:u w:val="none"/>
    </w:rPr>
  </w:style>
  <w:style w:type="character" w:customStyle="1" w:styleId="52">
    <w:name w:val="font11"/>
    <w:qFormat/>
    <w:uiPriority w:val="99"/>
    <w:rPr>
      <w:rFonts w:ascii="宋体" w:eastAsia="宋体"/>
      <w:color w:val="000000"/>
      <w:sz w:val="20"/>
      <w:u w:val="none"/>
      <w:vertAlign w:val="superscript"/>
    </w:rPr>
  </w:style>
  <w:style w:type="paragraph" w:customStyle="1" w:styleId="53">
    <w:name w:val="列出段落3"/>
    <w:basedOn w:val="1"/>
    <w:qFormat/>
    <w:uiPriority w:val="99"/>
    <w:pPr>
      <w:ind w:firstLine="200" w:firstLineChars="200"/>
    </w:pPr>
    <w:rPr>
      <w:szCs w:val="24"/>
    </w:rPr>
  </w:style>
  <w:style w:type="paragraph" w:customStyle="1" w:styleId="54">
    <w:name w:val="段"/>
    <w:qFormat/>
    <w:uiPriority w:val="99"/>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5">
    <w:name w:val="fontstyle01"/>
    <w:qFormat/>
    <w:uiPriority w:val="99"/>
    <w:rPr>
      <w:rFonts w:ascii="宋体" w:eastAsia="宋体"/>
      <w:color w:val="000000"/>
      <w:sz w:val="18"/>
    </w:rPr>
  </w:style>
  <w:style w:type="paragraph" w:customStyle="1" w:styleId="56">
    <w:name w:val="p0"/>
    <w:basedOn w:val="1"/>
    <w:qFormat/>
    <w:uiPriority w:val="99"/>
    <w:pPr>
      <w:widowControl/>
    </w:pPr>
    <w:rPr>
      <w:rFonts w:cs="宋体"/>
      <w:kern w:val="0"/>
      <w:szCs w:val="21"/>
    </w:rPr>
  </w:style>
  <w:style w:type="paragraph" w:customStyle="1" w:styleId="57">
    <w:name w:val="修订1"/>
    <w:qFormat/>
    <w:uiPriority w:val="99"/>
    <w:rPr>
      <w:rFonts w:ascii="Calibri" w:hAnsi="Calibri" w:eastAsia="宋体" w:cs="Times New Roman"/>
      <w:kern w:val="2"/>
      <w:sz w:val="21"/>
      <w:szCs w:val="22"/>
      <w:lang w:val="en-US" w:eastAsia="zh-CN" w:bidi="ar-SA"/>
    </w:rPr>
  </w:style>
  <w:style w:type="paragraph" w:customStyle="1" w:styleId="58">
    <w:name w:val="列出段落2"/>
    <w:basedOn w:val="1"/>
    <w:qFormat/>
    <w:uiPriority w:val="99"/>
    <w:pPr>
      <w:ind w:firstLine="200" w:firstLineChars="200"/>
    </w:pPr>
    <w:rPr>
      <w:rFonts w:ascii="Times New Roman" w:hAnsi="Times New Roman"/>
      <w:szCs w:val="24"/>
    </w:rPr>
  </w:style>
  <w:style w:type="character" w:customStyle="1" w:styleId="59">
    <w:name w:val="font21"/>
    <w:qFormat/>
    <w:uiPriority w:val="99"/>
    <w:rPr>
      <w:rFonts w:ascii="仿宋" w:eastAsia="仿宋"/>
      <w:color w:val="000000"/>
      <w:sz w:val="21"/>
      <w:u w:val="none"/>
    </w:rPr>
  </w:style>
  <w:style w:type="paragraph" w:customStyle="1" w:styleId="60">
    <w:name w:val="TOC 标题1"/>
    <w:basedOn w:val="2"/>
    <w:next w:val="1"/>
    <w:qFormat/>
    <w:uiPriority w:val="99"/>
    <w:pPr>
      <w:widowControl/>
      <w:spacing w:before="480" w:after="0" w:line="276" w:lineRule="auto"/>
      <w:jc w:val="left"/>
      <w:outlineLvl w:val="9"/>
    </w:pPr>
    <w:rPr>
      <w:rFonts w:ascii="Calibri Light" w:hAnsi="Calibri Light"/>
      <w:color w:val="2E74B5"/>
      <w:kern w:val="0"/>
      <w:sz w:val="28"/>
      <w:szCs w:val="28"/>
    </w:rPr>
  </w:style>
  <w:style w:type="paragraph" w:customStyle="1" w:styleId="61">
    <w:name w:val="修订2"/>
    <w:qFormat/>
    <w:uiPriority w:val="99"/>
    <w:rPr>
      <w:rFonts w:ascii="Calibri" w:hAnsi="Calibri" w:eastAsia="宋体" w:cs="Times New Roman"/>
      <w:kern w:val="2"/>
      <w:sz w:val="21"/>
      <w:szCs w:val="21"/>
      <w:lang w:val="en-US" w:eastAsia="zh-CN" w:bidi="ar-SA"/>
    </w:rPr>
  </w:style>
  <w:style w:type="paragraph" w:customStyle="1" w:styleId="62">
    <w:name w:val="修订3"/>
    <w:qFormat/>
    <w:uiPriority w:val="99"/>
    <w:rPr>
      <w:rFonts w:ascii="Calibri" w:hAnsi="Calibri" w:eastAsia="宋体" w:cs="Times New Roman"/>
      <w:kern w:val="2"/>
      <w:sz w:val="21"/>
      <w:szCs w:val="21"/>
      <w:lang w:val="en-US" w:eastAsia="zh-CN" w:bidi="ar-SA"/>
    </w:rPr>
  </w:style>
  <w:style w:type="paragraph" w:customStyle="1" w:styleId="63">
    <w:name w:val="修订4"/>
    <w:qFormat/>
    <w:uiPriority w:val="99"/>
    <w:rPr>
      <w:rFonts w:ascii="Calibri" w:hAnsi="Calibri" w:eastAsia="宋体" w:cs="Times New Roman"/>
      <w:kern w:val="2"/>
      <w:sz w:val="21"/>
      <w:szCs w:val="21"/>
      <w:lang w:val="en-US" w:eastAsia="zh-CN" w:bidi="ar-SA"/>
    </w:rPr>
  </w:style>
  <w:style w:type="paragraph" w:customStyle="1" w:styleId="64">
    <w:name w:val="TOC 标题2"/>
    <w:basedOn w:val="2"/>
    <w:next w:val="1"/>
    <w:qFormat/>
    <w:uiPriority w:val="99"/>
    <w:pPr>
      <w:widowControl/>
      <w:spacing w:before="480" w:after="0" w:line="276" w:lineRule="auto"/>
      <w:jc w:val="left"/>
      <w:outlineLvl w:val="9"/>
    </w:pPr>
    <w:rPr>
      <w:rFonts w:ascii="Cambria" w:hAnsi="Cambria" w:eastAsia="宋体"/>
      <w:color w:val="365F91"/>
      <w:kern w:val="0"/>
      <w:sz w:val="28"/>
      <w:szCs w:val="28"/>
    </w:rPr>
  </w:style>
  <w:style w:type="paragraph" w:customStyle="1" w:styleId="65">
    <w:name w:val="修订5"/>
    <w:qFormat/>
    <w:uiPriority w:val="99"/>
    <w:rPr>
      <w:rFonts w:ascii="Calibri" w:hAnsi="Calibri" w:eastAsia="宋体" w:cs="Times New Roman"/>
      <w:kern w:val="2"/>
      <w:sz w:val="21"/>
      <w:szCs w:val="22"/>
      <w:lang w:val="en-US" w:eastAsia="zh-CN" w:bidi="ar-SA"/>
    </w:rPr>
  </w:style>
  <w:style w:type="character" w:customStyle="1" w:styleId="66">
    <w:name w:val="fontstyle11"/>
    <w:qFormat/>
    <w:uiPriority w:val="99"/>
    <w:rPr>
      <w:rFonts w:ascii="宋体" w:eastAsia="宋体"/>
      <w:color w:val="000000"/>
      <w:sz w:val="22"/>
    </w:rPr>
  </w:style>
  <w:style w:type="character" w:customStyle="1" w:styleId="67">
    <w:name w:val="fontstyle21"/>
    <w:qFormat/>
    <w:uiPriority w:val="99"/>
    <w:rPr>
      <w:rFonts w:ascii="宋体" w:eastAsia="宋体"/>
      <w:color w:val="000000"/>
      <w:sz w:val="22"/>
    </w:rPr>
  </w:style>
  <w:style w:type="paragraph" w:customStyle="1" w:styleId="68">
    <w:name w:val="修订6"/>
    <w:qFormat/>
    <w:uiPriority w:val="99"/>
    <w:rPr>
      <w:rFonts w:ascii="Calibri" w:hAnsi="Calibri" w:eastAsia="宋体" w:cs="Times New Roman"/>
      <w:kern w:val="2"/>
      <w:sz w:val="21"/>
      <w:szCs w:val="21"/>
      <w:lang w:val="en-US" w:eastAsia="zh-CN" w:bidi="ar-SA"/>
    </w:rPr>
  </w:style>
  <w:style w:type="paragraph" w:customStyle="1" w:styleId="69">
    <w:name w:val="修订11"/>
    <w:qFormat/>
    <w:uiPriority w:val="99"/>
    <w:rPr>
      <w:rFonts w:ascii="Calibri" w:hAnsi="Calibri" w:eastAsia="宋体" w:cs="Times New Roman"/>
      <w:kern w:val="2"/>
      <w:sz w:val="21"/>
      <w:szCs w:val="21"/>
      <w:lang w:val="en-US" w:eastAsia="zh-CN" w:bidi="ar-SA"/>
    </w:rPr>
  </w:style>
  <w:style w:type="paragraph" w:customStyle="1" w:styleId="70">
    <w:name w:val="列出段落4"/>
    <w:basedOn w:val="1"/>
    <w:qFormat/>
    <w:uiPriority w:val="99"/>
    <w:pPr>
      <w:ind w:firstLine="200" w:firstLineChars="200"/>
    </w:pPr>
  </w:style>
  <w:style w:type="paragraph" w:customStyle="1" w:styleId="71">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21</Pages>
  <Words>8185</Words>
  <Characters>9522</Characters>
  <Lines>119</Lines>
  <Paragraphs>33</Paragraphs>
  <TotalTime>57</TotalTime>
  <ScaleCrop>false</ScaleCrop>
  <LinksUpToDate>false</LinksUpToDate>
  <CharactersWithSpaces>13607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2023-02-28T06:30:00Z</dcterms:created>
  <dc:creator>Lenovo</dc:creator>
  <cp:lastModifiedBy>赵朝文</cp:lastModifiedBy>
  <cp:lastPrinted>2022-02-17T22:10:00Z</cp:lastPrinted>
  <dcterms:modified xsi:type="dcterms:W3CDTF">2024-09-29T12:04:04Z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8577B67EFB39434799D4E5F3375B69FD</vt:lpwstr>
  </property>
</Properties>
</file>