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新疆伊犁州霍城县清水河镇人民政府</w:t>
      </w:r>
    </w:p>
    <w:p>
      <w:pPr>
        <w:widowControl/>
        <w:spacing w:before="100" w:beforeAutospacing="1" w:after="100" w:afterAutospacing="1"/>
        <w:jc w:val="center"/>
        <w:outlineLvl w:val="1"/>
        <w:rPr>
          <w:rFonts w:ascii="宋体" w:hAnsi="宋体"/>
          <w:b/>
          <w:kern w:val="0"/>
          <w:sz w:val="44"/>
          <w:szCs w:val="44"/>
        </w:rPr>
      </w:pPr>
      <w:r>
        <w:rPr>
          <w:rFonts w:hint="eastAsia" w:ascii="方正小标宋_GBK" w:hAnsi="宋体" w:eastAsia="方正小标宋_GBK"/>
          <w:kern w:val="0"/>
          <w:sz w:val="44"/>
          <w:szCs w:val="44"/>
        </w:rPr>
        <w:t>2022年部门预算公开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500" w:lineRule="exact"/>
        <w:jc w:val="center"/>
        <w:outlineLvl w:val="1"/>
        <w:rPr>
          <w:rFonts w:hint="eastAsia" w:ascii="黑体" w:hAnsi="黑体" w:eastAsia="黑体"/>
          <w:kern w:val="0"/>
          <w:sz w:val="36"/>
          <w:szCs w:val="32"/>
        </w:rPr>
      </w:pPr>
    </w:p>
    <w:p>
      <w:pPr>
        <w:widowControl/>
        <w:spacing w:line="50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500" w:lineRule="exact"/>
        <w:ind w:firstLine="883" w:firstLineChars="200"/>
        <w:outlineLvl w:val="1"/>
        <w:rPr>
          <w:rFonts w:ascii="宋体" w:hAnsi="宋体"/>
          <w:b/>
          <w:kern w:val="0"/>
          <w:sz w:val="44"/>
          <w:szCs w:val="44"/>
        </w:rPr>
      </w:pPr>
    </w:p>
    <w:p>
      <w:pPr>
        <w:widowControl/>
        <w:spacing w:line="460" w:lineRule="exact"/>
        <w:ind w:firstLine="562" w:firstLineChars="200"/>
        <w:outlineLvl w:val="1"/>
        <w:rPr>
          <w:rFonts w:ascii="仿宋_GB2312" w:hAnsi="宋体" w:eastAsia="仿宋_GB2312"/>
          <w:b/>
          <w:kern w:val="0"/>
          <w:sz w:val="28"/>
          <w:szCs w:val="28"/>
        </w:rPr>
      </w:pPr>
      <w:r>
        <w:rPr>
          <w:rFonts w:hint="eastAsia" w:ascii="仿宋_GB2312" w:hAnsi="宋体" w:eastAsia="仿宋_GB2312"/>
          <w:b/>
          <w:kern w:val="0"/>
          <w:sz w:val="28"/>
          <w:szCs w:val="28"/>
        </w:rPr>
        <w:t>第一部分  霍城县清水河镇人民政府概况</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一、主要职能</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二、机构设置及人员情况</w:t>
      </w:r>
    </w:p>
    <w:p>
      <w:pPr>
        <w:widowControl/>
        <w:spacing w:line="460" w:lineRule="exact"/>
        <w:ind w:firstLine="562" w:firstLineChars="200"/>
        <w:outlineLvl w:val="1"/>
        <w:rPr>
          <w:rFonts w:ascii="仿宋_GB2312" w:hAnsi="宋体" w:eastAsia="仿宋_GB2312"/>
          <w:b/>
          <w:kern w:val="0"/>
          <w:sz w:val="28"/>
          <w:szCs w:val="28"/>
        </w:rPr>
      </w:pPr>
      <w:r>
        <w:rPr>
          <w:rFonts w:hint="eastAsia" w:ascii="仿宋_GB2312" w:hAnsi="宋体" w:eastAsia="仿宋_GB2312"/>
          <w:b/>
          <w:kern w:val="0"/>
          <w:sz w:val="28"/>
          <w:szCs w:val="28"/>
        </w:rPr>
        <w:t>第二部分  2022年部门预算公开表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一、部门收支总体情况表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二、部门收入总体情况表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三、部门支出总体情况表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四、财政拨款收支总体情况表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五、一般公共预算支出情况表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六、一般公共预算基本支出情况表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七、一般公共预算</w:t>
      </w:r>
      <w:r>
        <w:rPr>
          <w:rFonts w:hint="eastAsia" w:ascii="仿宋_GB2312" w:hAnsi="宋体" w:eastAsia="仿宋_GB2312"/>
          <w:bCs/>
          <w:kern w:val="0"/>
          <w:sz w:val="28"/>
          <w:szCs w:val="28"/>
        </w:rPr>
        <w:t>项目支出情况表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八、一般公共预算“三公”经费支出情况表</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九、政府性基金预算支出情况表</w:t>
      </w:r>
    </w:p>
    <w:p>
      <w:pPr>
        <w:widowControl/>
        <w:spacing w:line="460" w:lineRule="exact"/>
        <w:ind w:firstLine="562" w:firstLineChars="200"/>
        <w:outlineLvl w:val="1"/>
        <w:rPr>
          <w:rFonts w:ascii="仿宋_GB2312" w:hAnsi="宋体" w:eastAsia="仿宋_GB2312"/>
          <w:b/>
          <w:kern w:val="0"/>
          <w:sz w:val="28"/>
          <w:szCs w:val="28"/>
        </w:rPr>
      </w:pPr>
      <w:r>
        <w:rPr>
          <w:rFonts w:hint="eastAsia" w:ascii="仿宋_GB2312" w:hAnsi="宋体" w:eastAsia="仿宋_GB2312"/>
          <w:b/>
          <w:kern w:val="0"/>
          <w:sz w:val="28"/>
          <w:szCs w:val="28"/>
        </w:rPr>
        <w:t>第三部分  2022年部门预算情况说明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一、关于霍城县清水河镇人民政府2022年收支预算情况的总体说明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二、关于霍城县清水河镇人民政府2022年收入预算情况说明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三、关于霍城县清水河镇人民政府2022年支出预算情况说明</w:t>
      </w:r>
    </w:p>
    <w:p>
      <w:pPr>
        <w:widowControl/>
        <w:spacing w:line="460" w:lineRule="exact"/>
        <w:ind w:firstLine="560" w:firstLineChars="200"/>
        <w:outlineLvl w:val="1"/>
        <w:rPr>
          <w:rFonts w:ascii="仿宋_GB2312" w:hAnsi="宋体" w:eastAsia="仿宋_GB2312"/>
          <w:bCs/>
          <w:kern w:val="0"/>
          <w:sz w:val="28"/>
          <w:szCs w:val="28"/>
        </w:rPr>
      </w:pPr>
      <w:r>
        <w:rPr>
          <w:rFonts w:hint="eastAsia" w:ascii="仿宋_GB2312" w:hAnsi="宋体" w:eastAsia="仿宋_GB2312"/>
          <w:bCs/>
          <w:kern w:val="0"/>
          <w:sz w:val="28"/>
          <w:szCs w:val="28"/>
        </w:rPr>
        <w:t>四、关于霍城县清水河镇人民政府2022年财政拨款收支预算情况的总体说明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五、关于霍城县清水河镇人民政府2022年一般公共预算当年拨款情况说明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六、关于霍城县清水河镇人民政府2022年一般公共预算基本支出情况说明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七、关于霍城县清水河镇人民政府2022年一般公共预算项目支出情况说明</w:t>
      </w:r>
    </w:p>
    <w:p>
      <w:pPr>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八、关于霍城县清水河镇人民政府2022年一般公共预算“三公”经费预算情况说明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九、关于霍城县清水河镇人民政府2022年政府性基金预算拨款情况说明</w:t>
      </w:r>
    </w:p>
    <w:p>
      <w:pPr>
        <w:widowControl/>
        <w:spacing w:line="460" w:lineRule="exact"/>
        <w:ind w:firstLine="560" w:firstLineChars="200"/>
        <w:outlineLvl w:val="1"/>
        <w:rPr>
          <w:rFonts w:ascii="仿宋_GB2312" w:hAnsi="宋体" w:eastAsia="仿宋_GB2312"/>
          <w:kern w:val="0"/>
          <w:sz w:val="28"/>
          <w:szCs w:val="28"/>
        </w:rPr>
      </w:pPr>
      <w:r>
        <w:rPr>
          <w:rFonts w:hint="eastAsia" w:ascii="仿宋_GB2312" w:hAnsi="宋体" w:eastAsia="仿宋_GB2312"/>
          <w:kern w:val="0"/>
          <w:sz w:val="28"/>
          <w:szCs w:val="28"/>
        </w:rPr>
        <w:t>十、其他重要事项的情况说明</w:t>
      </w:r>
    </w:p>
    <w:p>
      <w:pPr>
        <w:widowControl/>
        <w:spacing w:line="460" w:lineRule="exact"/>
        <w:ind w:firstLine="562" w:firstLineChars="200"/>
        <w:outlineLvl w:val="1"/>
        <w:rPr>
          <w:rFonts w:ascii="仿宋_GB2312" w:hAnsi="宋体" w:eastAsia="仿宋_GB2312"/>
          <w:b/>
          <w:kern w:val="0"/>
          <w:sz w:val="28"/>
          <w:szCs w:val="28"/>
        </w:rPr>
      </w:pPr>
      <w:r>
        <w:rPr>
          <w:rFonts w:hint="eastAsia" w:ascii="仿宋_GB2312" w:hAnsi="宋体" w:eastAsia="仿宋_GB2312"/>
          <w:b/>
          <w:kern w:val="0"/>
          <w:sz w:val="28"/>
          <w:szCs w:val="28"/>
        </w:rPr>
        <w:t>第四部分  名词解释</w:t>
      </w:r>
    </w:p>
    <w:p>
      <w:pPr>
        <w:widowControl/>
        <w:spacing w:line="460" w:lineRule="exact"/>
        <w:ind w:firstLine="562" w:firstLineChars="200"/>
        <w:outlineLvl w:val="1"/>
        <w:rPr>
          <w:rFonts w:ascii="仿宋_GB2312" w:hAnsi="宋体" w:eastAsia="仿宋_GB2312"/>
          <w:b/>
          <w:kern w:val="0"/>
          <w:sz w:val="28"/>
          <w:szCs w:val="28"/>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霍城县清水河镇人民政府概况</w:t>
      </w:r>
    </w:p>
    <w:p>
      <w:pPr>
        <w:widowControl/>
        <w:spacing w:line="580" w:lineRule="exact"/>
        <w:ind w:firstLine="640"/>
        <w:jc w:val="left"/>
        <w:rPr>
          <w:rFonts w:ascii="楷体_GB2312" w:hAnsi="楷体_GB2312" w:eastAsia="楷体_GB2312" w:cs="楷体_GB2312"/>
          <w:b/>
          <w:bCs/>
          <w:kern w:val="0"/>
          <w:sz w:val="32"/>
          <w:szCs w:val="32"/>
          <w:highlight w:val="yellow"/>
        </w:rPr>
      </w:pPr>
      <w:r>
        <w:rPr>
          <w:rFonts w:hint="eastAsia" w:ascii="楷体_GB2312" w:hAnsi="楷体_GB2312" w:eastAsia="楷体_GB2312" w:cs="楷体_GB2312"/>
          <w:b/>
          <w:bCs/>
          <w:kern w:val="0"/>
          <w:sz w:val="32"/>
          <w:szCs w:val="32"/>
        </w:rPr>
        <w:t>一、主要职能</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认真执行国家法律法规以及上级人民政府的决定和命令，执行本级人民代表大会的决议。负责制定和执行本行政区域内的经济和社会发展的计划，预算。管理本行政区域内的经济、教育、科技、文化、卫生、体育事业和民政、公安、司法等行政工作。保护国家财产，保障公民的合法权益，维护社会正常秩序，推行民主管理制度，实施依法行政管理本镇的各项社会事务。认真执行国家各项经济政策，保护各种经济组织的合法权益、积极促进本镇乡镇企业及其他农村经济快速稳步的发展。宣传党和国家的政策、依法管理事务、依法保护宪法和法律赋予妇女、儿童、老龄人的合法权益。办理上级人民政府交办的其他工作。</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w:t>
      </w:r>
      <w:r>
        <w:rPr>
          <w:rFonts w:hint="eastAsia" w:ascii="楷体_GB2312" w:hAnsi="楷体_GB2312" w:eastAsia="楷体_GB2312" w:cs="楷体_GB2312"/>
          <w:b/>
          <w:bCs/>
          <w:kern w:val="0"/>
          <w:sz w:val="32"/>
          <w:szCs w:val="32"/>
        </w:rPr>
        <w:t>机构设置及人员情况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霍城县清水河镇人民政府无下属预算单位，下设8个科室，分别是：政务服务中心、综合行政执法队（与镇综合执法办公室合署办公）、农业（畜牧业）发展中心（与开发区管委会经济贸易发展局合署办公）、文体广电旅游服务中心（与镇社会事务办公室合署办公）、社会保障（民政）服务中心（退役军人服务站）（与镇社会事务办公室合署办公）、村镇规划建设发展中心（生态环境工作站）、综治中心（网格化服务中心）</w:t>
      </w:r>
      <w:bookmarkStart w:id="0" w:name="_GoBack"/>
      <w:bookmarkEnd w:id="0"/>
      <w:r>
        <w:rPr>
          <w:rFonts w:hint="eastAsia" w:ascii="仿宋_GB2312" w:hAnsi="宋体" w:eastAsia="仿宋_GB2312" w:cs="宋体"/>
          <w:kern w:val="0"/>
          <w:sz w:val="32"/>
          <w:szCs w:val="32"/>
        </w:rPr>
        <w:t>。</w:t>
      </w:r>
    </w:p>
    <w:p>
      <w:pPr>
        <w:spacing w:line="580" w:lineRule="exact"/>
        <w:ind w:firstLine="641"/>
        <w:jc w:val="left"/>
        <w:rPr>
          <w:rFonts w:ascii="仿宋_GB2312" w:hAnsi="宋体" w:eastAsia="仿宋_GB2312" w:cs="宋体"/>
          <w:kern w:val="0"/>
          <w:sz w:val="32"/>
          <w:szCs w:val="32"/>
        </w:rPr>
      </w:pPr>
      <w:r>
        <w:rPr>
          <w:rFonts w:hint="eastAsia" w:ascii="仿宋_GB2312" w:hAnsi="宋体" w:eastAsia="仿宋_GB2312" w:cs="宋体"/>
          <w:kern w:val="0"/>
          <w:sz w:val="32"/>
          <w:szCs w:val="32"/>
        </w:rPr>
        <w:t>霍城县清水河镇人民政府编制数185，实有人数200人，其中：在职146人，减少2人；退休54人，减少1人；离休0人，增加0人。</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spacing w:before="156" w:beforeLines="50"/>
        <w:jc w:val="center"/>
        <w:outlineLvl w:val="1"/>
        <w:rPr>
          <w:rFonts w:hint="eastAsia" w:ascii="黑体" w:hAnsi="黑体" w:eastAsia="黑体"/>
          <w:kern w:val="0"/>
          <w:sz w:val="32"/>
          <w:szCs w:val="32"/>
        </w:rPr>
      </w:pPr>
    </w:p>
    <w:p>
      <w:pPr>
        <w:widowControl/>
        <w:spacing w:before="156"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2022年部门预算公开表</w:t>
      </w:r>
    </w:p>
    <w:p>
      <w:pPr>
        <w:widowControl/>
        <w:jc w:val="left"/>
        <w:textAlignment w:val="bottom"/>
        <w:rPr>
          <w:rFonts w:ascii="宋体" w:hAnsi="宋体" w:cs="宋体"/>
          <w:color w:val="000000"/>
          <w:kern w:val="0"/>
          <w:sz w:val="20"/>
          <w:szCs w:val="20"/>
          <w:lang w:bidi="ar"/>
        </w:rPr>
      </w:pPr>
      <w:r>
        <w:rPr>
          <w:rFonts w:hint="eastAsia" w:ascii="宋体" w:hAnsi="宋体" w:cs="宋体"/>
          <w:color w:val="000000"/>
          <w:kern w:val="0"/>
          <w:sz w:val="20"/>
          <w:szCs w:val="20"/>
          <w:lang w:bidi="ar"/>
        </w:rPr>
        <w:t>表1</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tbl>
      <w:tblPr>
        <w:tblStyle w:val="9"/>
        <w:tblW w:w="8662" w:type="dxa"/>
        <w:tblInd w:w="93" w:type="dxa"/>
        <w:tblLayout w:type="fixed"/>
        <w:tblCellMar>
          <w:top w:w="0" w:type="dxa"/>
          <w:left w:w="108" w:type="dxa"/>
          <w:bottom w:w="0" w:type="dxa"/>
          <w:right w:w="108" w:type="dxa"/>
        </w:tblCellMar>
      </w:tblPr>
      <w:tblGrid>
        <w:gridCol w:w="2280"/>
        <w:gridCol w:w="1988"/>
        <w:gridCol w:w="2197"/>
        <w:gridCol w:w="496"/>
        <w:gridCol w:w="1701"/>
      </w:tblGrid>
      <w:tr>
        <w:tblPrEx>
          <w:tblLayout w:type="fixed"/>
          <w:tblCellMar>
            <w:top w:w="0" w:type="dxa"/>
            <w:left w:w="108" w:type="dxa"/>
            <w:bottom w:w="0" w:type="dxa"/>
            <w:right w:w="108" w:type="dxa"/>
          </w:tblCellMar>
        </w:tblPrEx>
        <w:trPr>
          <w:trHeight w:val="360" w:hRule="atLeast"/>
        </w:trPr>
        <w:tc>
          <w:tcPr>
            <w:tcW w:w="6465" w:type="dxa"/>
            <w:gridSpan w:val="3"/>
            <w:tcBorders>
              <w:top w:val="nil"/>
              <w:left w:val="nil"/>
              <w:bottom w:val="single" w:color="auto" w:sz="4" w:space="0"/>
              <w:right w:val="nil"/>
            </w:tcBorders>
            <w:shd w:val="clear" w:color="auto" w:fill="auto"/>
            <w:noWrap/>
            <w:vAlign w:val="bottom"/>
          </w:tcPr>
          <w:p>
            <w:pPr>
              <w:widowControl/>
              <w:jc w:val="left"/>
              <w:rPr>
                <w:rFonts w:ascii="仿宋_GB2312" w:hAnsi="宋体" w:eastAsia="仿宋_GB2312" w:cs="宋体"/>
                <w:b/>
                <w:bCs/>
                <w:kern w:val="0"/>
                <w:sz w:val="24"/>
              </w:rPr>
            </w:pPr>
            <w:r>
              <w:rPr>
                <w:rFonts w:hint="eastAsia" w:ascii="仿宋_GB2312" w:hAnsi="宋体" w:eastAsia="仿宋_GB2312"/>
                <w:kern w:val="0"/>
                <w:sz w:val="24"/>
              </w:rPr>
              <w:t>编制部门：霍城县清水河镇人民政府</w:t>
            </w:r>
          </w:p>
        </w:tc>
        <w:tc>
          <w:tcPr>
            <w:tcW w:w="2197" w:type="dxa"/>
            <w:gridSpan w:val="2"/>
            <w:tcBorders>
              <w:top w:val="nil"/>
              <w:left w:val="nil"/>
              <w:bottom w:val="single" w:color="auto" w:sz="4" w:space="0"/>
              <w:right w:val="nil"/>
            </w:tcBorders>
            <w:shd w:val="clear" w:color="auto" w:fill="auto"/>
            <w:noWrap/>
            <w:vAlign w:val="bottom"/>
          </w:tcPr>
          <w:p>
            <w:pPr>
              <w:widowControl/>
              <w:jc w:val="right"/>
              <w:rPr>
                <w:rFonts w:ascii="仿宋_GB2312" w:hAnsi="宋体" w:eastAsia="仿宋_GB2312" w:cs="宋体"/>
                <w:b/>
                <w:bCs/>
                <w:kern w:val="0"/>
                <w:sz w:val="24"/>
              </w:rPr>
            </w:pPr>
            <w:r>
              <w:rPr>
                <w:rFonts w:hint="eastAsia" w:ascii="仿宋_GB2312" w:hAnsi="宋体" w:eastAsia="仿宋_GB2312"/>
                <w:kern w:val="0"/>
                <w:sz w:val="24"/>
              </w:rPr>
              <w:t>单位：万元</w:t>
            </w:r>
          </w:p>
        </w:tc>
      </w:tr>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3"/>
            <w:tcBorders>
              <w:top w:val="single" w:color="auto" w:sz="4" w:space="0"/>
              <w:left w:val="single" w:color="auto" w:sz="4" w:space="0"/>
              <w:bottom w:val="single" w:color="auto" w:sz="4" w:space="0"/>
              <w:right w:val="single" w:color="auto" w:sz="4" w:space="0"/>
            </w:tcBorders>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r>
              <w:rPr>
                <w:rFonts w:hint="eastAsia" w:ascii="仿宋_GB2312" w:hAnsi="宋体" w:eastAsia="仿宋_GB2312" w:cs="宋体"/>
                <w:kern w:val="0"/>
                <w:sz w:val="16"/>
                <w:szCs w:val="16"/>
              </w:rPr>
              <w:t xml:space="preserve"> 财政拨款（补助）</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r>
              <w:rPr>
                <w:rFonts w:hint="eastAsia" w:ascii="仿宋_GB2312" w:hAnsi="宋体" w:eastAsia="仿宋_GB2312" w:cs="宋体"/>
                <w:kern w:val="0"/>
                <w:sz w:val="16"/>
                <w:szCs w:val="16"/>
              </w:rPr>
              <w:t>1848.44</w:t>
            </w: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201 一般公共服务支出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497.56</w:t>
            </w: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r>
              <w:rPr>
                <w:rFonts w:hint="eastAsia" w:ascii="仿宋_GB2312" w:hAnsi="宋体" w:eastAsia="仿宋_GB2312" w:cs="宋体"/>
                <w:kern w:val="0"/>
                <w:sz w:val="16"/>
                <w:szCs w:val="16"/>
              </w:rPr>
              <w:t xml:space="preserve">     一般公共预算</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r>
              <w:rPr>
                <w:rFonts w:hint="eastAsia" w:ascii="仿宋_GB2312" w:hAnsi="宋体" w:eastAsia="仿宋_GB2312" w:cs="宋体"/>
                <w:kern w:val="0"/>
                <w:sz w:val="16"/>
                <w:szCs w:val="16"/>
              </w:rPr>
              <w:t>1848.44</w:t>
            </w: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202 外交支出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r>
              <w:rPr>
                <w:rFonts w:hint="eastAsia" w:ascii="仿宋_GB2312" w:hAnsi="宋体" w:eastAsia="仿宋_GB2312" w:cs="宋体"/>
                <w:kern w:val="0"/>
                <w:sz w:val="16"/>
                <w:szCs w:val="16"/>
              </w:rPr>
              <w:t xml:space="preserve">     政府性基金预算</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203 国防支出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r>
              <w:rPr>
                <w:rFonts w:hint="eastAsia" w:ascii="仿宋_GB2312" w:hAnsi="宋体" w:eastAsia="仿宋_GB2312" w:cs="宋体"/>
                <w:kern w:val="0"/>
                <w:sz w:val="16"/>
                <w:szCs w:val="16"/>
              </w:rPr>
              <w:t>国有资本经营预算</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204 公共安全支出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hint="eastAsia" w:ascii="仿宋_GB2312" w:hAnsi="宋体" w:eastAsia="仿宋_GB2312" w:cs="宋体"/>
                <w:kern w:val="0"/>
                <w:sz w:val="16"/>
                <w:szCs w:val="16"/>
                <w:lang w:eastAsia="zh-CN"/>
              </w:rPr>
            </w:pPr>
            <w:r>
              <w:rPr>
                <w:rFonts w:hint="eastAsia" w:ascii="仿宋_GB2312" w:hAnsi="宋体" w:eastAsia="仿宋_GB2312" w:cs="宋体"/>
                <w:kern w:val="0"/>
                <w:sz w:val="16"/>
                <w:szCs w:val="16"/>
                <w:lang w:eastAsia="zh-CN"/>
              </w:rPr>
              <w:t>财政专户（教育收费）</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205 教育支出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r>
              <w:rPr>
                <w:rFonts w:hint="eastAsia" w:ascii="仿宋_GB2312" w:hAnsi="宋体" w:eastAsia="仿宋_GB2312" w:cs="宋体"/>
                <w:kern w:val="0"/>
                <w:sz w:val="16"/>
                <w:szCs w:val="16"/>
              </w:rPr>
              <w:t xml:space="preserve"> 事业收入</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206 科学技术支出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r>
              <w:rPr>
                <w:rFonts w:hint="eastAsia" w:ascii="仿宋_GB2312" w:hAnsi="宋体" w:eastAsia="仿宋_GB2312" w:cs="宋体"/>
                <w:kern w:val="0"/>
                <w:sz w:val="16"/>
                <w:szCs w:val="16"/>
              </w:rPr>
              <w:t xml:space="preserve"> 事业单位经营收入</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207 文化旅游体育与传媒支出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r>
              <w:rPr>
                <w:rFonts w:hint="eastAsia" w:ascii="仿宋_GB2312" w:hAnsi="宋体" w:eastAsia="仿宋_GB2312" w:cs="宋体"/>
                <w:kern w:val="0"/>
                <w:sz w:val="16"/>
                <w:szCs w:val="16"/>
              </w:rPr>
              <w:t>单位其他资金收入</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208 社会保障和就业支出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191.83</w:t>
            </w: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209 社会保险基金支出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210卫生健康支出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124.84</w:t>
            </w: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211 节能环保支出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212 城乡社区支出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213 农林水支出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896.81</w:t>
            </w: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214 交通运输支出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215 资源勘探工业信息等支出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216 商业服务业等支出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217 金融支出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219 援助其他地区支出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220 自然资源海洋气象等支出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221 住房保障支出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137.41</w:t>
            </w: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222 粮油物资储备支出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223 国有资本经营预算支出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224 灾害防治及应急管理支出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227 预备费</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229 其他支出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230 转移性支出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231 债务还本支出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232 债务付息支出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233 债务发行费用支出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234 抗疫特别国债还本支出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312" w:hRule="exac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_GB2312" w:hAnsi="宋体" w:eastAsia="仿宋_GB2312" w:cs="宋体"/>
                <w:kern w:val="0"/>
                <w:sz w:val="16"/>
                <w:szCs w:val="16"/>
              </w:rPr>
            </w:pPr>
            <w:r>
              <w:rPr>
                <w:rFonts w:hint="eastAsia" w:ascii="仿宋_GB2312" w:hAnsi="宋体" w:eastAsia="仿宋_GB2312" w:cs="宋体"/>
                <w:kern w:val="0"/>
                <w:sz w:val="16"/>
                <w:szCs w:val="16"/>
              </w:rPr>
              <w:t>收 入 总 计</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16"/>
                <w:szCs w:val="16"/>
              </w:rPr>
            </w:pPr>
            <w:r>
              <w:rPr>
                <w:rFonts w:hint="eastAsia" w:ascii="仿宋_GB2312" w:hAnsi="宋体" w:eastAsia="仿宋_GB2312" w:cs="宋体"/>
                <w:kern w:val="0"/>
                <w:sz w:val="16"/>
                <w:szCs w:val="16"/>
              </w:rPr>
              <w:t>1848.44</w:t>
            </w:r>
          </w:p>
        </w:tc>
        <w:tc>
          <w:tcPr>
            <w:tcW w:w="269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支 出 合 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1848.44</w:t>
            </w:r>
          </w:p>
        </w:tc>
      </w:tr>
    </w:tbl>
    <w:p>
      <w:pPr>
        <w:widowControl/>
        <w:jc w:val="left"/>
        <w:textAlignment w:val="bottom"/>
        <w:rPr>
          <w:rFonts w:ascii="仿宋_GB2312" w:hAnsi="宋体" w:eastAsia="仿宋_GB2312"/>
          <w:b/>
          <w:kern w:val="0"/>
          <w:sz w:val="32"/>
          <w:szCs w:val="32"/>
        </w:rPr>
      </w:pPr>
    </w:p>
    <w:p>
      <w:r>
        <w:br w:type="page"/>
      </w:r>
    </w:p>
    <w:p>
      <w:pPr>
        <w:widowControl/>
        <w:jc w:val="left"/>
        <w:textAlignment w:val="bottom"/>
        <w:rPr>
          <w:rFonts w:ascii="仿宋_GB2312" w:hAnsi="宋体" w:eastAsia="仿宋_GB2312"/>
          <w:b/>
          <w:kern w:val="0"/>
          <w:sz w:val="32"/>
          <w:szCs w:val="32"/>
        </w:rPr>
      </w:pPr>
      <w:r>
        <w:rPr>
          <w:rFonts w:hint="eastAsia" w:ascii="宋体" w:hAnsi="宋体" w:cs="宋体"/>
          <w:color w:val="000000"/>
          <w:kern w:val="0"/>
          <w:sz w:val="20"/>
          <w:szCs w:val="20"/>
          <w:lang w:bidi="ar"/>
        </w:rPr>
        <w:t>表2</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tbl>
      <w:tblPr>
        <w:tblStyle w:val="9"/>
        <w:tblpPr w:leftFromText="180" w:rightFromText="180" w:vertAnchor="text" w:horzAnchor="page" w:tblpX="1712" w:tblpY="249"/>
        <w:tblOverlap w:val="never"/>
        <w:tblW w:w="8955" w:type="dxa"/>
        <w:tblInd w:w="0" w:type="dxa"/>
        <w:tblLayout w:type="fixed"/>
        <w:tblCellMar>
          <w:top w:w="0" w:type="dxa"/>
          <w:left w:w="108" w:type="dxa"/>
          <w:bottom w:w="0" w:type="dxa"/>
          <w:right w:w="108" w:type="dxa"/>
        </w:tblCellMar>
      </w:tblPr>
      <w:tblGrid>
        <w:gridCol w:w="525"/>
        <w:gridCol w:w="450"/>
        <w:gridCol w:w="400"/>
        <w:gridCol w:w="2021"/>
        <w:gridCol w:w="789"/>
        <w:gridCol w:w="885"/>
        <w:gridCol w:w="708"/>
        <w:gridCol w:w="709"/>
        <w:gridCol w:w="709"/>
        <w:gridCol w:w="419"/>
        <w:gridCol w:w="660"/>
        <w:gridCol w:w="680"/>
      </w:tblGrid>
      <w:tr>
        <w:tblPrEx>
          <w:tblLayout w:type="fixed"/>
          <w:tblCellMar>
            <w:top w:w="0" w:type="dxa"/>
            <w:left w:w="108" w:type="dxa"/>
            <w:bottom w:w="0" w:type="dxa"/>
            <w:right w:w="108" w:type="dxa"/>
          </w:tblCellMar>
        </w:tblPrEx>
        <w:trPr>
          <w:trHeight w:val="207" w:hRule="atLeast"/>
        </w:trPr>
        <w:tc>
          <w:tcPr>
            <w:tcW w:w="7196" w:type="dxa"/>
            <w:gridSpan w:val="9"/>
            <w:tcBorders>
              <w:top w:val="nil"/>
              <w:left w:val="nil"/>
              <w:bottom w:val="single" w:color="auto" w:sz="4" w:space="0"/>
              <w:right w:val="nil"/>
            </w:tcBorders>
            <w:vAlign w:val="center"/>
          </w:tcPr>
          <w:p>
            <w:pPr>
              <w:jc w:val="left"/>
              <w:rPr>
                <w:rFonts w:ascii="仿宋_GB2312" w:hAnsi="宋体" w:eastAsia="仿宋_GB2312" w:cs="宋体"/>
                <w:b/>
                <w:color w:val="000000"/>
                <w:sz w:val="20"/>
                <w:szCs w:val="20"/>
              </w:rPr>
            </w:pPr>
            <w:r>
              <w:rPr>
                <w:rFonts w:hint="eastAsia" w:ascii="仿宋_GB2312" w:hAnsi="宋体" w:eastAsia="仿宋_GB2312"/>
                <w:kern w:val="0"/>
                <w:sz w:val="24"/>
              </w:rPr>
              <w:t xml:space="preserve">编制部门：霍城县清水河镇人民政府  </w:t>
            </w:r>
          </w:p>
        </w:tc>
        <w:tc>
          <w:tcPr>
            <w:tcW w:w="1759" w:type="dxa"/>
            <w:gridSpan w:val="3"/>
            <w:tcBorders>
              <w:top w:val="nil"/>
              <w:left w:val="nil"/>
              <w:bottom w:val="single" w:color="auto" w:sz="4" w:space="0"/>
              <w:right w:val="nil"/>
            </w:tcBorders>
            <w:vAlign w:val="center"/>
          </w:tcPr>
          <w:p>
            <w:pPr>
              <w:jc w:val="right"/>
              <w:rPr>
                <w:rFonts w:ascii="仿宋_GB2312" w:hAnsi="宋体" w:eastAsia="仿宋_GB2312" w:cs="宋体"/>
                <w:b/>
                <w:color w:val="000000"/>
                <w:sz w:val="20"/>
                <w:szCs w:val="20"/>
              </w:rPr>
            </w:pPr>
            <w:r>
              <w:rPr>
                <w:rFonts w:hint="eastAsia" w:ascii="仿宋_GB2312" w:hAnsi="宋体" w:eastAsia="仿宋_GB2312"/>
                <w:kern w:val="0"/>
                <w:sz w:val="24"/>
              </w:rPr>
              <w:t xml:space="preserve"> 单位：万元</w:t>
            </w:r>
          </w:p>
        </w:tc>
      </w:tr>
      <w:tr>
        <w:tblPrEx>
          <w:tblLayout w:type="fixed"/>
          <w:tblCellMar>
            <w:top w:w="0" w:type="dxa"/>
            <w:left w:w="108" w:type="dxa"/>
            <w:bottom w:w="0" w:type="dxa"/>
            <w:right w:w="108" w:type="dxa"/>
          </w:tblCellMar>
        </w:tblPrEx>
        <w:trPr>
          <w:trHeight w:val="577" w:hRule="atLeast"/>
        </w:trPr>
        <w:tc>
          <w:tcPr>
            <w:tcW w:w="13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功能分类科目编码</w:t>
            </w:r>
          </w:p>
        </w:tc>
        <w:tc>
          <w:tcPr>
            <w:tcW w:w="20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b/>
                <w:color w:val="000000"/>
                <w:sz w:val="20"/>
                <w:szCs w:val="20"/>
              </w:rPr>
              <w:t>功能分类科目名称</w:t>
            </w:r>
          </w:p>
        </w:tc>
        <w:tc>
          <w:tcPr>
            <w:tcW w:w="789"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总  计</w:t>
            </w:r>
          </w:p>
        </w:tc>
        <w:tc>
          <w:tcPr>
            <w:tcW w:w="885"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一般公共预算拨款</w:t>
            </w:r>
          </w:p>
        </w:tc>
        <w:tc>
          <w:tcPr>
            <w:tcW w:w="708"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政府性基金预算拨款</w:t>
            </w:r>
          </w:p>
        </w:tc>
        <w:tc>
          <w:tcPr>
            <w:tcW w:w="709"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国有资本经营预算</w:t>
            </w:r>
          </w:p>
        </w:tc>
        <w:tc>
          <w:tcPr>
            <w:tcW w:w="709"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财政专户（教育收费）</w:t>
            </w:r>
          </w:p>
        </w:tc>
        <w:tc>
          <w:tcPr>
            <w:tcW w:w="419"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事业收入</w:t>
            </w:r>
          </w:p>
        </w:tc>
        <w:tc>
          <w:tcPr>
            <w:tcW w:w="660"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事业单位经营收入</w:t>
            </w:r>
          </w:p>
        </w:tc>
        <w:tc>
          <w:tcPr>
            <w:tcW w:w="680" w:type="dxa"/>
            <w:vMerge w:val="restart"/>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r>
              <w:rPr>
                <w:rFonts w:hint="eastAsia" w:ascii="仿宋_GB2312" w:eastAsia="仿宋_GB2312"/>
                <w:b/>
                <w:color w:val="000000"/>
                <w:sz w:val="20"/>
                <w:szCs w:val="20"/>
              </w:rPr>
              <w:t>单位其他资金收入</w:t>
            </w:r>
          </w:p>
        </w:tc>
      </w:tr>
      <w:tr>
        <w:tblPrEx>
          <w:tblLayout w:type="fixed"/>
          <w:tblCellMar>
            <w:top w:w="0" w:type="dxa"/>
            <w:left w:w="108" w:type="dxa"/>
            <w:bottom w:w="0" w:type="dxa"/>
            <w:right w:w="108" w:type="dxa"/>
          </w:tblCellMar>
        </w:tblPrEx>
        <w:trPr>
          <w:trHeight w:val="587"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b/>
                <w:color w:val="000000"/>
                <w:sz w:val="20"/>
                <w:szCs w:val="20"/>
              </w:rPr>
              <w:t>类</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b/>
                <w:color w:val="000000"/>
                <w:sz w:val="20"/>
                <w:szCs w:val="20"/>
              </w:rPr>
              <w:t>款</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b/>
                <w:color w:val="000000"/>
                <w:sz w:val="20"/>
                <w:szCs w:val="20"/>
              </w:rPr>
              <w:t>项</w:t>
            </w:r>
          </w:p>
        </w:tc>
        <w:tc>
          <w:tcPr>
            <w:tcW w:w="20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885"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仿宋_GB2312" w:hAnsi="宋体" w:eastAsia="仿宋_GB2312" w:cs="宋体"/>
                <w:color w:val="000000"/>
                <w:sz w:val="20"/>
                <w:szCs w:val="20"/>
              </w:rPr>
            </w:pPr>
          </w:p>
        </w:tc>
        <w:tc>
          <w:tcPr>
            <w:tcW w:w="419"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660"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201</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一般公共服务支出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497.56</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497.56</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201</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03</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政府办公厅（室）及相关机构事务</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497.56</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497.56</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201</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03</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01</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行政运行</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497.56</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497.56</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208</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社会保障和就业支出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191.83</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191.83</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208</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05</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行政事业单位养老支出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191.83</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191.83</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208</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05</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01</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行政单位离退休</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4.53</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4.53</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208</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05</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02</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事业单位离退休</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4.09</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4.09</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208</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05</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05</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机关事业单位基本养老保险缴费支出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183.21</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183.21</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210</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卫生健康支出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124.84</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124.84</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210</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11</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行政事业单位医疗</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124.84</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124.84</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210</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11</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01</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行政单位医疗</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48.90</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48.90</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210</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11</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02</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事业单位医疗</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75.94</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75.94</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213</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农林水支出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896.81</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896.81</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213</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01</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农业农村</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896.81</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896.81</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213</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01</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04</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事业运行</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896.81</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896.81</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221</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住房保障支出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137.41</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137.41</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221</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02</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住房改革支出</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137.41</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137.41</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221</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02</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01</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住房公积金</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137.41</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137.41</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r>
        <w:tblPrEx>
          <w:tblLayout w:type="fixed"/>
          <w:tblCellMar>
            <w:top w:w="0" w:type="dxa"/>
            <w:left w:w="108" w:type="dxa"/>
            <w:bottom w:w="0" w:type="dxa"/>
            <w:right w:w="108" w:type="dxa"/>
          </w:tblCellMar>
        </w:tblPrEx>
        <w:trPr>
          <w:trHeight w:val="465"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6"/>
                <w:szCs w:val="16"/>
              </w:rPr>
            </w:pPr>
            <w:r>
              <w:rPr>
                <w:rFonts w:hint="eastAsia" w:ascii="仿宋_GB2312" w:hAnsi="宋体" w:eastAsia="仿宋_GB2312" w:cs="宋体"/>
                <w:kern w:val="0"/>
                <w:sz w:val="16"/>
                <w:szCs w:val="16"/>
              </w:rPr>
              <w:t>合计</w:t>
            </w:r>
          </w:p>
        </w:tc>
        <w:tc>
          <w:tcPr>
            <w:tcW w:w="7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1848.44</w:t>
            </w:r>
          </w:p>
        </w:tc>
        <w:tc>
          <w:tcPr>
            <w:tcW w:w="885"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r>
              <w:rPr>
                <w:rFonts w:hint="eastAsia" w:ascii="仿宋_GB2312" w:hAnsi="宋体" w:eastAsia="仿宋_GB2312" w:cs="宋体"/>
                <w:kern w:val="0"/>
                <w:sz w:val="16"/>
                <w:szCs w:val="16"/>
              </w:rPr>
              <w:t>1848.44</w:t>
            </w:r>
          </w:p>
        </w:tc>
        <w:tc>
          <w:tcPr>
            <w:tcW w:w="7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auto"/>
            <w:vAlign w:val="center"/>
          </w:tcPr>
          <w:p>
            <w:pPr>
              <w:jc w:val="left"/>
              <w:rPr>
                <w:sz w:val="16"/>
                <w:szCs w:val="16"/>
              </w:rPr>
            </w:pPr>
          </w:p>
        </w:tc>
        <w:tc>
          <w:tcPr>
            <w:tcW w:w="419"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6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c>
          <w:tcPr>
            <w:tcW w:w="680"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left"/>
              <w:rPr>
                <w:sz w:val="16"/>
                <w:szCs w:val="16"/>
              </w:rPr>
            </w:pPr>
          </w:p>
        </w:tc>
      </w:tr>
    </w:tbl>
    <w:p>
      <w:pPr>
        <w:widowControl/>
        <w:jc w:val="left"/>
        <w:textAlignment w:val="bottom"/>
        <w:rPr>
          <w:rFonts w:ascii="仿宋_GB2312" w:hAnsi="宋体" w:eastAsia="仿宋_GB2312"/>
          <w:b/>
          <w:kern w:val="0"/>
          <w:sz w:val="32"/>
          <w:szCs w:val="32"/>
        </w:rPr>
      </w:pPr>
    </w:p>
    <w:p>
      <w:r>
        <w:br w:type="page"/>
      </w:r>
    </w:p>
    <w:p>
      <w:pPr>
        <w:widowControl/>
        <w:jc w:val="left"/>
        <w:textAlignment w:val="bottom"/>
        <w:rPr>
          <w:rFonts w:ascii="仿宋_GB2312" w:hAnsi="宋体" w:eastAsia="仿宋_GB2312"/>
          <w:b/>
          <w:kern w:val="0"/>
          <w:sz w:val="32"/>
          <w:szCs w:val="32"/>
        </w:rPr>
      </w:pPr>
      <w:r>
        <w:rPr>
          <w:rFonts w:hint="eastAsia" w:ascii="宋体" w:hAnsi="宋体" w:cs="宋体"/>
          <w:color w:val="000000"/>
          <w:kern w:val="0"/>
          <w:sz w:val="20"/>
          <w:szCs w:val="20"/>
          <w:lang w:bidi="ar"/>
        </w:rPr>
        <w:t>表3</w:t>
      </w:r>
    </w:p>
    <w:p>
      <w:pPr>
        <w:widowControl/>
        <w:jc w:val="center"/>
        <w:outlineLvl w:val="1"/>
        <w:rPr>
          <w:rFonts w:ascii="仿宋_GB2312" w:hAnsi="宋体" w:eastAsia="仿宋_GB2312"/>
          <w:kern w:val="0"/>
          <w:sz w:val="24"/>
        </w:rPr>
      </w:pPr>
      <w:r>
        <w:rPr>
          <w:rFonts w:hint="eastAsia" w:ascii="仿宋_GB2312" w:hAnsi="宋体" w:eastAsia="仿宋_GB2312"/>
          <w:b/>
          <w:kern w:val="0"/>
          <w:sz w:val="32"/>
          <w:szCs w:val="32"/>
        </w:rPr>
        <w:t>部门支出总体情况表</w:t>
      </w:r>
    </w:p>
    <w:tbl>
      <w:tblPr>
        <w:tblStyle w:val="9"/>
        <w:tblW w:w="9420" w:type="dxa"/>
        <w:tblInd w:w="-240" w:type="dxa"/>
        <w:tblLayout w:type="fixed"/>
        <w:tblCellMar>
          <w:top w:w="0" w:type="dxa"/>
          <w:left w:w="108" w:type="dxa"/>
          <w:bottom w:w="0" w:type="dxa"/>
          <w:right w:w="108" w:type="dxa"/>
        </w:tblCellMar>
      </w:tblPr>
      <w:tblGrid>
        <w:gridCol w:w="513"/>
        <w:gridCol w:w="409"/>
        <w:gridCol w:w="422"/>
        <w:gridCol w:w="2461"/>
        <w:gridCol w:w="1855"/>
        <w:gridCol w:w="952"/>
        <w:gridCol w:w="904"/>
        <w:gridCol w:w="1904"/>
      </w:tblGrid>
      <w:tr>
        <w:tblPrEx>
          <w:tblLayout w:type="fixed"/>
          <w:tblCellMar>
            <w:top w:w="0" w:type="dxa"/>
            <w:left w:w="108" w:type="dxa"/>
            <w:bottom w:w="0" w:type="dxa"/>
            <w:right w:w="108" w:type="dxa"/>
          </w:tblCellMar>
        </w:tblPrEx>
        <w:trPr>
          <w:trHeight w:val="345" w:hRule="atLeast"/>
        </w:trPr>
        <w:tc>
          <w:tcPr>
            <w:tcW w:w="6612" w:type="dxa"/>
            <w:gridSpan w:val="6"/>
            <w:tcBorders>
              <w:top w:val="nil"/>
              <w:left w:val="nil"/>
              <w:bottom w:val="single" w:color="auto" w:sz="4" w:space="0"/>
              <w:right w:val="nil"/>
            </w:tcBorders>
            <w:vAlign w:val="center"/>
          </w:tcPr>
          <w:p>
            <w:pPr>
              <w:widowControl/>
              <w:jc w:val="left"/>
              <w:rPr>
                <w:rFonts w:ascii="宋体" w:hAnsi="宋体" w:eastAsia="仿宋_GB2312" w:cs="宋体"/>
                <w:b/>
                <w:bCs/>
                <w:color w:val="000000"/>
                <w:kern w:val="0"/>
                <w:sz w:val="20"/>
                <w:szCs w:val="20"/>
              </w:rPr>
            </w:pPr>
            <w:r>
              <w:rPr>
                <w:rFonts w:hint="eastAsia" w:ascii="仿宋_GB2312" w:hAnsi="宋体" w:eastAsia="仿宋_GB2312"/>
                <w:kern w:val="0"/>
                <w:sz w:val="24"/>
              </w:rPr>
              <w:t>编制部门：霍城县清水河镇人民政府</w:t>
            </w:r>
          </w:p>
        </w:tc>
        <w:tc>
          <w:tcPr>
            <w:tcW w:w="2808" w:type="dxa"/>
            <w:gridSpan w:val="2"/>
            <w:tcBorders>
              <w:top w:val="nil"/>
              <w:left w:val="nil"/>
              <w:bottom w:val="single" w:color="auto" w:sz="4" w:space="0"/>
              <w:right w:val="nil"/>
            </w:tcBorders>
            <w:vAlign w:val="center"/>
          </w:tcPr>
          <w:p>
            <w:pPr>
              <w:widowControl/>
              <w:jc w:val="right"/>
              <w:rPr>
                <w:rFonts w:ascii="宋体" w:hAnsi="宋体" w:eastAsia="仿宋_GB2312" w:cs="宋体"/>
                <w:b/>
                <w:bCs/>
                <w:color w:val="000000"/>
                <w:kern w:val="0"/>
                <w:sz w:val="20"/>
                <w:szCs w:val="20"/>
              </w:rPr>
            </w:pPr>
            <w:r>
              <w:rPr>
                <w:rFonts w:hint="eastAsia" w:ascii="仿宋_GB2312" w:hAnsi="宋体" w:eastAsia="仿宋_GB2312"/>
                <w:kern w:val="0"/>
                <w:sz w:val="24"/>
              </w:rPr>
              <w:t>单位：万元</w:t>
            </w:r>
          </w:p>
        </w:tc>
      </w:tr>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3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46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5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2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4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201</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一般公共服务支出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201</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03</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政府办公厅（室）及相关机构事务</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201</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03</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行政运行</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208</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社会保障和就业支出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191.83</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191.83</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208</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行政事业单位养老支出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191.83</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191.83</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208</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行政单位离退休</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4.53</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4.53</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208</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02</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事业单位离退休</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4.09</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4.09</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208</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机关事业单位基本养老保险缴费支出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183.21</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183.21</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210</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卫生健康支出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124.84</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124.84</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210</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行政事业单位医疗</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124.84</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124.84</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210</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行政单位医疗</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48.90</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48.90</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210</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02</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事业单位医疗</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75.94</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75.94</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213</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农林水支出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213</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农业农村</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213</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04</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事业运行</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221</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住房保障支出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221</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02</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住房改革支出</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221</w:t>
            </w: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02</w:t>
            </w: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住房公积金</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5"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0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2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46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合计</w:t>
            </w:r>
          </w:p>
        </w:tc>
        <w:tc>
          <w:tcPr>
            <w:tcW w:w="185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1848.44</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1848.44</w:t>
            </w:r>
          </w:p>
        </w:tc>
        <w:tc>
          <w:tcPr>
            <w:tcW w:w="190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bl>
    <w:p>
      <w:pPr>
        <w:widowControl/>
        <w:jc w:val="left"/>
        <w:textAlignment w:val="bottom"/>
        <w:rPr>
          <w:rFonts w:ascii="仿宋_GB2312" w:hAnsi="宋体" w:eastAsia="仿宋_GB2312"/>
          <w:b/>
          <w:kern w:val="0"/>
          <w:sz w:val="32"/>
          <w:szCs w:val="32"/>
        </w:rPr>
      </w:pPr>
    </w:p>
    <w:p>
      <w:r>
        <w:br w:type="page"/>
      </w:r>
    </w:p>
    <w:p>
      <w:pPr>
        <w:widowControl/>
        <w:jc w:val="left"/>
        <w:textAlignment w:val="bottom"/>
        <w:rPr>
          <w:rFonts w:ascii="仿宋_GB2312" w:hAnsi="宋体" w:eastAsia="仿宋_GB2312"/>
          <w:b/>
          <w:kern w:val="0"/>
          <w:sz w:val="32"/>
          <w:szCs w:val="32"/>
        </w:rPr>
      </w:pPr>
      <w:r>
        <w:rPr>
          <w:rFonts w:hint="eastAsia" w:ascii="宋体" w:hAnsi="宋体" w:cs="宋体"/>
          <w:color w:val="000000"/>
          <w:kern w:val="0"/>
          <w:sz w:val="20"/>
          <w:szCs w:val="20"/>
          <w:lang w:bidi="ar"/>
        </w:rPr>
        <w:t>表4</w:t>
      </w:r>
    </w:p>
    <w:p>
      <w:pPr>
        <w:widowControl/>
        <w:spacing w:before="156" w:beforeLines="50"/>
        <w:jc w:val="center"/>
        <w:outlineLvl w:val="1"/>
        <w:rPr>
          <w:rFonts w:ascii="仿宋_GB2312" w:hAnsi="宋体" w:eastAsia="仿宋_GB2312"/>
          <w:kern w:val="0"/>
          <w:sz w:val="28"/>
          <w:szCs w:val="28"/>
        </w:rPr>
      </w:pPr>
      <w:r>
        <w:rPr>
          <w:rFonts w:hint="eastAsia" w:ascii="仿宋_GB2312" w:hAnsi="宋体" w:eastAsia="仿宋_GB2312"/>
          <w:b/>
          <w:kern w:val="0"/>
          <w:sz w:val="32"/>
          <w:szCs w:val="32"/>
        </w:rPr>
        <w:t>财政拨款收支预算总体情况表</w:t>
      </w:r>
      <w:r>
        <w:rPr>
          <w:rFonts w:hint="eastAsia" w:ascii="仿宋_GB2312" w:hAnsi="宋体" w:eastAsia="仿宋_GB2312"/>
          <w:kern w:val="0"/>
          <w:sz w:val="28"/>
          <w:szCs w:val="28"/>
        </w:rPr>
        <w:t xml:space="preserve">                                          </w:t>
      </w:r>
    </w:p>
    <w:tbl>
      <w:tblPr>
        <w:tblStyle w:val="9"/>
        <w:tblW w:w="8561" w:type="dxa"/>
        <w:tblInd w:w="-39" w:type="dxa"/>
        <w:tblLayout w:type="fixed"/>
        <w:tblCellMar>
          <w:top w:w="0" w:type="dxa"/>
          <w:left w:w="108" w:type="dxa"/>
          <w:bottom w:w="0" w:type="dxa"/>
          <w:right w:w="108" w:type="dxa"/>
        </w:tblCellMar>
      </w:tblPr>
      <w:tblGrid>
        <w:gridCol w:w="1736"/>
        <w:gridCol w:w="776"/>
        <w:gridCol w:w="2296"/>
        <w:gridCol w:w="776"/>
        <w:gridCol w:w="516"/>
        <w:gridCol w:w="450"/>
        <w:gridCol w:w="1018"/>
        <w:gridCol w:w="993"/>
      </w:tblGrid>
      <w:tr>
        <w:tblPrEx>
          <w:tblLayout w:type="fixed"/>
          <w:tblCellMar>
            <w:top w:w="0" w:type="dxa"/>
            <w:left w:w="108" w:type="dxa"/>
            <w:bottom w:w="0" w:type="dxa"/>
            <w:right w:w="108" w:type="dxa"/>
          </w:tblCellMar>
        </w:tblPrEx>
        <w:trPr>
          <w:trHeight w:val="285" w:hRule="atLeast"/>
        </w:trPr>
        <w:tc>
          <w:tcPr>
            <w:tcW w:w="6100" w:type="dxa"/>
            <w:gridSpan w:val="5"/>
            <w:tcBorders>
              <w:top w:val="nil"/>
              <w:left w:val="nil"/>
              <w:bottom w:val="single" w:color="auto" w:sz="4" w:space="0"/>
              <w:right w:val="nil"/>
            </w:tcBorders>
            <w:noWrap/>
            <w:vAlign w:val="center"/>
          </w:tcPr>
          <w:p>
            <w:pPr>
              <w:widowControl/>
              <w:jc w:val="left"/>
              <w:rPr>
                <w:rFonts w:ascii="仿宋_GB2312" w:hAnsi="宋体" w:eastAsia="仿宋_GB2312" w:cs="宋体"/>
                <w:b/>
                <w:bCs/>
                <w:kern w:val="0"/>
                <w:sz w:val="24"/>
              </w:rPr>
            </w:pPr>
            <w:r>
              <w:rPr>
                <w:rFonts w:hint="eastAsia" w:ascii="仿宋_GB2312" w:hAnsi="宋体" w:eastAsia="仿宋_GB2312"/>
                <w:kern w:val="0"/>
                <w:sz w:val="24"/>
              </w:rPr>
              <w:t>编制部门：霍城县清水河镇人民政府</w:t>
            </w:r>
          </w:p>
        </w:tc>
        <w:tc>
          <w:tcPr>
            <w:tcW w:w="2461" w:type="dxa"/>
            <w:gridSpan w:val="3"/>
            <w:tcBorders>
              <w:top w:val="nil"/>
              <w:left w:val="nil"/>
              <w:bottom w:val="single" w:color="auto" w:sz="4" w:space="0"/>
              <w:right w:val="nil"/>
            </w:tcBorders>
            <w:noWrap/>
            <w:vAlign w:val="center"/>
          </w:tcPr>
          <w:p>
            <w:pPr>
              <w:widowControl/>
              <w:jc w:val="right"/>
              <w:rPr>
                <w:rFonts w:ascii="仿宋_GB2312" w:hAnsi="宋体" w:eastAsia="仿宋_GB2312"/>
                <w:kern w:val="0"/>
                <w:sz w:val="24"/>
              </w:rPr>
            </w:pPr>
            <w:r>
              <w:rPr>
                <w:rFonts w:hint="eastAsia" w:ascii="仿宋_GB2312" w:hAnsi="宋体" w:eastAsia="仿宋_GB2312"/>
                <w:kern w:val="0"/>
                <w:sz w:val="24"/>
              </w:rPr>
              <w:t>单位：万元</w:t>
            </w:r>
          </w:p>
        </w:tc>
      </w:tr>
      <w:tr>
        <w:tblPrEx>
          <w:tblLayout w:type="fixed"/>
          <w:tblCellMar>
            <w:top w:w="0" w:type="dxa"/>
            <w:left w:w="108" w:type="dxa"/>
            <w:bottom w:w="0" w:type="dxa"/>
            <w:right w:w="108" w:type="dxa"/>
          </w:tblCellMar>
        </w:tblPrEx>
        <w:trPr>
          <w:trHeight w:val="285" w:hRule="atLeast"/>
        </w:trPr>
        <w:tc>
          <w:tcPr>
            <w:tcW w:w="2512"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056" w:type="dxa"/>
            <w:gridSpan w:val="5"/>
            <w:tcBorders>
              <w:top w:val="single" w:color="auto" w:sz="4" w:space="0"/>
              <w:left w:val="nil"/>
              <w:bottom w:val="single" w:color="auto" w:sz="4" w:space="0"/>
              <w:right w:val="single" w:color="000000" w:sz="4" w:space="0"/>
            </w:tcBorders>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993" w:type="dxa"/>
            <w:tcBorders>
              <w:top w:val="single" w:color="auto" w:sz="4" w:space="0"/>
              <w:left w:val="nil"/>
              <w:bottom w:val="single" w:color="auto" w:sz="4" w:space="0"/>
              <w:right w:val="single" w:color="000000" w:sz="4" w:space="0"/>
            </w:tcBorders>
            <w:noWrap/>
            <w:vAlign w:val="center"/>
          </w:tcPr>
          <w:p>
            <w:pPr>
              <w:widowControl/>
              <w:jc w:val="center"/>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465" w:hRule="atLeast"/>
        </w:trPr>
        <w:tc>
          <w:tcPr>
            <w:tcW w:w="17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7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2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7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96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0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9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国有资本经营预算</w:t>
            </w: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财政拨款（补助）</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1848.44</w:t>
            </w: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201 一般公共服务支出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497.56</w:t>
            </w: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497.56</w:t>
            </w: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 xml:space="preserve">    一般公共预算</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1848.44</w:t>
            </w: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202 外交支出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 xml:space="preserve">    政府性基金预算</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203 国防支出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 xml:space="preserve">   国有资本经营预算</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204 公共安全支出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205 教育支出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206 科学技术支出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207 文化旅游体育与传媒支出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208 社会保障和就业支出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191.83</w:t>
            </w: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191.83</w:t>
            </w: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209 社会保险基金支出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210 卫生健康支出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124.84</w:t>
            </w: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124.84</w:t>
            </w: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211 节能环保支出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212 城乡社区支出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213 农林水支出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896.81</w:t>
            </w: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896.81</w:t>
            </w: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214 交通运输支出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215 资源勘探工业信息等支出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216 商业服务业等支出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217 金融支出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219 援助其他地区支出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220 自然资源海洋气象等支出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221 住房保障支出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137.41</w:t>
            </w: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137.41</w:t>
            </w: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222 粮油物资储备支出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223 国有资本经营预算支出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224 灾害防治及应急管理支出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227 预备费</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229 其他支出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230 转移性支出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231 债务还本支出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232 债务付息支出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233 债务发行费用支出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234 抗疫特别国债还本支出</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r>
        <w:tblPrEx>
          <w:tblLayout w:type="fixed"/>
          <w:tblCellMar>
            <w:top w:w="0" w:type="dxa"/>
            <w:left w:w="108" w:type="dxa"/>
            <w:bottom w:w="0" w:type="dxa"/>
            <w:right w:w="108" w:type="dxa"/>
          </w:tblCellMar>
        </w:tblPrEx>
        <w:trPr>
          <w:trHeight w:val="312" w:hRule="exact"/>
        </w:trPr>
        <w:tc>
          <w:tcPr>
            <w:tcW w:w="173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收 入 总 计</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1848.44</w:t>
            </w:r>
          </w:p>
        </w:tc>
        <w:tc>
          <w:tcPr>
            <w:tcW w:w="2296" w:type="dxa"/>
            <w:tcBorders>
              <w:top w:val="single" w:color="auto" w:sz="4" w:space="0"/>
              <w:left w:val="single" w:color="auto" w:sz="4" w:space="0"/>
              <w:bottom w:val="single" w:color="auto" w:sz="4" w:space="0"/>
              <w:right w:val="single" w:color="auto" w:sz="4" w:space="0"/>
            </w:tcBorders>
            <w:noWrap/>
            <w:vAlign w:val="center"/>
          </w:tcPr>
          <w:p>
            <w:pPr>
              <w:rPr>
                <w:sz w:val="16"/>
                <w:szCs w:val="16"/>
              </w:rPr>
            </w:pPr>
            <w:r>
              <w:rPr>
                <w:rFonts w:hint="eastAsia" w:ascii="仿宋_GB2312" w:hAnsi="宋体" w:eastAsia="仿宋_GB2312" w:cs="宋体"/>
                <w:kern w:val="0"/>
                <w:sz w:val="16"/>
                <w:szCs w:val="16"/>
              </w:rPr>
              <w:t>支 出 总 计</w:t>
            </w:r>
          </w:p>
        </w:tc>
        <w:tc>
          <w:tcPr>
            <w:tcW w:w="776"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1848.44</w:t>
            </w:r>
          </w:p>
        </w:tc>
        <w:tc>
          <w:tcPr>
            <w:tcW w:w="966" w:type="dxa"/>
            <w:gridSpan w:val="2"/>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仿宋_GB2312" w:hAnsi="宋体" w:eastAsia="仿宋_GB2312" w:cs="宋体"/>
                <w:kern w:val="0"/>
                <w:sz w:val="16"/>
                <w:szCs w:val="16"/>
              </w:rPr>
              <w:t>1848.44</w:t>
            </w:r>
          </w:p>
        </w:tc>
        <w:tc>
          <w:tcPr>
            <w:tcW w:w="1018" w:type="dxa"/>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pPr>
              <w:rPr>
                <w:sz w:val="16"/>
                <w:szCs w:val="16"/>
              </w:rPr>
            </w:pPr>
          </w:p>
        </w:tc>
      </w:tr>
    </w:tbl>
    <w:p>
      <w:pPr>
        <w:widowControl/>
        <w:jc w:val="left"/>
        <w:rPr>
          <w:rFonts w:ascii="仿宋_GB2312" w:hAnsi="宋体" w:eastAsia="仿宋_GB2312"/>
          <w:b/>
          <w:bCs/>
          <w:kern w:val="0"/>
          <w:sz w:val="24"/>
        </w:rPr>
      </w:pPr>
    </w:p>
    <w:p>
      <w:pPr>
        <w:widowControl/>
        <w:jc w:val="left"/>
        <w:rPr>
          <w:rFonts w:ascii="仿宋_GB2312" w:hAnsi="宋体" w:eastAsia="仿宋_GB2312"/>
          <w:b/>
          <w:bCs/>
          <w:kern w:val="0"/>
          <w:sz w:val="24"/>
        </w:rPr>
      </w:pPr>
    </w:p>
    <w:p>
      <w:pPr>
        <w:widowControl/>
        <w:jc w:val="left"/>
        <w:rPr>
          <w:rFonts w:ascii="仿宋_GB2312" w:hAnsi="宋体" w:eastAsia="仿宋_GB2312"/>
          <w:b/>
          <w:bCs/>
          <w:kern w:val="0"/>
          <w:sz w:val="24"/>
        </w:rPr>
      </w:pPr>
    </w:p>
    <w:p>
      <w:pPr>
        <w:widowControl/>
        <w:jc w:val="left"/>
        <w:textAlignment w:val="bottom"/>
        <w:rPr>
          <w:rFonts w:ascii="宋体" w:hAnsi="宋体" w:cs="宋体"/>
          <w:color w:val="000000"/>
          <w:kern w:val="0"/>
          <w:sz w:val="20"/>
          <w:szCs w:val="20"/>
          <w:lang w:bidi="ar"/>
        </w:rPr>
      </w:pPr>
      <w:r>
        <w:rPr>
          <w:rFonts w:hint="eastAsia" w:ascii="宋体" w:hAnsi="宋体" w:cs="宋体"/>
          <w:color w:val="000000"/>
          <w:kern w:val="0"/>
          <w:sz w:val="20"/>
          <w:szCs w:val="20"/>
          <w:lang w:bidi="ar"/>
        </w:rPr>
        <w:t>表5</w:t>
      </w:r>
    </w:p>
    <w:p>
      <w:pPr>
        <w:widowControl/>
        <w:jc w:val="center"/>
        <w:outlineLvl w:val="1"/>
        <w:rPr>
          <w:rFonts w:ascii="仿宋_GB2312" w:hAnsi="宋体" w:eastAsia="仿宋_GB2312"/>
          <w:b/>
          <w:kern w:val="0"/>
          <w:sz w:val="32"/>
          <w:szCs w:val="32"/>
        </w:rPr>
      </w:pPr>
      <w:r>
        <w:rPr>
          <w:rFonts w:hint="eastAsia" w:ascii="仿宋_GB2312" w:hAnsi="宋体" w:eastAsia="仿宋_GB2312" w:cs="宋体"/>
          <w:b/>
          <w:bCs/>
          <w:color w:val="000000"/>
          <w:kern w:val="0"/>
          <w:sz w:val="32"/>
          <w:szCs w:val="32"/>
        </w:rPr>
        <w:t>一般公共预算支出情况表</w:t>
      </w:r>
    </w:p>
    <w:tbl>
      <w:tblPr>
        <w:tblStyle w:val="9"/>
        <w:tblW w:w="9214" w:type="dxa"/>
        <w:tblInd w:w="-34" w:type="dxa"/>
        <w:tblLayout w:type="fixed"/>
        <w:tblCellMar>
          <w:top w:w="0" w:type="dxa"/>
          <w:left w:w="108" w:type="dxa"/>
          <w:bottom w:w="0" w:type="dxa"/>
          <w:right w:w="108" w:type="dxa"/>
        </w:tblCellMar>
      </w:tblPr>
      <w:tblGrid>
        <w:gridCol w:w="568"/>
        <w:gridCol w:w="492"/>
        <w:gridCol w:w="417"/>
        <w:gridCol w:w="2510"/>
        <w:gridCol w:w="1684"/>
        <w:gridCol w:w="929"/>
        <w:gridCol w:w="913"/>
        <w:gridCol w:w="1701"/>
      </w:tblGrid>
      <w:tr>
        <w:tblPrEx>
          <w:tblLayout w:type="fixed"/>
          <w:tblCellMar>
            <w:top w:w="0" w:type="dxa"/>
            <w:left w:w="108" w:type="dxa"/>
            <w:bottom w:w="0" w:type="dxa"/>
            <w:right w:w="108" w:type="dxa"/>
          </w:tblCellMar>
        </w:tblPrEx>
        <w:trPr>
          <w:trHeight w:val="405" w:hRule="atLeast"/>
        </w:trPr>
        <w:tc>
          <w:tcPr>
            <w:tcW w:w="6600" w:type="dxa"/>
            <w:gridSpan w:val="6"/>
            <w:tcBorders>
              <w:top w:val="nil"/>
              <w:left w:val="nil"/>
              <w:bottom w:val="single" w:color="auto" w:sz="4" w:space="0"/>
              <w:right w:val="nil"/>
            </w:tcBorders>
            <w:vAlign w:val="center"/>
          </w:tcPr>
          <w:p>
            <w:pPr>
              <w:widowControl/>
              <w:jc w:val="left"/>
              <w:rPr>
                <w:rFonts w:ascii="仿宋_GB2312" w:hAnsi="宋体" w:eastAsia="仿宋_GB2312" w:cs="宋体"/>
                <w:b/>
                <w:bCs/>
                <w:color w:val="000000"/>
                <w:kern w:val="0"/>
                <w:sz w:val="22"/>
              </w:rPr>
            </w:pPr>
            <w:r>
              <w:rPr>
                <w:rFonts w:hint="eastAsia" w:ascii="仿宋_GB2312" w:hAnsi="宋体" w:eastAsia="仿宋_GB2312"/>
                <w:kern w:val="0"/>
                <w:sz w:val="24"/>
              </w:rPr>
              <w:t>编制部门：霍城县清水河镇人民政府</w:t>
            </w:r>
          </w:p>
        </w:tc>
        <w:tc>
          <w:tcPr>
            <w:tcW w:w="2614" w:type="dxa"/>
            <w:gridSpan w:val="2"/>
            <w:tcBorders>
              <w:top w:val="nil"/>
              <w:left w:val="nil"/>
              <w:bottom w:val="single" w:color="auto" w:sz="4" w:space="0"/>
              <w:right w:val="nil"/>
            </w:tcBorders>
            <w:vAlign w:val="center"/>
          </w:tcPr>
          <w:p>
            <w:pPr>
              <w:widowControl/>
              <w:jc w:val="right"/>
              <w:rPr>
                <w:rFonts w:ascii="仿宋_GB2312" w:hAnsi="宋体" w:eastAsia="仿宋_GB2312" w:cs="宋体"/>
                <w:b/>
                <w:bCs/>
                <w:color w:val="000000"/>
                <w:kern w:val="0"/>
                <w:sz w:val="22"/>
              </w:rPr>
            </w:pPr>
            <w:r>
              <w:rPr>
                <w:rFonts w:hint="eastAsia" w:ascii="仿宋_GB2312" w:hAnsi="宋体" w:eastAsia="仿宋_GB2312"/>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项目</w:t>
            </w:r>
          </w:p>
        </w:tc>
        <w:tc>
          <w:tcPr>
            <w:tcW w:w="5227"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201</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一般公共服务支出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201</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03</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政府办公厅（室）及相关机构事务</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201</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03</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行政运行</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497.56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208</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社会保障和就业支出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191.83</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191.83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208</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行政事业单位养老支出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191.83</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191.83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208</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行政单位离退休</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4.53</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4.53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208</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02</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事业单位离退休</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4.09</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4.09</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208</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机关事业单位基本养老保险缴费支出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183.21</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183.21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210</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卫生健康支出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124.84</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124.84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210</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行政事业单位医疗</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124.84</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124.84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210</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行政单位医疗</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48.90</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48.90</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210</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02</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事业单位医疗</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75.94</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75.94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213</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农林水支出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213</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农业农村</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213</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04</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事业运行</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896.81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221</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住房保障支出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221</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02</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住房改革支出</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221</w:t>
            </w: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02</w:t>
            </w: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住房公积金</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9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510"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合计</w:t>
            </w:r>
          </w:p>
        </w:tc>
        <w:tc>
          <w:tcPr>
            <w:tcW w:w="168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1848.44</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1848.44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bl>
    <w:p>
      <w:pPr>
        <w:widowControl/>
        <w:jc w:val="left"/>
        <w:textAlignment w:val="bottom"/>
        <w:rPr>
          <w:rFonts w:ascii="仿宋_GB2312" w:hAnsi="宋体" w:eastAsia="仿宋_GB2312"/>
          <w:b/>
          <w:kern w:val="0"/>
          <w:sz w:val="32"/>
          <w:szCs w:val="32"/>
        </w:rPr>
      </w:pPr>
    </w:p>
    <w:p>
      <w:r>
        <w:br w:type="page"/>
      </w:r>
    </w:p>
    <w:p>
      <w:pPr>
        <w:widowControl/>
        <w:jc w:val="left"/>
        <w:textAlignment w:val="bottom"/>
        <w:rPr>
          <w:rFonts w:ascii="仿宋_GB2312" w:hAnsi="宋体" w:eastAsia="仿宋_GB2312"/>
          <w:b/>
          <w:kern w:val="0"/>
          <w:sz w:val="32"/>
          <w:szCs w:val="32"/>
        </w:rPr>
      </w:pPr>
      <w:r>
        <w:rPr>
          <w:rFonts w:hint="eastAsia" w:ascii="宋体" w:hAnsi="宋体" w:cs="宋体"/>
          <w:color w:val="000000"/>
          <w:kern w:val="0"/>
          <w:sz w:val="20"/>
          <w:szCs w:val="20"/>
          <w:lang w:bidi="ar"/>
        </w:rPr>
        <w:t>表6</w:t>
      </w:r>
    </w:p>
    <w:p>
      <w:pPr>
        <w:widowControl/>
        <w:jc w:val="center"/>
        <w:outlineLvl w:val="1"/>
        <w:rPr>
          <w:rFonts w:ascii="仿宋_GB2312" w:hAnsi="宋体" w:eastAsia="仿宋_GB2312"/>
          <w:b/>
          <w:kern w:val="0"/>
          <w:sz w:val="32"/>
          <w:szCs w:val="32"/>
        </w:rPr>
      </w:pPr>
      <w:r>
        <w:rPr>
          <w:rFonts w:hint="eastAsia" w:ascii="仿宋_GB2312" w:hAnsi="宋体" w:eastAsia="仿宋_GB2312" w:cs="宋体"/>
          <w:b/>
          <w:bCs/>
          <w:color w:val="000000"/>
          <w:kern w:val="0"/>
          <w:sz w:val="32"/>
          <w:szCs w:val="32"/>
        </w:rPr>
        <w:t>一般公共预算基本支出情况表</w:t>
      </w:r>
    </w:p>
    <w:tbl>
      <w:tblPr>
        <w:tblStyle w:val="9"/>
        <w:tblW w:w="9328" w:type="dxa"/>
        <w:tblInd w:w="-148" w:type="dxa"/>
        <w:tblLayout w:type="fixed"/>
        <w:tblCellMar>
          <w:top w:w="0" w:type="dxa"/>
          <w:left w:w="108" w:type="dxa"/>
          <w:bottom w:w="0" w:type="dxa"/>
          <w:right w:w="108" w:type="dxa"/>
        </w:tblCellMar>
      </w:tblPr>
      <w:tblGrid>
        <w:gridCol w:w="757"/>
        <w:gridCol w:w="577"/>
        <w:gridCol w:w="2891"/>
        <w:gridCol w:w="1701"/>
        <w:gridCol w:w="850"/>
        <w:gridCol w:w="851"/>
        <w:gridCol w:w="1701"/>
      </w:tblGrid>
      <w:tr>
        <w:tblPrEx>
          <w:tblLayout w:type="fixed"/>
          <w:tblCellMar>
            <w:top w:w="0" w:type="dxa"/>
            <w:left w:w="108" w:type="dxa"/>
            <w:bottom w:w="0" w:type="dxa"/>
            <w:right w:w="108" w:type="dxa"/>
          </w:tblCellMar>
        </w:tblPrEx>
        <w:trPr>
          <w:trHeight w:val="390" w:hRule="atLeast"/>
        </w:trPr>
        <w:tc>
          <w:tcPr>
            <w:tcW w:w="6776" w:type="dxa"/>
            <w:gridSpan w:val="5"/>
            <w:tcBorders>
              <w:top w:val="nil"/>
              <w:left w:val="nil"/>
              <w:bottom w:val="single" w:color="auto" w:sz="4" w:space="0"/>
              <w:right w:val="nil"/>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仿宋_GB2312"/>
                <w:kern w:val="0"/>
                <w:sz w:val="24"/>
              </w:rPr>
              <w:t>编制部门：霍城县清水河镇人民政府</w:t>
            </w:r>
          </w:p>
        </w:tc>
        <w:tc>
          <w:tcPr>
            <w:tcW w:w="2552" w:type="dxa"/>
            <w:gridSpan w:val="2"/>
            <w:tcBorders>
              <w:top w:val="nil"/>
              <w:left w:val="nil"/>
              <w:bottom w:val="single" w:color="auto" w:sz="4" w:space="0"/>
              <w:right w:val="nil"/>
            </w:tcBorders>
            <w:vAlign w:val="center"/>
          </w:tcPr>
          <w:p>
            <w:pPr>
              <w:widowControl/>
              <w:jc w:val="right"/>
              <w:rPr>
                <w:rFonts w:ascii="仿宋_GB2312" w:hAnsi="宋体" w:eastAsia="仿宋_GB2312" w:cs="宋体"/>
                <w:b/>
                <w:bCs/>
                <w:color w:val="000000"/>
                <w:kern w:val="0"/>
                <w:szCs w:val="21"/>
              </w:rPr>
            </w:pPr>
            <w:r>
              <w:rPr>
                <w:rFonts w:hint="eastAsia" w:ascii="仿宋_GB2312" w:hAnsi="宋体" w:eastAsia="仿宋_GB2312"/>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301</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工资福利支出</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1686.56</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1686.56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301</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基本工资</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525.99</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525.99</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301</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02</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津贴补贴</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664.43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664.43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301</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03</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奖金</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43.83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43.83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301</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08</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机关事业单位基本养老保险缴费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183.21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183.21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301</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10</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城镇职工基本医疗保险缴费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124.84</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124.84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301</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12</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其他社会保障缴费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6.86</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6.86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301</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住房公积金</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137.41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商品和服务支出</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144.63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144.63</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01</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办公费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14.90</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14.90</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02</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印刷费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11.92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11.92</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03</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咨询费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5.22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5.22</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04</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手续费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1.49</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1.49</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水费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7.45</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7.45</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06</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电费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8.94</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8.94</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07</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邮电费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8.94</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8.94</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08</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取暖费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5.96</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5.96</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11</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差旅费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7.45</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7.45</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维修(护)费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14.90</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14.90</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租赁费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6.71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6.71</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15</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会议费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2.98</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2.98</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16</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培训费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2.98</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2.98</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26</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劳务费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8.94</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8.94</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28</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工会经费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10.52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10.52</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31</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公务用车运行维护费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13.41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13.41</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39</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其他交通费用</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10.43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10.43</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302</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40</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税金及附加费用</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1.49</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1.49</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303</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对个人和家庭的补助</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17.26</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17.26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303</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02</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退休费</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8.62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8.62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303</w:t>
            </w: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05</w:t>
            </w: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生活补助</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8.64</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8.64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57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89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合计</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1848.44</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1703.82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144.62</w:t>
            </w:r>
          </w:p>
        </w:tc>
      </w:tr>
    </w:tbl>
    <w:p>
      <w:pPr>
        <w:widowControl/>
        <w:jc w:val="left"/>
        <w:textAlignment w:val="bottom"/>
        <w:rPr>
          <w:rFonts w:ascii="仿宋_GB2312" w:hAnsi="宋体" w:eastAsia="仿宋_GB2312"/>
          <w:b/>
          <w:kern w:val="0"/>
          <w:sz w:val="32"/>
          <w:szCs w:val="32"/>
        </w:rPr>
      </w:pPr>
    </w:p>
    <w:p>
      <w:r>
        <w:br w:type="page"/>
      </w:r>
    </w:p>
    <w:p>
      <w:pPr>
        <w:widowControl/>
        <w:jc w:val="left"/>
        <w:textAlignment w:val="bottom"/>
        <w:rPr>
          <w:rFonts w:ascii="仿宋_GB2312" w:hAnsi="宋体" w:eastAsia="仿宋_GB2312"/>
          <w:b/>
          <w:kern w:val="0"/>
          <w:sz w:val="32"/>
          <w:szCs w:val="32"/>
        </w:rPr>
      </w:pPr>
      <w:r>
        <w:rPr>
          <w:rFonts w:hint="eastAsia" w:ascii="宋体" w:hAnsi="宋体" w:cs="宋体"/>
          <w:color w:val="000000"/>
          <w:kern w:val="0"/>
          <w:sz w:val="20"/>
          <w:szCs w:val="20"/>
          <w:lang w:bidi="ar"/>
        </w:rPr>
        <w:t>表7</w:t>
      </w:r>
    </w:p>
    <w:p>
      <w:pPr>
        <w:widowControl/>
        <w:jc w:val="center"/>
        <w:outlineLvl w:val="1"/>
        <w:rPr>
          <w:rFonts w:ascii="仿宋_GB2312" w:hAnsi="宋体" w:eastAsia="仿宋_GB2312"/>
          <w:b/>
          <w:kern w:val="0"/>
          <w:sz w:val="32"/>
          <w:szCs w:val="32"/>
        </w:rPr>
      </w:pPr>
      <w:r>
        <w:rPr>
          <w:rFonts w:hint="eastAsia" w:ascii="仿宋_GB2312" w:hAnsi="宋体" w:eastAsia="仿宋_GB2312" w:cs="宋体"/>
          <w:b/>
          <w:bCs/>
          <w:color w:val="000000"/>
          <w:kern w:val="0"/>
          <w:sz w:val="32"/>
          <w:szCs w:val="32"/>
        </w:rPr>
        <w:t>一般公共预算项目支出情况表</w:t>
      </w:r>
    </w:p>
    <w:tbl>
      <w:tblPr>
        <w:tblStyle w:val="9"/>
        <w:tblW w:w="954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95"/>
        <w:gridCol w:w="382"/>
        <w:gridCol w:w="741"/>
        <w:gridCol w:w="1456"/>
        <w:gridCol w:w="750"/>
        <w:gridCol w:w="569"/>
        <w:gridCol w:w="536"/>
        <w:gridCol w:w="652"/>
        <w:gridCol w:w="652"/>
        <w:gridCol w:w="578"/>
        <w:gridCol w:w="419"/>
        <w:gridCol w:w="578"/>
        <w:gridCol w:w="420"/>
        <w:gridCol w:w="420"/>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235" w:type="dxa"/>
            <w:gridSpan w:val="11"/>
            <w:tcBorders>
              <w:top w:val="nil"/>
              <w:left w:val="nil"/>
              <w:bottom w:val="single" w:color="auto" w:sz="4" w:space="0"/>
              <w:right w:val="nil"/>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kern w:val="0"/>
                <w:sz w:val="24"/>
              </w:rPr>
              <w:t>编制部门：霍城县清水河镇人民政府</w:t>
            </w:r>
          </w:p>
        </w:tc>
        <w:tc>
          <w:tcPr>
            <w:tcW w:w="2305" w:type="dxa"/>
            <w:gridSpan w:val="5"/>
            <w:tcBorders>
              <w:top w:val="nil"/>
              <w:left w:val="nil"/>
              <w:bottom w:val="single" w:color="auto" w:sz="4" w:space="0"/>
              <w:right w:val="nil"/>
            </w:tcBorders>
            <w:vAlign w:val="center"/>
          </w:tcPr>
          <w:p>
            <w:pPr>
              <w:widowControl/>
              <w:jc w:val="right"/>
              <w:outlineLvl w:val="1"/>
              <w:rPr>
                <w:rFonts w:ascii="仿宋_GB2312" w:hAnsi="宋体" w:eastAsia="仿宋_GB2312"/>
                <w:b/>
                <w:kern w:val="0"/>
                <w:sz w:val="18"/>
                <w:szCs w:val="18"/>
              </w:rPr>
            </w:pPr>
            <w:r>
              <w:rPr>
                <w:rFonts w:hint="eastAsia" w:ascii="仿宋_GB2312" w:hAnsi="宋体" w:eastAsia="仿宋_GB2312"/>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01" w:type="dxa"/>
            <w:gridSpan w:val="3"/>
            <w:tcBorders>
              <w:top w:val="single" w:color="auto" w:sz="4" w:space="0"/>
            </w:tcBorders>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741" w:type="dxa"/>
            <w:vMerge w:val="restart"/>
            <w:tcBorders>
              <w:top w:val="single" w:color="auto" w:sz="4" w:space="0"/>
            </w:tcBorders>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tcBorders>
              <w:top w:val="single" w:color="auto" w:sz="4" w:space="0"/>
            </w:tcBorders>
            <w:noWrap/>
            <w:vAlign w:val="center"/>
          </w:tcPr>
          <w:p>
            <w:pPr>
              <w:jc w:val="center"/>
              <w:rPr>
                <w:sz w:val="24"/>
              </w:rPr>
            </w:pPr>
            <w:r>
              <w:rPr>
                <w:rFonts w:hint="eastAsia" w:ascii="仿宋_GB2312" w:hAnsi="宋体" w:eastAsia="仿宋_GB2312"/>
                <w:b/>
                <w:kern w:val="0"/>
                <w:sz w:val="24"/>
              </w:rPr>
              <w:t>项目名称</w:t>
            </w:r>
          </w:p>
        </w:tc>
        <w:tc>
          <w:tcPr>
            <w:tcW w:w="750"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vMerge w:val="restart"/>
            <w:tcBorders>
              <w:top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24" w:type="dxa"/>
            <w:tcBorders>
              <w:bottom w:val="single" w:color="auto" w:sz="4" w:space="0"/>
            </w:tcBorders>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5" w:type="dxa"/>
            <w:tcBorders>
              <w:bottom w:val="single" w:color="auto" w:sz="4" w:space="0"/>
            </w:tcBorders>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82" w:type="dxa"/>
            <w:tcBorders>
              <w:bottom w:val="single" w:color="auto" w:sz="4" w:space="0"/>
            </w:tcBorders>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74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24" w:type="dxa"/>
            <w:vAlign w:val="center"/>
          </w:tcPr>
          <w:p>
            <w:pPr>
              <w:jc w:val="left"/>
              <w:rPr>
                <w:sz w:val="16"/>
                <w:szCs w:val="16"/>
              </w:rPr>
            </w:pPr>
          </w:p>
        </w:tc>
        <w:tc>
          <w:tcPr>
            <w:tcW w:w="395" w:type="dxa"/>
            <w:vAlign w:val="center"/>
          </w:tcPr>
          <w:p>
            <w:pPr>
              <w:jc w:val="left"/>
              <w:rPr>
                <w:sz w:val="16"/>
                <w:szCs w:val="16"/>
              </w:rPr>
            </w:pPr>
          </w:p>
        </w:tc>
        <w:tc>
          <w:tcPr>
            <w:tcW w:w="382" w:type="dxa"/>
            <w:vAlign w:val="center"/>
          </w:tcPr>
          <w:p>
            <w:pPr>
              <w:jc w:val="left"/>
              <w:rPr>
                <w:sz w:val="16"/>
                <w:szCs w:val="16"/>
              </w:rPr>
            </w:pPr>
          </w:p>
        </w:tc>
        <w:tc>
          <w:tcPr>
            <w:tcW w:w="741" w:type="dxa"/>
            <w:vAlign w:val="center"/>
          </w:tcPr>
          <w:p>
            <w:pPr>
              <w:jc w:val="left"/>
              <w:rPr>
                <w:sz w:val="16"/>
                <w:szCs w:val="16"/>
              </w:rPr>
            </w:pPr>
          </w:p>
        </w:tc>
        <w:tc>
          <w:tcPr>
            <w:tcW w:w="1456" w:type="dxa"/>
            <w:vAlign w:val="center"/>
          </w:tcPr>
          <w:p>
            <w:pPr>
              <w:jc w:val="left"/>
              <w:rPr>
                <w:sz w:val="16"/>
                <w:szCs w:val="16"/>
              </w:rPr>
            </w:pPr>
            <w:r>
              <w:rPr>
                <w:rFonts w:hint="eastAsia" w:ascii="仿宋_GB2312" w:hAnsi="宋体" w:eastAsia="仿宋_GB2312" w:cs="宋体"/>
                <w:kern w:val="0"/>
                <w:sz w:val="16"/>
                <w:szCs w:val="16"/>
              </w:rPr>
              <w:t>合计</w:t>
            </w:r>
          </w:p>
        </w:tc>
        <w:tc>
          <w:tcPr>
            <w:tcW w:w="750" w:type="dxa"/>
            <w:vAlign w:val="center"/>
          </w:tcPr>
          <w:p>
            <w:pPr>
              <w:jc w:val="left"/>
              <w:rPr>
                <w:sz w:val="16"/>
                <w:szCs w:val="16"/>
              </w:rPr>
            </w:pPr>
          </w:p>
        </w:tc>
        <w:tc>
          <w:tcPr>
            <w:tcW w:w="569" w:type="dxa"/>
            <w:vAlign w:val="center"/>
          </w:tcPr>
          <w:p>
            <w:pPr>
              <w:jc w:val="left"/>
              <w:rPr>
                <w:sz w:val="16"/>
                <w:szCs w:val="16"/>
              </w:rPr>
            </w:pPr>
          </w:p>
        </w:tc>
        <w:tc>
          <w:tcPr>
            <w:tcW w:w="536" w:type="dxa"/>
            <w:vAlign w:val="center"/>
          </w:tcPr>
          <w:p>
            <w:pPr>
              <w:jc w:val="left"/>
              <w:rPr>
                <w:sz w:val="16"/>
                <w:szCs w:val="16"/>
              </w:rPr>
            </w:pPr>
          </w:p>
        </w:tc>
        <w:tc>
          <w:tcPr>
            <w:tcW w:w="652" w:type="dxa"/>
            <w:vAlign w:val="center"/>
          </w:tcPr>
          <w:p>
            <w:pPr>
              <w:jc w:val="left"/>
              <w:rPr>
                <w:sz w:val="16"/>
                <w:szCs w:val="16"/>
              </w:rPr>
            </w:pPr>
          </w:p>
        </w:tc>
        <w:tc>
          <w:tcPr>
            <w:tcW w:w="652" w:type="dxa"/>
            <w:vAlign w:val="center"/>
          </w:tcPr>
          <w:p>
            <w:pPr>
              <w:jc w:val="left"/>
              <w:rPr>
                <w:sz w:val="16"/>
                <w:szCs w:val="16"/>
              </w:rPr>
            </w:pPr>
          </w:p>
        </w:tc>
        <w:tc>
          <w:tcPr>
            <w:tcW w:w="578" w:type="dxa"/>
            <w:vAlign w:val="center"/>
          </w:tcPr>
          <w:p>
            <w:pPr>
              <w:jc w:val="left"/>
              <w:rPr>
                <w:sz w:val="16"/>
                <w:szCs w:val="16"/>
              </w:rPr>
            </w:pPr>
          </w:p>
        </w:tc>
        <w:tc>
          <w:tcPr>
            <w:tcW w:w="419" w:type="dxa"/>
            <w:vAlign w:val="center"/>
          </w:tcPr>
          <w:p>
            <w:pPr>
              <w:jc w:val="left"/>
              <w:rPr>
                <w:sz w:val="16"/>
                <w:szCs w:val="16"/>
              </w:rPr>
            </w:pPr>
          </w:p>
        </w:tc>
        <w:tc>
          <w:tcPr>
            <w:tcW w:w="578" w:type="dxa"/>
            <w:vAlign w:val="center"/>
          </w:tcPr>
          <w:p>
            <w:pPr>
              <w:jc w:val="left"/>
              <w:rPr>
                <w:sz w:val="16"/>
                <w:szCs w:val="16"/>
              </w:rPr>
            </w:pPr>
          </w:p>
        </w:tc>
        <w:tc>
          <w:tcPr>
            <w:tcW w:w="420" w:type="dxa"/>
            <w:vAlign w:val="center"/>
          </w:tcPr>
          <w:p>
            <w:pPr>
              <w:jc w:val="left"/>
              <w:rPr>
                <w:sz w:val="16"/>
                <w:szCs w:val="16"/>
              </w:rPr>
            </w:pPr>
          </w:p>
        </w:tc>
        <w:tc>
          <w:tcPr>
            <w:tcW w:w="420" w:type="dxa"/>
            <w:vAlign w:val="center"/>
          </w:tcPr>
          <w:p>
            <w:pPr>
              <w:jc w:val="left"/>
              <w:rPr>
                <w:sz w:val="16"/>
                <w:szCs w:val="16"/>
              </w:rPr>
            </w:pPr>
          </w:p>
        </w:tc>
        <w:tc>
          <w:tcPr>
            <w:tcW w:w="468" w:type="dxa"/>
            <w:vAlign w:val="center"/>
          </w:tcPr>
          <w:p>
            <w:pPr>
              <w:jc w:val="left"/>
              <w:rPr>
                <w:sz w:val="16"/>
                <w:szCs w:val="16"/>
              </w:rPr>
            </w:pPr>
          </w:p>
        </w:tc>
      </w:tr>
    </w:tbl>
    <w:p>
      <w:pPr>
        <w:widowControl/>
        <w:jc w:val="left"/>
        <w:textAlignment w:val="bottom"/>
        <w:rPr>
          <w:rFonts w:ascii="仿宋_GB2312" w:hAnsi="宋体" w:eastAsia="仿宋_GB2312"/>
          <w:b/>
          <w:kern w:val="0"/>
          <w:sz w:val="32"/>
          <w:szCs w:val="32"/>
        </w:rPr>
      </w:pPr>
      <w:r>
        <w:rPr>
          <w:rFonts w:hint="eastAsia" w:ascii="仿宋_GB2312" w:hAnsi="宋体" w:eastAsia="仿宋_GB2312"/>
          <w:b/>
          <w:bCs/>
          <w:kern w:val="0"/>
          <w:sz w:val="24"/>
        </w:rPr>
        <w:t>备注:我单位未安排项目，此表为空表</w:t>
      </w:r>
    </w:p>
    <w:p>
      <w:r>
        <w:br w:type="page"/>
      </w:r>
    </w:p>
    <w:p>
      <w:pPr>
        <w:widowControl/>
        <w:jc w:val="left"/>
        <w:textAlignment w:val="bottom"/>
        <w:rPr>
          <w:rFonts w:ascii="仿宋_GB2312" w:hAnsi="宋体" w:eastAsia="仿宋_GB2312"/>
          <w:b/>
          <w:kern w:val="0"/>
          <w:sz w:val="32"/>
          <w:szCs w:val="32"/>
        </w:rPr>
      </w:pPr>
      <w:r>
        <w:rPr>
          <w:rFonts w:hint="eastAsia" w:ascii="宋体" w:hAnsi="宋体" w:cs="宋体"/>
          <w:color w:val="000000"/>
          <w:kern w:val="0"/>
          <w:sz w:val="20"/>
          <w:szCs w:val="20"/>
          <w:lang w:bidi="ar"/>
        </w:rPr>
        <w:t>表8</w:t>
      </w:r>
    </w:p>
    <w:p>
      <w:pPr>
        <w:widowControl/>
        <w:jc w:val="center"/>
        <w:outlineLvl w:val="1"/>
        <w:rPr>
          <w:rFonts w:ascii="仿宋_GB2312" w:hAnsi="宋体" w:eastAsia="仿宋_GB2312"/>
          <w:kern w:val="0"/>
          <w:sz w:val="24"/>
        </w:rPr>
      </w:pPr>
      <w:r>
        <w:rPr>
          <w:rFonts w:hint="eastAsia" w:ascii="仿宋_GB2312" w:hAnsi="宋体" w:eastAsia="仿宋_GB2312"/>
          <w:b/>
          <w:kern w:val="0"/>
          <w:sz w:val="32"/>
          <w:szCs w:val="32"/>
        </w:rPr>
        <w:t>一般公共预算“三公”经费支出情况表</w:t>
      </w:r>
      <w:r>
        <w:rPr>
          <w:rFonts w:hint="eastAsia" w:ascii="仿宋_GB2312" w:hAnsi="宋体" w:eastAsia="仿宋_GB2312"/>
          <w:kern w:val="0"/>
          <w:sz w:val="24"/>
        </w:rPr>
        <w:t xml:space="preserve">               </w:t>
      </w:r>
    </w:p>
    <w:tbl>
      <w:tblPr>
        <w:tblStyle w:val="9"/>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454" w:hRule="atLeast"/>
        </w:trPr>
        <w:tc>
          <w:tcPr>
            <w:tcW w:w="7528" w:type="dxa"/>
            <w:gridSpan w:val="5"/>
            <w:tcBorders>
              <w:top w:val="nil"/>
              <w:left w:val="nil"/>
              <w:bottom w:val="single" w:color="auto" w:sz="4" w:space="0"/>
              <w:right w:val="nil"/>
            </w:tcBorders>
            <w:vAlign w:val="center"/>
          </w:tcPr>
          <w:p>
            <w:pPr>
              <w:widowControl/>
              <w:jc w:val="left"/>
              <w:rPr>
                <w:rFonts w:ascii="仿宋_GB2312" w:hAnsi="宋体" w:eastAsia="仿宋_GB2312"/>
                <w:kern w:val="0"/>
                <w:sz w:val="24"/>
              </w:rPr>
            </w:pPr>
            <w:r>
              <w:rPr>
                <w:rFonts w:hint="eastAsia" w:ascii="仿宋_GB2312" w:hAnsi="宋体" w:eastAsia="仿宋_GB2312"/>
                <w:kern w:val="0"/>
                <w:sz w:val="24"/>
              </w:rPr>
              <w:t>编制部门：霍城县清水河镇人民政府</w:t>
            </w:r>
          </w:p>
        </w:tc>
        <w:tc>
          <w:tcPr>
            <w:tcW w:w="1712" w:type="dxa"/>
            <w:tcBorders>
              <w:top w:val="nil"/>
              <w:left w:val="nil"/>
              <w:bottom w:val="single" w:color="auto" w:sz="4" w:space="0"/>
              <w:right w:val="nil"/>
            </w:tcBorders>
            <w:vAlign w:val="center"/>
          </w:tcPr>
          <w:p>
            <w:pPr>
              <w:widowControl/>
              <w:jc w:val="right"/>
              <w:rPr>
                <w:rFonts w:ascii="仿宋_GB2312" w:hAnsi="宋体" w:eastAsia="仿宋_GB2312"/>
                <w:kern w:val="0"/>
                <w:sz w:val="24"/>
              </w:rPr>
            </w:pPr>
            <w:r>
              <w:rPr>
                <w:rFonts w:hint="eastAsia" w:ascii="仿宋_GB2312" w:hAnsi="宋体" w:eastAsia="仿宋_GB2312"/>
                <w:kern w:val="0"/>
                <w:sz w:val="24"/>
              </w:rPr>
              <w:t>单位：万元</w:t>
            </w:r>
          </w:p>
        </w:tc>
      </w:tr>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合计</w:t>
            </w:r>
          </w:p>
        </w:tc>
        <w:tc>
          <w:tcPr>
            <w:tcW w:w="1417"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因公出国（境）费</w:t>
            </w:r>
          </w:p>
          <w:p>
            <w:pPr>
              <w:widowControl/>
              <w:jc w:val="center"/>
              <w:rPr>
                <w:rFonts w:ascii="仿宋_GB2312" w:hAnsi="宋体" w:eastAsia="仿宋_GB2312" w:cs="宋体"/>
                <w:b/>
                <w:bCs/>
                <w:color w:val="000000"/>
                <w:kern w:val="0"/>
                <w:sz w:val="22"/>
              </w:rPr>
            </w:pP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rPr>
            </w:pPr>
          </w:p>
        </w:tc>
        <w:tc>
          <w:tcPr>
            <w:tcW w:w="141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合  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公务用车购置费</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92" w:hRule="atLeast"/>
        </w:trPr>
        <w:tc>
          <w:tcPr>
            <w:tcW w:w="1575"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13.41</w:t>
            </w:r>
          </w:p>
        </w:tc>
        <w:tc>
          <w:tcPr>
            <w:tcW w:w="141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13.41</w:t>
            </w:r>
          </w:p>
        </w:tc>
        <w:tc>
          <w:tcPr>
            <w:tcW w:w="1418"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13.41</w:t>
            </w:r>
          </w:p>
        </w:tc>
        <w:tc>
          <w:tcPr>
            <w:tcW w:w="1712"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bl>
    <w:p>
      <w:pPr>
        <w:widowControl/>
        <w:jc w:val="left"/>
        <w:textAlignment w:val="bottom"/>
        <w:rPr>
          <w:rFonts w:ascii="仿宋_GB2312" w:hAnsi="宋体" w:eastAsia="仿宋_GB2312"/>
          <w:b/>
          <w:kern w:val="0"/>
          <w:sz w:val="32"/>
          <w:szCs w:val="32"/>
        </w:rPr>
      </w:pPr>
    </w:p>
    <w:p>
      <w:r>
        <w:br w:type="page"/>
      </w:r>
    </w:p>
    <w:p>
      <w:pPr>
        <w:widowControl/>
        <w:jc w:val="left"/>
        <w:textAlignment w:val="bottom"/>
        <w:rPr>
          <w:rFonts w:ascii="仿宋_GB2312" w:hAnsi="宋体" w:eastAsia="仿宋_GB2312"/>
          <w:b/>
          <w:kern w:val="0"/>
          <w:sz w:val="32"/>
          <w:szCs w:val="32"/>
        </w:rPr>
      </w:pPr>
      <w:r>
        <w:rPr>
          <w:rFonts w:hint="eastAsia" w:ascii="宋体" w:hAnsi="宋体" w:cs="宋体"/>
          <w:color w:val="000000"/>
          <w:kern w:val="0"/>
          <w:sz w:val="20"/>
          <w:szCs w:val="20"/>
          <w:lang w:bidi="ar"/>
        </w:rPr>
        <w:t>表9</w:t>
      </w:r>
    </w:p>
    <w:p>
      <w:pPr>
        <w:widowControl/>
        <w:jc w:val="center"/>
        <w:outlineLvl w:val="1"/>
        <w:rPr>
          <w:rFonts w:ascii="仿宋_GB2312" w:hAnsi="宋体" w:eastAsia="仿宋_GB2312"/>
          <w:kern w:val="0"/>
          <w:sz w:val="24"/>
        </w:rPr>
      </w:pPr>
      <w:r>
        <w:rPr>
          <w:rFonts w:hint="eastAsia" w:ascii="仿宋_GB2312" w:hAnsi="宋体" w:eastAsia="仿宋_GB2312"/>
          <w:b/>
          <w:kern w:val="0"/>
          <w:sz w:val="32"/>
          <w:szCs w:val="32"/>
        </w:rPr>
        <w:t>政府性基金预算支出情况表</w:t>
      </w:r>
      <w:r>
        <w:rPr>
          <w:rFonts w:hint="eastAsia" w:ascii="仿宋_GB2312" w:hAnsi="宋体" w:eastAsia="仿宋_GB2312"/>
          <w:kern w:val="0"/>
          <w:sz w:val="24"/>
        </w:rPr>
        <w:t xml:space="preserve">                                                 </w:t>
      </w:r>
    </w:p>
    <w:tbl>
      <w:tblPr>
        <w:tblStyle w:val="9"/>
        <w:tblW w:w="9214" w:type="dxa"/>
        <w:tblInd w:w="-34" w:type="dxa"/>
        <w:tblLayout w:type="fixed"/>
        <w:tblCellMar>
          <w:top w:w="0" w:type="dxa"/>
          <w:left w:w="108" w:type="dxa"/>
          <w:bottom w:w="0" w:type="dxa"/>
          <w:right w:w="108" w:type="dxa"/>
        </w:tblCellMar>
      </w:tblPr>
      <w:tblGrid>
        <w:gridCol w:w="585"/>
        <w:gridCol w:w="457"/>
        <w:gridCol w:w="457"/>
        <w:gridCol w:w="2896"/>
        <w:gridCol w:w="1559"/>
        <w:gridCol w:w="850"/>
        <w:gridCol w:w="851"/>
        <w:gridCol w:w="1559"/>
      </w:tblGrid>
      <w:tr>
        <w:tblPrEx>
          <w:tblLayout w:type="fixed"/>
          <w:tblCellMar>
            <w:top w:w="0" w:type="dxa"/>
            <w:left w:w="108" w:type="dxa"/>
            <w:bottom w:w="0" w:type="dxa"/>
            <w:right w:w="108" w:type="dxa"/>
          </w:tblCellMar>
        </w:tblPrEx>
        <w:trPr>
          <w:trHeight w:val="465" w:hRule="atLeast"/>
        </w:trPr>
        <w:tc>
          <w:tcPr>
            <w:tcW w:w="6804" w:type="dxa"/>
            <w:gridSpan w:val="6"/>
            <w:tcBorders>
              <w:top w:val="nil"/>
              <w:left w:val="nil"/>
              <w:bottom w:val="single" w:color="auto" w:sz="4" w:space="0"/>
              <w:right w:val="nil"/>
            </w:tcBorders>
            <w:vAlign w:val="center"/>
          </w:tcPr>
          <w:p>
            <w:pPr>
              <w:widowControl/>
              <w:jc w:val="left"/>
              <w:rPr>
                <w:rFonts w:ascii="仿宋_GB2312" w:hAnsi="宋体" w:eastAsia="仿宋_GB2312" w:cs="宋体"/>
                <w:b/>
                <w:bCs/>
                <w:color w:val="000000"/>
                <w:kern w:val="0"/>
                <w:sz w:val="24"/>
              </w:rPr>
            </w:pPr>
            <w:r>
              <w:rPr>
                <w:rFonts w:hint="eastAsia" w:ascii="仿宋_GB2312" w:hAnsi="宋体" w:eastAsia="仿宋_GB2312"/>
                <w:kern w:val="0"/>
                <w:sz w:val="24"/>
              </w:rPr>
              <w:t>编制部门：霍城县清水河镇人民政府</w:t>
            </w:r>
          </w:p>
        </w:tc>
        <w:tc>
          <w:tcPr>
            <w:tcW w:w="2410" w:type="dxa"/>
            <w:gridSpan w:val="2"/>
            <w:tcBorders>
              <w:top w:val="nil"/>
              <w:left w:val="nil"/>
              <w:bottom w:val="single" w:color="auto" w:sz="4" w:space="0"/>
              <w:right w:val="nil"/>
            </w:tcBorders>
            <w:vAlign w:val="center"/>
          </w:tcPr>
          <w:p>
            <w:pPr>
              <w:widowControl/>
              <w:jc w:val="right"/>
              <w:outlineLvl w:val="1"/>
              <w:rPr>
                <w:rFonts w:ascii="仿宋_GB2312" w:hAnsi="宋体" w:eastAsia="仿宋_GB2312" w:cs="宋体"/>
                <w:b/>
                <w:bCs/>
                <w:color w:val="000000"/>
                <w:kern w:val="0"/>
                <w:sz w:val="24"/>
              </w:rPr>
            </w:pPr>
            <w:r>
              <w:rPr>
                <w:rFonts w:hint="eastAsia" w:ascii="仿宋_GB2312" w:hAnsi="宋体" w:eastAsia="仿宋_GB2312"/>
                <w:kern w:val="0"/>
                <w:sz w:val="24"/>
              </w:rPr>
              <w:t>单位：万元</w:t>
            </w:r>
          </w:p>
        </w:tc>
      </w:tr>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jc w:val="left"/>
              <w:rPr>
                <w:sz w:val="16"/>
                <w:szCs w:val="16"/>
              </w:rPr>
            </w:pPr>
          </w:p>
        </w:tc>
        <w:tc>
          <w:tcPr>
            <w:tcW w:w="457" w:type="dxa"/>
            <w:tcBorders>
              <w:top w:val="single" w:color="auto" w:sz="4" w:space="0"/>
              <w:left w:val="single" w:color="auto" w:sz="4" w:space="0"/>
              <w:bottom w:val="single" w:color="auto" w:sz="4" w:space="0"/>
              <w:right w:val="single" w:color="auto" w:sz="4" w:space="0"/>
            </w:tcBorders>
            <w:noWrap/>
            <w:vAlign w:val="center"/>
          </w:tcPr>
          <w:p>
            <w:pPr>
              <w:jc w:val="left"/>
              <w:rPr>
                <w:sz w:val="16"/>
                <w:szCs w:val="16"/>
              </w:rPr>
            </w:pPr>
          </w:p>
        </w:tc>
        <w:tc>
          <w:tcPr>
            <w:tcW w:w="457"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2896"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ascii="仿宋_GB2312" w:hAnsi="宋体" w:eastAsia="仿宋_GB2312" w:cs="宋体"/>
                <w:kern w:val="0"/>
                <w:sz w:val="16"/>
                <w:szCs w:val="16"/>
              </w:rPr>
              <w:t>合计</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p>
        </w:tc>
      </w:tr>
    </w:tbl>
    <w:p>
      <w:pPr>
        <w:widowControl/>
        <w:jc w:val="left"/>
        <w:rPr>
          <w:rFonts w:ascii="仿宋_GB2312" w:hAnsi="宋体" w:eastAsia="仿宋_GB2312"/>
          <w:b/>
          <w:bCs/>
          <w:kern w:val="0"/>
          <w:sz w:val="24"/>
        </w:rPr>
      </w:pPr>
      <w:r>
        <w:rPr>
          <w:rFonts w:hint="eastAsia" w:ascii="仿宋_GB2312" w:hAnsi="宋体" w:eastAsia="仿宋_GB2312"/>
          <w:b/>
          <w:bCs/>
          <w:kern w:val="0"/>
          <w:sz w:val="24"/>
        </w:rPr>
        <w:t>备注:我单位未安排政府性基金预算支出，此表为空表</w:t>
      </w:r>
    </w:p>
    <w:p>
      <w:r>
        <w:br w:type="page"/>
      </w: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2022年部门预算情况说明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关于霍城县清水河镇人民政府2022年收支预算情况的总体说明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按照全口径预算的原则，霍城县清水河镇人民政府部门2022年所有收入和支出均纳入部门预算管理。收支总预算1848.44万元。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支出预算包括：一般公共服务支出、社会保障和就业支出、卫生健康支出、农林水支出、住房保障支出。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二、关于霍城县清水河镇人民政府2022年收入预算情况说明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霍城县清水河镇人民政府部门收入预算1848.44万元，其中：</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1848.44万元，占100%，比上年预算减少3320.70万元，下降64.24%，主要原因是：2022年我单位村干部工资、三老人员补贴、四类人员补贴、离职村干部补贴、县聘人员、村社区运转经费等未安排经费预算，同时政府公用经费预算减少。</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政府性基金预算未安排。  </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国有资本经营预算未安排。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三、关于霍城县清水河镇人民政府2022年支出预算情况说明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霍城县清水河镇人民政府部门2022年支出预算1848.44万元，其中：</w:t>
      </w:r>
    </w:p>
    <w:p>
      <w:pPr>
        <w:widowControl/>
        <w:spacing w:line="580" w:lineRule="exact"/>
        <w:ind w:firstLine="640"/>
        <w:jc w:val="left"/>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1848.44万元，占100%，比上年预算减少3320.70万元，下降64.24%，主要原因是：2022年我单位村干部工资、三老人员补贴、四类人员补贴、离职村干部补贴、县聘人员、村社区运转经费等未安排经费预算，同时政府公用经费预算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项目支出0.00万元，占0%，比上年预算增加0.00万元，增长0.00%，主要原因是：2022年我单位未安排项目预算。</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四、关于霍城县清水河镇人民政府2022年财政拨款收支预算情况的总体说明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2022年财政拨款收支总预算1848.44万元。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收入全部为一般公共预算拨款，无政府性基金预算拨款和国有资本经营预算。</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收入预算包括：一般公共预算拨款1848.44万元。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一般公共预算支出包括：</w:t>
      </w:r>
      <w:r>
        <w:rPr>
          <w:rFonts w:hint="eastAsia" w:ascii="仿宋_GB2312" w:eastAsia="仿宋_GB2312"/>
          <w:sz w:val="32"/>
          <w:szCs w:val="32"/>
        </w:rPr>
        <w:t>一般公共服务支出497.56万元，主要用于政府办公厅（室）及相关机构事务(款)497.56万元。社会保障和就业支出191.83万元，主要用于主要用于机关事业单位基本养老保险缴费支出(款)183.21万元、事业单位离退休(款)4.09万元、行政单位离退休(款)4.53万元。卫生健康支出124.84万元，主要用于行政事业单位医疗(款)124.84万元。农林水支出896.81万元，主要用于农业农村(款)896.81万元。住房保障支出137.41万元，主要用于住房改革支出(款)137.41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五、关于霍城县清水河镇人民政府2022年一般公共预算当年拨款情况说明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霍城县清水河镇人民政府部门2022年一般公共预算拨款合计1848.44万元，其中：基本支出1848.44万元，比上年预算减少3320.70万元，下降64.24%。主要原因是：2022年我单位村干部工资、三老人员补贴、四类人员补贴、离职村干部补贴、县聘人员、村社区运转经费等未安排经费预算，同时政府公用经费预算减少。</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项目支出0.00万元，比上年预算增加0.00万元,增长0%。主要原因是：2022年我单位未安排项目预算。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80" w:lineRule="exact"/>
        <w:ind w:firstLine="640"/>
        <w:rPr>
          <w:rFonts w:ascii="仿宋_GB2312" w:eastAsia="仿宋_GB2312"/>
          <w:sz w:val="32"/>
          <w:szCs w:val="32"/>
        </w:rPr>
      </w:pPr>
      <w:r>
        <w:rPr>
          <w:rFonts w:hint="eastAsia" w:ascii="仿宋_GB2312" w:eastAsia="仿宋_GB2312"/>
          <w:sz w:val="32"/>
          <w:szCs w:val="32"/>
        </w:rPr>
        <w:t>1、一般公共服务支出（类）：497.56万元，占26.92%；</w:t>
      </w:r>
    </w:p>
    <w:p>
      <w:pPr>
        <w:spacing w:line="580" w:lineRule="exact"/>
        <w:ind w:firstLine="640"/>
        <w:rPr>
          <w:rFonts w:ascii="仿宋_GB2312" w:eastAsia="仿宋_GB2312"/>
          <w:sz w:val="32"/>
          <w:szCs w:val="32"/>
        </w:rPr>
      </w:pPr>
      <w:r>
        <w:rPr>
          <w:rFonts w:hint="eastAsia" w:ascii="仿宋_GB2312" w:eastAsia="仿宋_GB2312"/>
          <w:sz w:val="32"/>
          <w:szCs w:val="32"/>
        </w:rPr>
        <w:t>2、社会保障和就业支出（类）：191.83万元，占10.38%；</w:t>
      </w:r>
    </w:p>
    <w:p>
      <w:pPr>
        <w:spacing w:line="580" w:lineRule="exact"/>
        <w:ind w:firstLine="640"/>
        <w:rPr>
          <w:rFonts w:ascii="仿宋_GB2312" w:eastAsia="仿宋_GB2312"/>
          <w:sz w:val="32"/>
          <w:szCs w:val="32"/>
        </w:rPr>
      </w:pPr>
      <w:r>
        <w:rPr>
          <w:rFonts w:hint="eastAsia" w:ascii="仿宋_GB2312" w:eastAsia="仿宋_GB2312"/>
          <w:sz w:val="32"/>
          <w:szCs w:val="32"/>
        </w:rPr>
        <w:t>3、卫生健康支出（类）：124.84万元，占6.75%；</w:t>
      </w:r>
    </w:p>
    <w:p>
      <w:pPr>
        <w:spacing w:line="580" w:lineRule="exact"/>
        <w:ind w:firstLine="640"/>
        <w:rPr>
          <w:rFonts w:ascii="仿宋_GB2312" w:eastAsia="仿宋_GB2312"/>
          <w:sz w:val="32"/>
          <w:szCs w:val="32"/>
        </w:rPr>
      </w:pPr>
      <w:r>
        <w:rPr>
          <w:rFonts w:hint="eastAsia" w:ascii="仿宋_GB2312" w:eastAsia="仿宋_GB2312"/>
          <w:sz w:val="32"/>
          <w:szCs w:val="32"/>
        </w:rPr>
        <w:t>4、农林水支出（类）：896.81万元，占48.52%；</w:t>
      </w:r>
    </w:p>
    <w:p>
      <w:pPr>
        <w:spacing w:line="580" w:lineRule="exact"/>
        <w:ind w:firstLine="640"/>
        <w:rPr>
          <w:rFonts w:ascii="仿宋_GB2312" w:eastAsia="仿宋_GB2312"/>
          <w:sz w:val="32"/>
          <w:szCs w:val="32"/>
        </w:rPr>
      </w:pPr>
      <w:r>
        <w:rPr>
          <w:rFonts w:hint="eastAsia" w:ascii="仿宋_GB2312" w:eastAsia="仿宋_GB2312"/>
          <w:sz w:val="32"/>
          <w:szCs w:val="32"/>
        </w:rPr>
        <w:t>5、住房保障支出（类）：137.41万元，占7.43%；</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一般公共服务支出(类)政府办公厅（室）及相关机构事务(款)行政运行(项):2022年预算数为497.56万元，比上年预算减少2423.22万元，下降82.96%，主要原因是：2022年我单位村干部工资、三老人员补贴、四类人员补贴、离职村干部补贴、县聘人员、村社区运转经费等未安排经费预算，同时政府公用经费预算减少。</w:t>
      </w:r>
    </w:p>
    <w:p>
      <w:pPr>
        <w:spacing w:line="580" w:lineRule="exact"/>
        <w:ind w:firstLine="641"/>
        <w:jc w:val="left"/>
        <w:rPr>
          <w:rFonts w:ascii="仿宋_GB2312" w:hAnsi="宋体" w:eastAsia="仿宋_GB2312" w:cs="宋体"/>
          <w:kern w:val="0"/>
          <w:sz w:val="32"/>
          <w:szCs w:val="32"/>
        </w:rPr>
      </w:pPr>
      <w:r>
        <w:rPr>
          <w:rFonts w:hint="eastAsia" w:ascii="仿宋_GB2312" w:hAnsi="宋体" w:eastAsia="仿宋_GB2312" w:cs="宋体"/>
          <w:kern w:val="0"/>
          <w:sz w:val="32"/>
          <w:szCs w:val="32"/>
        </w:rPr>
        <w:t>2、社会保障和就业支出(类)行政事业单位养老支出(款)行政单位离退休(项):2022年预算数为4.53万元，比上年预算减少304.65万元，下降98.53%，主要原因是：2022年我单位村干部工资、县聘人员未安排经费预算，同时退休人员死亡减少1人，在职人员减少2人。</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3、社会保障和就业支出(类)行政事业单位养老支出(款)事业单位离退休(项):2022年预算数为4.09万元，比上年预算增加4.09万元，增长100%，主要原因是：2022年我单位新增此项预算。</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社会保障和就业支出(类)行政事业单位养老支出(款)机关事业单位基本养老保险缴费支出(项):2022年预算数为183.21万元，比上年预算减少120.48万元，下降39.67%，主要原因是：2022年我单位村干部工资、县聘人员未安排经费预算，在职人员减少2人。</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5、卫生健康支出(类)行政事业单位医疗(款)行政单位医疗(项):2022年预算数为48.90万元，比上年预算减少80.87万元，下降62.32%，主要原因是：2022年我单位村干部工资、县聘人员未安排经费预算，在职人员减少2人。</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6、卫生健康支出(类)行政事业单位医疗(款)事业单位医疗(项):2022年预算数为75.94万元，比上年预算增加21.34万元，增长39.08%，主要原因是：2022年事业单位款项调整以及2022年人员工资社保支出预算增加。</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7、农林水支出(类)农业农村(款)事业运行(项):2022年预算数为896.81万元，比上年预算增加488.86万元，增长119.83%，主要原因是：2022年事业单位款项调整以及2022年人员工资调整，工资福利支出预算增加。</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8、住房保障支出(类)住房改革支出(款)住房公积金(项):2022年预算数为137.41万元，比上年预算减少63.34万元，下降31.55%，主要原因是：2022年我单位县聘人员未安排经费预算，同时在职人员减少2人。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六、关于霍城县清水河镇人民政府2022年一般公共预算基本支出情况说明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霍城县清水河镇人民政府部门2022年一般公共预算基本支出1848.44万元，其中：</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1703.82万元,主要包括:基本工资525.99万元、津贴补贴664.43万元、奖金43.83万元、机关事业单位基本养老保险缴费183.21万元、城镇职工基本医疗保险缴费124.84万元、其他社会保障缴费6.86万元、住房公积金137.41万元、退休费8.62万元、生活补助8.64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用经费144.62万元,主要包括:办公费14.9万元、印刷费11.92万元、咨询费5.22万元、手续费1.49万元、水费7.45万元、电费8.94万元、邮电费8.94万元、取暖费5.96万元、差旅费7.45万元、维修(护)费14.9万元、租赁费6.71万元、会议费2.98万元、培训费2.98万元、劳务费8.94万元、工会经费10.52万元、公务用车运行维护费13.41万元、其他交通费用10.43万元、税金及附加费用1.49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七、关于霍城县清水河镇人民政府2022年一般公共预算项目支出情况说明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我单位2022年年初预算未安排一般公共预算项目支出，一般公共预算项目支出情况表为空表。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八、关于霍城县清水河镇人民政府2022年一般公共预算“三公”经费预算情况说明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霍城县清水河镇人民政府部门2022年一般公共预算“三公”经费数为13.41万元，其中：因公出国（境）费0.00万元，公务用车购置0.00万元，公务用车运行费13.41万元，公务接待费0.00万元。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2022年一般公共预算“三公”经费比上年减少5.31万元，下降28.37%，其中：因公出国（境）费增加0.00万元，增长0%,主要原因是：2022年我单位因公出国（境）费未安排预算。公务用车购置费增加0.00万元，增长0%,主要原因是：2022年我单位公务用车购置费未安排预算。公务用车运行费减少0.99万元，下降6.88%,主要原因是：压缩公务用车运行费。公务接待费减少4.32万元，下降100%,主要原因是：2022年我单位公务接待费未安排预算。</w:t>
      </w:r>
    </w:p>
    <w:p>
      <w:pPr>
        <w:numPr>
          <w:ilvl w:val="0"/>
          <w:numId w:val="1"/>
        </w:num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关于霍城县清水河镇人民政府2022年政府性基金预算拨款情况说明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霍城县清水河镇人民政府部门2022年没有使用政府性基金预算拨款安排的支出，政府性基金预算支出情况表为空表。</w:t>
      </w:r>
    </w:p>
    <w:p>
      <w:pPr>
        <w:numPr>
          <w:ilvl w:val="0"/>
          <w:numId w:val="2"/>
        </w:numPr>
        <w:spacing w:line="560" w:lineRule="exact"/>
        <w:ind w:firstLine="640" w:firstLineChars="200"/>
        <w:rPr>
          <w:rFonts w:ascii="楷体_GB2312" w:hAnsi="宋体" w:eastAsia="楷体_GB2312" w:cs="宋体"/>
          <w:b/>
          <w:kern w:val="0"/>
          <w:sz w:val="32"/>
          <w:szCs w:val="32"/>
        </w:rPr>
      </w:pPr>
      <w:r>
        <w:rPr>
          <w:rFonts w:hint="eastAsia" w:ascii="黑体" w:hAnsi="宋体" w:eastAsia="黑体" w:cs="宋体"/>
          <w:kern w:val="0"/>
          <w:sz w:val="32"/>
          <w:szCs w:val="32"/>
        </w:rPr>
        <w:t>其他重要事项的情况说明</w:t>
      </w:r>
    </w:p>
    <w:p>
      <w:pPr>
        <w:spacing w:line="56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（一）机关运行经费情况</w:t>
      </w:r>
    </w:p>
    <w:p>
      <w:pPr>
        <w:widowControl/>
        <w:spacing w:line="580" w:lineRule="exact"/>
        <w:ind w:firstLine="642"/>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2022年，霍城县清水河镇人民政府本级及下属0家行政单位和0家事业单位的机关运行经费财政拨款预算144.62万元，比上年预算减少746.82万元，下降83.78%。主要原因是：2022年政府公用经费预算减少，在职人员减少2人。</w:t>
      </w:r>
    </w:p>
    <w:p>
      <w:pPr>
        <w:spacing w:line="56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（二）政府采购情况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2022年，霍城县清水河镇人民政府部门政府采购预算77.34万元，其中：政府采购货物预算0万元，政府采购工程预算0万元，政府采购服务预算77.34万元。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2022年度本部门面向中小企业预留政府采购项目预算金额0万元，其中：面向小微企业预留政府采购项目预算金额0万元。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widowControl/>
        <w:spacing w:line="580" w:lineRule="exact"/>
        <w:ind w:firstLine="640"/>
        <w:jc w:val="left"/>
        <w:rPr>
          <w:rStyle w:val="14"/>
        </w:rPr>
      </w:pPr>
      <w:r>
        <w:rPr>
          <w:rFonts w:hint="eastAsia" w:ascii="仿宋_GB2312" w:hAnsi="宋体" w:eastAsia="仿宋_GB2312" w:cs="宋体"/>
          <w:kern w:val="0"/>
          <w:sz w:val="32"/>
          <w:szCs w:val="32"/>
        </w:rPr>
        <w:t>截至2021年底，霍城县清水河镇人民政府部门及下属各预算单位占用使用国有资产总体情况为</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1.房屋5546.02平方米，价值612.56万元。</w:t>
      </w:r>
    </w:p>
    <w:p>
      <w:pPr>
        <w:widowControl/>
        <w:spacing w:line="580" w:lineRule="exact"/>
        <w:ind w:firstLine="640"/>
        <w:jc w:val="left"/>
        <w:rPr>
          <w:rStyle w:val="14"/>
        </w:rPr>
      </w:pPr>
      <w:r>
        <w:rPr>
          <w:rFonts w:hint="eastAsia" w:ascii="仿宋_GB2312" w:hAnsi="宋体" w:eastAsia="仿宋_GB2312" w:cs="宋体"/>
          <w:kern w:val="0"/>
          <w:sz w:val="32"/>
          <w:szCs w:val="32"/>
        </w:rPr>
        <w:t>2.车辆9辆，价值72.52万元；其中：一般公务用车0辆，价值0万元；执法执勤用车0辆，价值0万元；其他车辆9辆，价值72.52万元。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3.办公家具价值103.34万元。</w:t>
      </w:r>
    </w:p>
    <w:p>
      <w:pPr>
        <w:widowControl/>
        <w:spacing w:line="580" w:lineRule="exact"/>
        <w:ind w:firstLine="640"/>
        <w:jc w:val="left"/>
        <w:rPr>
          <w:rStyle w:val="14"/>
        </w:rPr>
      </w:pPr>
      <w:r>
        <w:rPr>
          <w:rFonts w:hint="eastAsia" w:ascii="仿宋_GB2312" w:hAnsi="宋体" w:eastAsia="仿宋_GB2312" w:cs="宋体"/>
          <w:kern w:val="0"/>
          <w:sz w:val="32"/>
          <w:szCs w:val="32"/>
        </w:rPr>
        <w:t>4.其他资产价值256.91万元。</w:t>
      </w:r>
    </w:p>
    <w:p>
      <w:pPr>
        <w:widowControl/>
        <w:spacing w:line="580" w:lineRule="exact"/>
        <w:ind w:firstLine="640"/>
        <w:jc w:val="left"/>
        <w:rPr>
          <w:rStyle w:val="14"/>
        </w:rPr>
      </w:pPr>
      <w:r>
        <w:rPr>
          <w:rFonts w:hint="eastAsia" w:ascii="仿宋_GB2312" w:hAnsi="宋体" w:eastAsia="仿宋_GB2312" w:cs="宋体"/>
          <w:kern w:val="0"/>
          <w:sz w:val="32"/>
          <w:szCs w:val="32"/>
        </w:rPr>
        <w:t>单位价值50万元以上大型设备0台（套），单位价值100万元以上大型设备0台（套）。</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2022年部门预算未安排购置车辆经费（或安排购置车辆经费0万元），安排购置50万元以上大型设备0台（套），单位价值100万元以上大型设备0台（套）。</w:t>
      </w:r>
    </w:p>
    <w:p>
      <w:pPr>
        <w:numPr>
          <w:ilvl w:val="0"/>
          <w:numId w:val="3"/>
        </w:num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预算绩效情况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2022年度，本年度预算绩效管理的财政拨款项目0个，涉及预算金额0万元。具体情况见下表：</w:t>
      </w:r>
    </w:p>
    <w:p>
      <w:pPr>
        <w:widowControl/>
        <w:jc w:val="left"/>
        <w:outlineLvl w:val="1"/>
        <w:rPr>
          <w:rFonts w:ascii="仿宋_GB2312" w:hAnsi="宋体" w:eastAsia="仿宋_GB2312" w:cs="宋体"/>
          <w:kern w:val="0"/>
          <w:sz w:val="32"/>
          <w:szCs w:val="32"/>
        </w:rPr>
      </w:pPr>
    </w:p>
    <w:p>
      <w:r>
        <w:br w:type="page"/>
      </w:r>
    </w:p>
    <w:tbl>
      <w:tblPr>
        <w:tblStyle w:val="9"/>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hAnsi="宋体" w:cs="宋体"/>
                <w:color w:val="000000"/>
                <w:sz w:val="22"/>
              </w:rPr>
            </w:pPr>
            <w:r>
              <w:rPr>
                <w:rFonts w:hint="eastAsia" w:ascii="宋体" w:hAnsi="宋体" w:cs="宋体"/>
                <w:color w:val="000000"/>
                <w:kern w:val="0"/>
                <w:sz w:val="22"/>
                <w:lang w:bidi="ar"/>
              </w:rPr>
              <w:t>（2022年）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sz w:val="18"/>
                <w:szCs w:val="18"/>
              </w:rPr>
              <w:t>霍城县清水河镇人民政府</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jc w:val="left"/>
        <w:textAlignment w:val="bottom"/>
        <w:rPr>
          <w:rFonts w:ascii="仿宋_GB2312" w:hAnsi="宋体" w:eastAsia="仿宋_GB2312"/>
          <w:b/>
          <w:kern w:val="0"/>
          <w:sz w:val="32"/>
          <w:szCs w:val="32"/>
        </w:rPr>
      </w:pPr>
      <w:r>
        <w:rPr>
          <w:rFonts w:hint="eastAsia" w:ascii="仿宋_GB2312" w:hAnsi="宋体" w:eastAsia="仿宋_GB2312"/>
          <w:b/>
          <w:bCs/>
          <w:kern w:val="0"/>
          <w:sz w:val="24"/>
        </w:rPr>
        <w:t>备注:我单位未安排项目，此表为空表</w:t>
      </w: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我单位无其他需说明事项。 </w:t>
      </w:r>
    </w:p>
    <w:p>
      <w:pPr>
        <w:widowControl/>
        <w:jc w:val="left"/>
        <w:outlineLvl w:val="1"/>
        <w:rPr>
          <w:rFonts w:ascii="楷体_GB2312" w:hAnsi="宋体" w:eastAsia="楷体_GB2312" w:cs="宋体"/>
          <w:b/>
          <w:kern w:val="0"/>
          <w:sz w:val="32"/>
          <w:szCs w:val="32"/>
        </w:rPr>
      </w:pPr>
    </w:p>
    <w:p>
      <w:r>
        <w:br w:type="page"/>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一、财政拨款：指由一般公共预算、政府性基金预算安排的财政拨款数。</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二、一般公共预算：包括公共财政拨款（补助）资金、专项收入。</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三、基本支出：包括人员经费、公用经费（定额）。其中，人员经费包括工资福利支出、对个人和家庭的补助。</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三公”经费：指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机关运行经费：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ind w:left="420" w:firstLine="420"/>
        <w:outlineLvl w:val="1"/>
        <w:rPr>
          <w:rFonts w:ascii="黑体" w:hAnsi="黑体" w:eastAsia="黑体"/>
          <w:kern w:val="0"/>
          <w:sz w:val="32"/>
          <w:szCs w:val="32"/>
        </w:rPr>
      </w:pPr>
    </w:p>
    <w:p>
      <w:pPr>
        <w:widowControl/>
        <w:spacing w:line="520" w:lineRule="exact"/>
        <w:jc w:val="righ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霍城县清水河镇人民政府</w:t>
      </w:r>
    </w:p>
    <w:p>
      <w:pPr>
        <w:widowControl/>
        <w:spacing w:line="520" w:lineRule="exact"/>
        <w:ind w:left="4620" w:firstLine="420"/>
        <w:jc w:val="right"/>
        <w:rPr>
          <w:rFonts w:ascii="仿宋_GB2312" w:hAnsi="宋体" w:eastAsia="仿宋_GB2312" w:cs="宋体"/>
          <w:kern w:val="0"/>
          <w:sz w:val="32"/>
          <w:szCs w:val="32"/>
        </w:rPr>
      </w:pPr>
    </w:p>
    <w:p>
      <w:pPr>
        <w:widowControl/>
        <w:spacing w:line="520" w:lineRule="exact"/>
        <w:ind w:left="5040" w:firstLine="42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2022</w:t>
      </w:r>
      <w:r>
        <w:rPr>
          <w:rFonts w:ascii="仿宋_GB2312" w:hAnsi="宋体" w:eastAsia="仿宋_GB2312" w:cs="宋体"/>
          <w:kern w:val="0"/>
          <w:sz w:val="32"/>
          <w:szCs w:val="32"/>
        </w:rPr>
        <w:t>年</w:t>
      </w:r>
      <w:r>
        <w:rPr>
          <w:rFonts w:hint="eastAsia" w:ascii="仿宋_GB2312" w:hAnsi="宋体" w:eastAsia="仿宋_GB2312" w:cs="宋体"/>
          <w:kern w:val="0"/>
          <w:sz w:val="32"/>
          <w:szCs w:val="32"/>
        </w:rPr>
        <w:t>3</w:t>
      </w:r>
      <w:r>
        <w:rPr>
          <w:rFonts w:ascii="仿宋_GB2312" w:hAnsi="宋体" w:eastAsia="仿宋_GB2312" w:cs="宋体"/>
          <w:kern w:val="0"/>
          <w:sz w:val="32"/>
          <w:szCs w:val="32"/>
        </w:rPr>
        <w:t>月</w:t>
      </w:r>
      <w:r>
        <w:rPr>
          <w:rFonts w:hint="eastAsia" w:ascii="仿宋_GB2312" w:hAnsi="宋体" w:eastAsia="仿宋_GB2312" w:cs="宋体"/>
          <w:kern w:val="0"/>
          <w:sz w:val="32"/>
          <w:szCs w:val="32"/>
        </w:rPr>
        <w:t>10</w:t>
      </w:r>
      <w:r>
        <w:rPr>
          <w:rFonts w:ascii="仿宋_GB2312" w:hAnsi="宋体" w:eastAsia="仿宋_GB2312" w:cs="宋体"/>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26 -</w:t>
    </w:r>
    <w:r>
      <w:rPr>
        <w:rFonts w:ascii="宋体" w:hAnsi="宋体" w:eastAsia="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7F4B4"/>
    <w:multiLevelType w:val="singleLevel"/>
    <w:tmpl w:val="A647F4B4"/>
    <w:lvl w:ilvl="0" w:tentative="0">
      <w:start w:val="9"/>
      <w:numFmt w:val="chineseCounting"/>
      <w:suff w:val="nothing"/>
      <w:lvlText w:val="%1、"/>
      <w:lvlJc w:val="left"/>
      <w:rPr>
        <w:rFonts w:hint="eastAsia"/>
      </w:rPr>
    </w:lvl>
  </w:abstractNum>
  <w:abstractNum w:abstractNumId="1">
    <w:nsid w:val="F5DA3B15"/>
    <w:multiLevelType w:val="singleLevel"/>
    <w:tmpl w:val="F5DA3B15"/>
    <w:lvl w:ilvl="0" w:tentative="0">
      <w:start w:val="4"/>
      <w:numFmt w:val="chineseCounting"/>
      <w:suff w:val="nothing"/>
      <w:lvlText w:val="（%1）"/>
      <w:lvlJc w:val="left"/>
      <w:rPr>
        <w:rFonts w:hint="eastAsia"/>
      </w:rPr>
    </w:lvl>
  </w:abstractNum>
  <w:abstractNum w:abstractNumId="2">
    <w:nsid w:val="2B8A4D98"/>
    <w:multiLevelType w:val="singleLevel"/>
    <w:tmpl w:val="2B8A4D98"/>
    <w:lvl w:ilvl="0" w:tentative="0">
      <w:start w:val="10"/>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2963"/>
    <w:rsid w:val="00172A27"/>
    <w:rsid w:val="001C5A7C"/>
    <w:rsid w:val="002408C8"/>
    <w:rsid w:val="00333FA4"/>
    <w:rsid w:val="00474DA6"/>
    <w:rsid w:val="004C6169"/>
    <w:rsid w:val="007A4F59"/>
    <w:rsid w:val="007B3B66"/>
    <w:rsid w:val="00864EA0"/>
    <w:rsid w:val="0094647A"/>
    <w:rsid w:val="009D08F4"/>
    <w:rsid w:val="009F043F"/>
    <w:rsid w:val="00A62398"/>
    <w:rsid w:val="00C158C1"/>
    <w:rsid w:val="00CD59CD"/>
    <w:rsid w:val="00D07E91"/>
    <w:rsid w:val="00D510AA"/>
    <w:rsid w:val="00D64568"/>
    <w:rsid w:val="00EB6CE6"/>
    <w:rsid w:val="00FA2352"/>
    <w:rsid w:val="014D7D47"/>
    <w:rsid w:val="016E22A5"/>
    <w:rsid w:val="01D50226"/>
    <w:rsid w:val="01F92520"/>
    <w:rsid w:val="01FC495B"/>
    <w:rsid w:val="02550257"/>
    <w:rsid w:val="02F804CF"/>
    <w:rsid w:val="036652B4"/>
    <w:rsid w:val="03C31718"/>
    <w:rsid w:val="03CE0B60"/>
    <w:rsid w:val="04052C7B"/>
    <w:rsid w:val="044B7619"/>
    <w:rsid w:val="04656AE3"/>
    <w:rsid w:val="04681C96"/>
    <w:rsid w:val="04960923"/>
    <w:rsid w:val="055057A5"/>
    <w:rsid w:val="05CB26C1"/>
    <w:rsid w:val="05F55E7A"/>
    <w:rsid w:val="064533BA"/>
    <w:rsid w:val="06D3791C"/>
    <w:rsid w:val="072A76E9"/>
    <w:rsid w:val="07460C09"/>
    <w:rsid w:val="0772271D"/>
    <w:rsid w:val="078E5694"/>
    <w:rsid w:val="07A9333D"/>
    <w:rsid w:val="080C5FAF"/>
    <w:rsid w:val="086E3F57"/>
    <w:rsid w:val="09425552"/>
    <w:rsid w:val="09901BC3"/>
    <w:rsid w:val="099F6348"/>
    <w:rsid w:val="09B362D8"/>
    <w:rsid w:val="0A0121B6"/>
    <w:rsid w:val="0A072B74"/>
    <w:rsid w:val="0A302809"/>
    <w:rsid w:val="0A646436"/>
    <w:rsid w:val="0AED6872"/>
    <w:rsid w:val="0AF2282D"/>
    <w:rsid w:val="0B4C4D05"/>
    <w:rsid w:val="0B7C456C"/>
    <w:rsid w:val="0B805F87"/>
    <w:rsid w:val="0B8E162A"/>
    <w:rsid w:val="0C203896"/>
    <w:rsid w:val="0C2F117F"/>
    <w:rsid w:val="0C6208C8"/>
    <w:rsid w:val="0C6617F8"/>
    <w:rsid w:val="0CB752EF"/>
    <w:rsid w:val="0CBD2B4D"/>
    <w:rsid w:val="0D410005"/>
    <w:rsid w:val="0DCB236D"/>
    <w:rsid w:val="0E142F7F"/>
    <w:rsid w:val="0E174B89"/>
    <w:rsid w:val="0E424430"/>
    <w:rsid w:val="0EC27CEE"/>
    <w:rsid w:val="0F1434C3"/>
    <w:rsid w:val="0F290129"/>
    <w:rsid w:val="0FDE1800"/>
    <w:rsid w:val="0FE81A88"/>
    <w:rsid w:val="10070B41"/>
    <w:rsid w:val="10107F0B"/>
    <w:rsid w:val="10205ECD"/>
    <w:rsid w:val="106D61C5"/>
    <w:rsid w:val="10BD7ADD"/>
    <w:rsid w:val="10F52203"/>
    <w:rsid w:val="11124C19"/>
    <w:rsid w:val="11AC1F8E"/>
    <w:rsid w:val="11F37C2A"/>
    <w:rsid w:val="12450EE9"/>
    <w:rsid w:val="12761B51"/>
    <w:rsid w:val="12CD4E75"/>
    <w:rsid w:val="13095C5F"/>
    <w:rsid w:val="137F01BA"/>
    <w:rsid w:val="1384380F"/>
    <w:rsid w:val="139F5C41"/>
    <w:rsid w:val="13D07304"/>
    <w:rsid w:val="14802C1D"/>
    <w:rsid w:val="14DC0A4B"/>
    <w:rsid w:val="14ED1BDC"/>
    <w:rsid w:val="158271E1"/>
    <w:rsid w:val="15B427F7"/>
    <w:rsid w:val="15FB658A"/>
    <w:rsid w:val="16300492"/>
    <w:rsid w:val="165A6FA2"/>
    <w:rsid w:val="1682703F"/>
    <w:rsid w:val="16BB1C8C"/>
    <w:rsid w:val="16C53D17"/>
    <w:rsid w:val="16FF6CDC"/>
    <w:rsid w:val="17145065"/>
    <w:rsid w:val="172D0A08"/>
    <w:rsid w:val="173236A5"/>
    <w:rsid w:val="176F0139"/>
    <w:rsid w:val="1771456D"/>
    <w:rsid w:val="177F5538"/>
    <w:rsid w:val="17B032F3"/>
    <w:rsid w:val="18320E05"/>
    <w:rsid w:val="183A2417"/>
    <w:rsid w:val="186072B8"/>
    <w:rsid w:val="186E5FEB"/>
    <w:rsid w:val="18891A7B"/>
    <w:rsid w:val="18BA44FA"/>
    <w:rsid w:val="194D086D"/>
    <w:rsid w:val="197D124A"/>
    <w:rsid w:val="19883469"/>
    <w:rsid w:val="19ED2162"/>
    <w:rsid w:val="1A4B0F57"/>
    <w:rsid w:val="1B1A0247"/>
    <w:rsid w:val="1B394913"/>
    <w:rsid w:val="1B6B3C2D"/>
    <w:rsid w:val="1B8A7665"/>
    <w:rsid w:val="1C1500FF"/>
    <w:rsid w:val="1C2B707C"/>
    <w:rsid w:val="1C2E6573"/>
    <w:rsid w:val="1CD463FE"/>
    <w:rsid w:val="1D267780"/>
    <w:rsid w:val="1D346F11"/>
    <w:rsid w:val="1DB7354D"/>
    <w:rsid w:val="1DBF0B95"/>
    <w:rsid w:val="1E1F6731"/>
    <w:rsid w:val="1E5537EA"/>
    <w:rsid w:val="1E951454"/>
    <w:rsid w:val="1E9A6631"/>
    <w:rsid w:val="1E9F3F33"/>
    <w:rsid w:val="1EA71B36"/>
    <w:rsid w:val="1EA77BE3"/>
    <w:rsid w:val="1EAA373B"/>
    <w:rsid w:val="1EC97E13"/>
    <w:rsid w:val="1F1B7E0A"/>
    <w:rsid w:val="1F1E2013"/>
    <w:rsid w:val="1F387FE9"/>
    <w:rsid w:val="1FFF48CB"/>
    <w:rsid w:val="20111059"/>
    <w:rsid w:val="2011335B"/>
    <w:rsid w:val="201248F6"/>
    <w:rsid w:val="20511B0F"/>
    <w:rsid w:val="20772873"/>
    <w:rsid w:val="208513CB"/>
    <w:rsid w:val="20B717FC"/>
    <w:rsid w:val="20C46AB9"/>
    <w:rsid w:val="210E426B"/>
    <w:rsid w:val="211063EB"/>
    <w:rsid w:val="21712D78"/>
    <w:rsid w:val="21C43973"/>
    <w:rsid w:val="21CF135D"/>
    <w:rsid w:val="21E75F12"/>
    <w:rsid w:val="21F72919"/>
    <w:rsid w:val="22116F78"/>
    <w:rsid w:val="223E6DB9"/>
    <w:rsid w:val="229415F7"/>
    <w:rsid w:val="22F74CD8"/>
    <w:rsid w:val="23344B82"/>
    <w:rsid w:val="234F7714"/>
    <w:rsid w:val="237274B6"/>
    <w:rsid w:val="23773168"/>
    <w:rsid w:val="23A403BD"/>
    <w:rsid w:val="243E030D"/>
    <w:rsid w:val="2461474C"/>
    <w:rsid w:val="24682743"/>
    <w:rsid w:val="24E308FD"/>
    <w:rsid w:val="251D476C"/>
    <w:rsid w:val="25381CAB"/>
    <w:rsid w:val="256B7983"/>
    <w:rsid w:val="25B17FF0"/>
    <w:rsid w:val="25B47368"/>
    <w:rsid w:val="25D94426"/>
    <w:rsid w:val="25D9575A"/>
    <w:rsid w:val="25E42BF4"/>
    <w:rsid w:val="25EC7690"/>
    <w:rsid w:val="26105E9A"/>
    <w:rsid w:val="26167FEF"/>
    <w:rsid w:val="26235BEA"/>
    <w:rsid w:val="263C2805"/>
    <w:rsid w:val="2670703F"/>
    <w:rsid w:val="277B5CA3"/>
    <w:rsid w:val="27AE2E31"/>
    <w:rsid w:val="27F309EA"/>
    <w:rsid w:val="28043A5F"/>
    <w:rsid w:val="28305B9A"/>
    <w:rsid w:val="28687E87"/>
    <w:rsid w:val="28C00A6E"/>
    <w:rsid w:val="294D1784"/>
    <w:rsid w:val="298E5A5A"/>
    <w:rsid w:val="29F90088"/>
    <w:rsid w:val="2A2E1ACD"/>
    <w:rsid w:val="2A7F5EE3"/>
    <w:rsid w:val="2AD61A0F"/>
    <w:rsid w:val="2B1B0DC8"/>
    <w:rsid w:val="2B2B4F04"/>
    <w:rsid w:val="2B3C636C"/>
    <w:rsid w:val="2B7C4C50"/>
    <w:rsid w:val="2B8C6882"/>
    <w:rsid w:val="2B9F0082"/>
    <w:rsid w:val="2BCE6B22"/>
    <w:rsid w:val="2BD74CD1"/>
    <w:rsid w:val="2BF65F31"/>
    <w:rsid w:val="2C2D314B"/>
    <w:rsid w:val="2C4A5CD0"/>
    <w:rsid w:val="2CC15F16"/>
    <w:rsid w:val="2D5036D7"/>
    <w:rsid w:val="2D8E1A25"/>
    <w:rsid w:val="2DEB5C99"/>
    <w:rsid w:val="2DFE5657"/>
    <w:rsid w:val="2E1F4578"/>
    <w:rsid w:val="2E594E35"/>
    <w:rsid w:val="2E60375C"/>
    <w:rsid w:val="2E981E9C"/>
    <w:rsid w:val="2F340FDE"/>
    <w:rsid w:val="2F380935"/>
    <w:rsid w:val="2F764DB6"/>
    <w:rsid w:val="2FEB7126"/>
    <w:rsid w:val="2FF55BDD"/>
    <w:rsid w:val="301A247A"/>
    <w:rsid w:val="303E28B8"/>
    <w:rsid w:val="30411133"/>
    <w:rsid w:val="30975AF0"/>
    <w:rsid w:val="31044CB4"/>
    <w:rsid w:val="310B4159"/>
    <w:rsid w:val="3124119B"/>
    <w:rsid w:val="31E56EB7"/>
    <w:rsid w:val="31FD0B42"/>
    <w:rsid w:val="320E1228"/>
    <w:rsid w:val="322C3887"/>
    <w:rsid w:val="324A3C9D"/>
    <w:rsid w:val="328B652D"/>
    <w:rsid w:val="32C835D1"/>
    <w:rsid w:val="336E7973"/>
    <w:rsid w:val="338E47B3"/>
    <w:rsid w:val="33CA0DB2"/>
    <w:rsid w:val="33F72DE4"/>
    <w:rsid w:val="34062E6A"/>
    <w:rsid w:val="346C1D52"/>
    <w:rsid w:val="346F0D89"/>
    <w:rsid w:val="34A207C1"/>
    <w:rsid w:val="34E12CFF"/>
    <w:rsid w:val="34F42B06"/>
    <w:rsid w:val="354822BC"/>
    <w:rsid w:val="35534BDC"/>
    <w:rsid w:val="3558650B"/>
    <w:rsid w:val="35EF7E40"/>
    <w:rsid w:val="35F12272"/>
    <w:rsid w:val="366D194B"/>
    <w:rsid w:val="369D0FC1"/>
    <w:rsid w:val="36C615A5"/>
    <w:rsid w:val="36D12C2C"/>
    <w:rsid w:val="371D6FD9"/>
    <w:rsid w:val="37483C4C"/>
    <w:rsid w:val="384A790F"/>
    <w:rsid w:val="387B4F8C"/>
    <w:rsid w:val="38864E8C"/>
    <w:rsid w:val="388D3FCE"/>
    <w:rsid w:val="38CD4EA3"/>
    <w:rsid w:val="38F70143"/>
    <w:rsid w:val="39117939"/>
    <w:rsid w:val="39120F21"/>
    <w:rsid w:val="3948295F"/>
    <w:rsid w:val="39620B20"/>
    <w:rsid w:val="39CB18FE"/>
    <w:rsid w:val="39E96DEE"/>
    <w:rsid w:val="3A033695"/>
    <w:rsid w:val="3A276CC2"/>
    <w:rsid w:val="3A900D23"/>
    <w:rsid w:val="3AE5521F"/>
    <w:rsid w:val="3AEA5829"/>
    <w:rsid w:val="3B0A6DFE"/>
    <w:rsid w:val="3B2972F2"/>
    <w:rsid w:val="3B3E7CE5"/>
    <w:rsid w:val="3B5219C7"/>
    <w:rsid w:val="3B99099E"/>
    <w:rsid w:val="3BCD5744"/>
    <w:rsid w:val="3BEA2322"/>
    <w:rsid w:val="3CB1737A"/>
    <w:rsid w:val="3CFA62DB"/>
    <w:rsid w:val="3D1435FB"/>
    <w:rsid w:val="3D482F61"/>
    <w:rsid w:val="3DC97ED9"/>
    <w:rsid w:val="3DFD3CE7"/>
    <w:rsid w:val="3E025B01"/>
    <w:rsid w:val="3E084F9E"/>
    <w:rsid w:val="3E1B5762"/>
    <w:rsid w:val="3E2C2599"/>
    <w:rsid w:val="3E41637D"/>
    <w:rsid w:val="3E4D4ED5"/>
    <w:rsid w:val="3E570A0A"/>
    <w:rsid w:val="3EBC69E3"/>
    <w:rsid w:val="3F2452BB"/>
    <w:rsid w:val="3F3F7379"/>
    <w:rsid w:val="3FD84BEE"/>
    <w:rsid w:val="400D0B88"/>
    <w:rsid w:val="404B0B9D"/>
    <w:rsid w:val="404E534C"/>
    <w:rsid w:val="40F208FB"/>
    <w:rsid w:val="40F54D98"/>
    <w:rsid w:val="414948DF"/>
    <w:rsid w:val="41B90D4D"/>
    <w:rsid w:val="41C13C6D"/>
    <w:rsid w:val="41CE21DC"/>
    <w:rsid w:val="42170604"/>
    <w:rsid w:val="422B5C32"/>
    <w:rsid w:val="42504E0A"/>
    <w:rsid w:val="426C0A74"/>
    <w:rsid w:val="42A47458"/>
    <w:rsid w:val="42D874AF"/>
    <w:rsid w:val="42FC048E"/>
    <w:rsid w:val="431C525A"/>
    <w:rsid w:val="43501EE4"/>
    <w:rsid w:val="43783023"/>
    <w:rsid w:val="438509D6"/>
    <w:rsid w:val="43CF0957"/>
    <w:rsid w:val="43EC3361"/>
    <w:rsid w:val="444B0274"/>
    <w:rsid w:val="447E5B94"/>
    <w:rsid w:val="4485415C"/>
    <w:rsid w:val="44CD1B07"/>
    <w:rsid w:val="45183163"/>
    <w:rsid w:val="45D858E4"/>
    <w:rsid w:val="46731545"/>
    <w:rsid w:val="4678116D"/>
    <w:rsid w:val="46B8443D"/>
    <w:rsid w:val="46DD104C"/>
    <w:rsid w:val="4729605A"/>
    <w:rsid w:val="47325E2A"/>
    <w:rsid w:val="4787265F"/>
    <w:rsid w:val="47B811D7"/>
    <w:rsid w:val="47C7617D"/>
    <w:rsid w:val="47CD3222"/>
    <w:rsid w:val="47D46FCC"/>
    <w:rsid w:val="483156B2"/>
    <w:rsid w:val="485423B2"/>
    <w:rsid w:val="48691409"/>
    <w:rsid w:val="487C2C65"/>
    <w:rsid w:val="48C43886"/>
    <w:rsid w:val="495160AE"/>
    <w:rsid w:val="497D3594"/>
    <w:rsid w:val="49B83978"/>
    <w:rsid w:val="49D84C9C"/>
    <w:rsid w:val="4A044DBA"/>
    <w:rsid w:val="4A0E689C"/>
    <w:rsid w:val="4A1E5BAE"/>
    <w:rsid w:val="4A3B4AE8"/>
    <w:rsid w:val="4A537B0C"/>
    <w:rsid w:val="4AD92266"/>
    <w:rsid w:val="4B6B0968"/>
    <w:rsid w:val="4B73121B"/>
    <w:rsid w:val="4B902879"/>
    <w:rsid w:val="4C2354EE"/>
    <w:rsid w:val="4C796F10"/>
    <w:rsid w:val="4C7B1B3A"/>
    <w:rsid w:val="4C7F3AF0"/>
    <w:rsid w:val="4C8907B9"/>
    <w:rsid w:val="4CAA4109"/>
    <w:rsid w:val="4D415AFF"/>
    <w:rsid w:val="4D60380D"/>
    <w:rsid w:val="4DDC5DBC"/>
    <w:rsid w:val="4E3D0D99"/>
    <w:rsid w:val="4E7A4E80"/>
    <w:rsid w:val="4E967231"/>
    <w:rsid w:val="4ECA4FC5"/>
    <w:rsid w:val="4F0F0E83"/>
    <w:rsid w:val="4F27103A"/>
    <w:rsid w:val="4F6D4CD5"/>
    <w:rsid w:val="4F735E17"/>
    <w:rsid w:val="4F7D16FD"/>
    <w:rsid w:val="4FFD24C8"/>
    <w:rsid w:val="5008326E"/>
    <w:rsid w:val="500E2D45"/>
    <w:rsid w:val="50123750"/>
    <w:rsid w:val="50416F42"/>
    <w:rsid w:val="50900D18"/>
    <w:rsid w:val="50A346C9"/>
    <w:rsid w:val="50ED0D5A"/>
    <w:rsid w:val="51A45834"/>
    <w:rsid w:val="51CB4641"/>
    <w:rsid w:val="51D22B11"/>
    <w:rsid w:val="5241573F"/>
    <w:rsid w:val="524F7588"/>
    <w:rsid w:val="5267589B"/>
    <w:rsid w:val="52A30E87"/>
    <w:rsid w:val="535D3B6F"/>
    <w:rsid w:val="53ED7F17"/>
    <w:rsid w:val="541A0CC8"/>
    <w:rsid w:val="542252BB"/>
    <w:rsid w:val="54230929"/>
    <w:rsid w:val="54346CD0"/>
    <w:rsid w:val="54400300"/>
    <w:rsid w:val="54841192"/>
    <w:rsid w:val="54877422"/>
    <w:rsid w:val="549E06E5"/>
    <w:rsid w:val="54B47053"/>
    <w:rsid w:val="54BA3CCC"/>
    <w:rsid w:val="54EC4892"/>
    <w:rsid w:val="55045E8B"/>
    <w:rsid w:val="55193717"/>
    <w:rsid w:val="55227CEA"/>
    <w:rsid w:val="55264FD3"/>
    <w:rsid w:val="556F73D7"/>
    <w:rsid w:val="558C520C"/>
    <w:rsid w:val="55A745EA"/>
    <w:rsid w:val="56023E9F"/>
    <w:rsid w:val="567B6159"/>
    <w:rsid w:val="568526A9"/>
    <w:rsid w:val="56BD3A1C"/>
    <w:rsid w:val="56C9432A"/>
    <w:rsid w:val="56D70808"/>
    <w:rsid w:val="56E13D25"/>
    <w:rsid w:val="56E6159F"/>
    <w:rsid w:val="576E5F7F"/>
    <w:rsid w:val="58385580"/>
    <w:rsid w:val="5845183E"/>
    <w:rsid w:val="585C5229"/>
    <w:rsid w:val="58E06FCD"/>
    <w:rsid w:val="59153D40"/>
    <w:rsid w:val="599E7718"/>
    <w:rsid w:val="5A1676BD"/>
    <w:rsid w:val="5A8C2B1F"/>
    <w:rsid w:val="5A9A7E64"/>
    <w:rsid w:val="5AD031AC"/>
    <w:rsid w:val="5B1E747E"/>
    <w:rsid w:val="5B5E2F44"/>
    <w:rsid w:val="5B76435F"/>
    <w:rsid w:val="5BAA09C0"/>
    <w:rsid w:val="5BFA573E"/>
    <w:rsid w:val="5BFC5580"/>
    <w:rsid w:val="5C1276AB"/>
    <w:rsid w:val="5C667C8C"/>
    <w:rsid w:val="5C9639DC"/>
    <w:rsid w:val="5D4D4750"/>
    <w:rsid w:val="5D70145D"/>
    <w:rsid w:val="5D7728EC"/>
    <w:rsid w:val="5D947106"/>
    <w:rsid w:val="5DE81729"/>
    <w:rsid w:val="5DF91975"/>
    <w:rsid w:val="5E57587E"/>
    <w:rsid w:val="5E596E15"/>
    <w:rsid w:val="5E6F5AFD"/>
    <w:rsid w:val="5E7A68DA"/>
    <w:rsid w:val="5E877E28"/>
    <w:rsid w:val="5EA410AB"/>
    <w:rsid w:val="5F18350A"/>
    <w:rsid w:val="5F1E28C0"/>
    <w:rsid w:val="5F5A7EE6"/>
    <w:rsid w:val="5FCC674D"/>
    <w:rsid w:val="5FFC1AF8"/>
    <w:rsid w:val="601137B2"/>
    <w:rsid w:val="604478F1"/>
    <w:rsid w:val="60B7706F"/>
    <w:rsid w:val="60B868B7"/>
    <w:rsid w:val="61172B4E"/>
    <w:rsid w:val="61203697"/>
    <w:rsid w:val="612B6BBA"/>
    <w:rsid w:val="61394714"/>
    <w:rsid w:val="6148553F"/>
    <w:rsid w:val="615158C2"/>
    <w:rsid w:val="61966DA3"/>
    <w:rsid w:val="61E877AA"/>
    <w:rsid w:val="62302530"/>
    <w:rsid w:val="6233430F"/>
    <w:rsid w:val="624C72D9"/>
    <w:rsid w:val="62C2329B"/>
    <w:rsid w:val="62F222D8"/>
    <w:rsid w:val="62FB16F9"/>
    <w:rsid w:val="6308156B"/>
    <w:rsid w:val="63331862"/>
    <w:rsid w:val="63503B65"/>
    <w:rsid w:val="63544ABA"/>
    <w:rsid w:val="63C45D02"/>
    <w:rsid w:val="63D46866"/>
    <w:rsid w:val="63E02455"/>
    <w:rsid w:val="63E54B11"/>
    <w:rsid w:val="63EB4F1F"/>
    <w:rsid w:val="63EC09BF"/>
    <w:rsid w:val="6414223A"/>
    <w:rsid w:val="642B3356"/>
    <w:rsid w:val="646567EA"/>
    <w:rsid w:val="647665C5"/>
    <w:rsid w:val="64E52C60"/>
    <w:rsid w:val="64F96DFC"/>
    <w:rsid w:val="65141C36"/>
    <w:rsid w:val="65603958"/>
    <w:rsid w:val="65996DF3"/>
    <w:rsid w:val="65EE7673"/>
    <w:rsid w:val="65FE65A7"/>
    <w:rsid w:val="66110F23"/>
    <w:rsid w:val="662E29FA"/>
    <w:rsid w:val="66366468"/>
    <w:rsid w:val="663C5321"/>
    <w:rsid w:val="664221EF"/>
    <w:rsid w:val="66F02857"/>
    <w:rsid w:val="67014FAE"/>
    <w:rsid w:val="67A1163B"/>
    <w:rsid w:val="67F03142"/>
    <w:rsid w:val="680C431A"/>
    <w:rsid w:val="68673620"/>
    <w:rsid w:val="68BB4B23"/>
    <w:rsid w:val="68D227B9"/>
    <w:rsid w:val="69DD1931"/>
    <w:rsid w:val="6A2A405C"/>
    <w:rsid w:val="6A3C1E61"/>
    <w:rsid w:val="6A4322DF"/>
    <w:rsid w:val="6A7B2EC0"/>
    <w:rsid w:val="6C7D73EC"/>
    <w:rsid w:val="6C7F625D"/>
    <w:rsid w:val="6C982916"/>
    <w:rsid w:val="6CEB3B06"/>
    <w:rsid w:val="6D230485"/>
    <w:rsid w:val="6D36109B"/>
    <w:rsid w:val="6D3B3538"/>
    <w:rsid w:val="6D6E15C7"/>
    <w:rsid w:val="6DBF41D5"/>
    <w:rsid w:val="6DC6542F"/>
    <w:rsid w:val="6E260B26"/>
    <w:rsid w:val="6E4863C5"/>
    <w:rsid w:val="6E7C431B"/>
    <w:rsid w:val="6ED10AFF"/>
    <w:rsid w:val="6EDC2812"/>
    <w:rsid w:val="6F4326BA"/>
    <w:rsid w:val="6FDE6571"/>
    <w:rsid w:val="6FEE1564"/>
    <w:rsid w:val="6FF0374A"/>
    <w:rsid w:val="70013DCF"/>
    <w:rsid w:val="70172471"/>
    <w:rsid w:val="707443E9"/>
    <w:rsid w:val="7079327C"/>
    <w:rsid w:val="708846A4"/>
    <w:rsid w:val="70D66B0D"/>
    <w:rsid w:val="70EF3884"/>
    <w:rsid w:val="71095098"/>
    <w:rsid w:val="71442780"/>
    <w:rsid w:val="71AF055F"/>
    <w:rsid w:val="71DC7784"/>
    <w:rsid w:val="71E909FE"/>
    <w:rsid w:val="720F0409"/>
    <w:rsid w:val="728C3D8C"/>
    <w:rsid w:val="72D43CBB"/>
    <w:rsid w:val="72F4397D"/>
    <w:rsid w:val="73060F4D"/>
    <w:rsid w:val="73247154"/>
    <w:rsid w:val="7360547C"/>
    <w:rsid w:val="73A155B5"/>
    <w:rsid w:val="749169C0"/>
    <w:rsid w:val="74924261"/>
    <w:rsid w:val="74DF738D"/>
    <w:rsid w:val="7503007B"/>
    <w:rsid w:val="757F7FB3"/>
    <w:rsid w:val="75AE3FF8"/>
    <w:rsid w:val="7615135C"/>
    <w:rsid w:val="7637265E"/>
    <w:rsid w:val="7685098F"/>
    <w:rsid w:val="7701317E"/>
    <w:rsid w:val="771232C3"/>
    <w:rsid w:val="77563AC4"/>
    <w:rsid w:val="77565BBC"/>
    <w:rsid w:val="776B23F5"/>
    <w:rsid w:val="780952DA"/>
    <w:rsid w:val="781A52CF"/>
    <w:rsid w:val="786B438C"/>
    <w:rsid w:val="789018B0"/>
    <w:rsid w:val="78D16CB1"/>
    <w:rsid w:val="78D96C1D"/>
    <w:rsid w:val="78FF49BD"/>
    <w:rsid w:val="79593BA8"/>
    <w:rsid w:val="798F5025"/>
    <w:rsid w:val="799067D4"/>
    <w:rsid w:val="79A10D48"/>
    <w:rsid w:val="79FB6B71"/>
    <w:rsid w:val="79FF5A4E"/>
    <w:rsid w:val="7A052D69"/>
    <w:rsid w:val="7A900306"/>
    <w:rsid w:val="7ABC6426"/>
    <w:rsid w:val="7AE2066A"/>
    <w:rsid w:val="7B8B77BB"/>
    <w:rsid w:val="7B8C3620"/>
    <w:rsid w:val="7BF573DD"/>
    <w:rsid w:val="7C5F57A0"/>
    <w:rsid w:val="7C6B636C"/>
    <w:rsid w:val="7C8C7CEA"/>
    <w:rsid w:val="7D051A93"/>
    <w:rsid w:val="7D3D0D01"/>
    <w:rsid w:val="7D941217"/>
    <w:rsid w:val="7DA423B6"/>
    <w:rsid w:val="7E483B9A"/>
    <w:rsid w:val="7E835736"/>
    <w:rsid w:val="7EB071AA"/>
    <w:rsid w:val="7EDE42A5"/>
    <w:rsid w:val="7F072ED4"/>
    <w:rsid w:val="7F29352E"/>
    <w:rsid w:val="7F447AD0"/>
    <w:rsid w:val="7F6342C4"/>
    <w:rsid w:val="7F7A5E39"/>
    <w:rsid w:val="7F8A3DE1"/>
    <w:rsid w:val="7FD9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20"/>
    <w:semiHidden/>
    <w:qFormat/>
    <w:uiPriority w:val="0"/>
    <w:rPr>
      <w:sz w:val="18"/>
      <w:szCs w:val="18"/>
    </w:rPr>
  </w:style>
  <w:style w:type="paragraph" w:styleId="4">
    <w:name w:val="footer"/>
    <w:basedOn w:val="1"/>
    <w:link w:val="21"/>
    <w:qFormat/>
    <w:uiPriority w:val="99"/>
    <w:pPr>
      <w:tabs>
        <w:tab w:val="center" w:pos="4153"/>
        <w:tab w:val="right" w:pos="8306"/>
      </w:tabs>
      <w:snapToGrid w:val="0"/>
      <w:jc w:val="left"/>
    </w:pPr>
    <w:rPr>
      <w:rFonts w:eastAsia="黑体"/>
      <w:snapToGrid w:val="0"/>
      <w:kern w:val="0"/>
      <w:sz w:val="18"/>
      <w:szCs w:val="18"/>
    </w:rPr>
  </w:style>
  <w:style w:type="paragraph" w:styleId="5">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23"/>
    <w:qFormat/>
    <w:uiPriority w:val="0"/>
    <w:pPr>
      <w:pBdr>
        <w:top w:val="single" w:color="auto" w:sz="12" w:space="1"/>
        <w:bottom w:val="single" w:color="auto" w:sz="12" w:space="1"/>
      </w:pBdr>
      <w:spacing w:line="600" w:lineRule="exact"/>
      <w:ind w:left="1280" w:hanging="1280" w:hangingChars="400"/>
    </w:pPr>
    <w:rPr>
      <w:rFonts w:eastAsia="仿宋_GB2312"/>
      <w:sz w:val="32"/>
      <w:szCs w:val="24"/>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qFormat/>
    <w:uiPriority w:val="0"/>
    <w:rPr>
      <w:rFonts w:cs="Times New Roman"/>
      <w:b/>
      <w:bCs/>
    </w:rPr>
  </w:style>
  <w:style w:type="character" w:styleId="13">
    <w:name w:val="page number"/>
    <w:qFormat/>
    <w:uiPriority w:val="0"/>
  </w:style>
  <w:style w:type="character" w:styleId="14">
    <w:name w:val="annotation reference"/>
    <w:basedOn w:val="11"/>
    <w:semiHidden/>
    <w:unhideWhenUsed/>
    <w:qFormat/>
    <w:uiPriority w:val="99"/>
    <w:rPr>
      <w:sz w:val="21"/>
      <w:szCs w:val="21"/>
    </w:rPr>
  </w:style>
  <w:style w:type="paragraph" w:customStyle="1" w:styleId="15">
    <w:name w:val="普通(网站)1"/>
    <w:basedOn w:val="1"/>
    <w:qFormat/>
    <w:uiPriority w:val="0"/>
    <w:rPr>
      <w:rFonts w:cs="黑体"/>
      <w:sz w:val="24"/>
      <w:szCs w:val="24"/>
    </w:rPr>
  </w:style>
  <w:style w:type="paragraph" w:customStyle="1" w:styleId="1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17">
    <w:name w:val="List Paragraph"/>
    <w:basedOn w:val="1"/>
    <w:qFormat/>
    <w:uiPriority w:val="34"/>
    <w:pPr>
      <w:ind w:firstLine="420" w:firstLineChars="200"/>
    </w:pPr>
  </w:style>
  <w:style w:type="paragraph" w:customStyle="1" w:styleId="18">
    <w:name w:val="普通(网站)2"/>
    <w:basedOn w:val="1"/>
    <w:qFormat/>
    <w:uiPriority w:val="0"/>
    <w:rPr>
      <w:rFonts w:cs="黑体"/>
      <w:sz w:val="24"/>
      <w:szCs w:val="24"/>
    </w:rPr>
  </w:style>
  <w:style w:type="paragraph" w:customStyle="1" w:styleId="19">
    <w:name w:val="普通(网站)3"/>
    <w:basedOn w:val="1"/>
    <w:qFormat/>
    <w:uiPriority w:val="0"/>
    <w:rPr>
      <w:rFonts w:cs="黑体"/>
      <w:sz w:val="24"/>
      <w:szCs w:val="24"/>
    </w:rPr>
  </w:style>
  <w:style w:type="character" w:customStyle="1" w:styleId="20">
    <w:name w:val="批注框文本 Char"/>
    <w:link w:val="3"/>
    <w:semiHidden/>
    <w:qFormat/>
    <w:uiPriority w:val="0"/>
    <w:rPr>
      <w:rFonts w:ascii="Times New Roman" w:hAnsi="Times New Roman"/>
      <w:kern w:val="2"/>
      <w:sz w:val="18"/>
      <w:szCs w:val="18"/>
    </w:rPr>
  </w:style>
  <w:style w:type="character" w:customStyle="1" w:styleId="21">
    <w:name w:val="页脚 Char"/>
    <w:link w:val="4"/>
    <w:qFormat/>
    <w:uiPriority w:val="99"/>
    <w:rPr>
      <w:rFonts w:ascii="Times New Roman" w:hAnsi="Times New Roman" w:eastAsia="黑体"/>
      <w:snapToGrid/>
      <w:sz w:val="18"/>
      <w:szCs w:val="18"/>
    </w:rPr>
  </w:style>
  <w:style w:type="character" w:customStyle="1" w:styleId="22">
    <w:name w:val="页眉 Char"/>
    <w:link w:val="5"/>
    <w:qFormat/>
    <w:uiPriority w:val="0"/>
    <w:rPr>
      <w:rFonts w:ascii="Times New Roman" w:hAnsi="Times New Roman"/>
      <w:kern w:val="2"/>
      <w:sz w:val="18"/>
      <w:szCs w:val="18"/>
    </w:rPr>
  </w:style>
  <w:style w:type="character" w:customStyle="1" w:styleId="23">
    <w:name w:val="正文文本缩进 3 Char"/>
    <w:link w:val="6"/>
    <w:qFormat/>
    <w:uiPriority w:val="0"/>
    <w:rPr>
      <w:rFonts w:ascii="Times New Roman" w:hAnsi="Times New Roman" w:eastAsia="仿宋_GB2312"/>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1695</Words>
  <Characters>9663</Characters>
  <Lines>80</Lines>
  <Paragraphs>22</Paragraphs>
  <TotalTime>85</TotalTime>
  <ScaleCrop>false</ScaleCrop>
  <LinksUpToDate>false</LinksUpToDate>
  <CharactersWithSpaces>11336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2020-01-13T09:00:00Z</dcterms:created>
  <dc:creator>冯晓婷</dc:creator>
  <cp:lastModifiedBy>Administrator</cp:lastModifiedBy>
  <dcterms:modified xsi:type="dcterms:W3CDTF">2022-05-12T04:17:04Z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1FBBA04026D148C6BCFE334BE2558FC4</vt:lpwstr>
  </property>
</Properties>
</file>