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新疆维吾尔自治区伊犁州霍城县统计局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2021年部门预算公开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500" w:lineRule="exact"/>
        <w:ind w:firstLine="3600" w:firstLineChars="1000"/>
        <w:jc w:val="left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50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562" w:firstLineChars="200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第一部分  新疆伊犁州霍城县统计局概况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一、主要职能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二、机构设置及人员情况</w:t>
      </w:r>
    </w:p>
    <w:p>
      <w:pPr>
        <w:widowControl/>
        <w:spacing w:line="460" w:lineRule="exact"/>
        <w:ind w:firstLine="562" w:firstLineChars="200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第二部分  2021年部门预算公开表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一、部门收支总体情况表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二、部门收入总体情况表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三、部门支出总体情况表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四、财政拨款收支总体情况表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五、一般公共预算支出情况表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六、一般公共预算基本支出情况表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七、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项目支出情况表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八、一般公共预算“三公”经费支出情况表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九、政府性基金预算支出情况表</w:t>
      </w:r>
    </w:p>
    <w:p>
      <w:pPr>
        <w:widowControl/>
        <w:spacing w:line="460" w:lineRule="exact"/>
        <w:ind w:firstLine="562" w:firstLineChars="200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第三部分  2021年部门预算情况说明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一、关于新疆伊犁州霍城县统计局2021年收支预算情况的总体说明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二、关于新疆伊犁州霍城县统计局2021年收入预算情况说明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三、关于新疆伊犁州霍城县统计局2021年支出预算情况说明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四、关于新疆伊犁州霍城县统计局2021年财政拨款收支预算情况的总体说明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五、关于新疆伊犁州霍城县统计局2021年一般公共预算当年拨款情况说明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六、关于新疆伊犁州霍城县统计局2021年一般公共预算基本支出情况说明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七、关于新疆伊犁州霍城县统计局2021年项目支出情况说明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八、关于新疆伊犁州霍城县统计局2021年一般公共预算“三公”经费预算情况说明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九、关于新疆伊犁州霍城县统计局2021年政府性基金预算拨款情况说明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十、其他重要事项的情况说明</w:t>
      </w:r>
    </w:p>
    <w:p>
      <w:pPr>
        <w:widowControl/>
        <w:spacing w:line="460" w:lineRule="exact"/>
        <w:ind w:firstLine="562" w:firstLineChars="200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第四部分  名词解释</w:t>
      </w:r>
    </w:p>
    <w:p>
      <w:pPr>
        <w:widowControl/>
        <w:spacing w:line="460" w:lineRule="exact"/>
        <w:ind w:firstLine="562" w:firstLineChars="200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新疆伊犁州霍城县统计局概况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依照《中华人民共和国统计法》负责管理全县的统计工作和协调指导县直各部门统计业务，并完成全县辖区内的国民经济核算工作。贯彻国家和自治区颁布实施的统计法规、统计工作规章制度，并监督检查全县各乡、镇，各部门，企事业单位和驻县各调管单位的统计法律、法规的执行情况。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新疆伊犁州霍城县统计局无下属预算单位，下设0个科室，分别是：无。新疆伊犁州霍城县统计局编制数11，实有人数12人，其中：在职12人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增加0人；退休0人，增加0人；离休0人，增加0人。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2021年部门预算公开表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</w:t>
      </w:r>
    </w:p>
    <w:tbl>
      <w:tblPr>
        <w:tblStyle w:val="9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197"/>
        <w:gridCol w:w="49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157.36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121.08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157.36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15.60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9.27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11.41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224 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230 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收 入 总 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157.36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支 出 合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157.36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9"/>
        <w:tblpPr w:leftFromText="180" w:rightFromText="180" w:vertAnchor="text" w:horzAnchor="page" w:tblpX="1634" w:tblpY="409"/>
        <w:tblOverlap w:val="never"/>
        <w:tblW w:w="89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50"/>
        <w:gridCol w:w="409"/>
        <w:gridCol w:w="1991"/>
        <w:gridCol w:w="82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60" w:type="dxa"/>
          <w:trHeight w:val="510" w:hRule="atLeast"/>
        </w:trPr>
        <w:tc>
          <w:tcPr>
            <w:tcW w:w="761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行政运行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121.08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行政单位离退休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0.39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15.21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15.21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9.27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住房公积金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11.41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11.41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</w:t>
      </w:r>
    </w:p>
    <w:tbl>
      <w:tblPr>
        <w:tblStyle w:val="9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409"/>
        <w:gridCol w:w="422"/>
        <w:gridCol w:w="2461"/>
        <w:gridCol w:w="1855"/>
        <w:gridCol w:w="952"/>
        <w:gridCol w:w="904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1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121.08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121.08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行政单位离退休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行政单位医疗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住房公积金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157.36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157.36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       </w:t>
      </w:r>
    </w:p>
    <w:tbl>
      <w:tblPr>
        <w:tblStyle w:val="9"/>
        <w:tblW w:w="9264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912"/>
        <w:gridCol w:w="2028"/>
        <w:gridCol w:w="1332"/>
        <w:gridCol w:w="632"/>
        <w:gridCol w:w="520"/>
        <w:gridCol w:w="1416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财政拨款（补助）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 一般公共服务支出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121.08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121.08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一般公共预算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 外交支出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政府性基金预算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203 国防支出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国有资本经营预算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204 公共安全支出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205 教育支出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206 科学技术支出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207 文化旅游体育与传媒支出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 社会保障和就业支出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15.60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15.60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209 社会保险基金支出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 卫生健康支出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9.27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211 节能环保支出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212 城乡社区支出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213 农林水支出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214 交通运输支出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215 资源勘探工业信息等支出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 商业服务业等支出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217 金融支出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219 援助其他地区支出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 自然资源海洋气象等支出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221 住房保障支出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11.41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11.41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222 粮油物资储备支出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223 国有资本经营预算支出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224 灾害防治及应急管理支出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227 预备费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229 其他支出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230 转移性支出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231 债务还本支出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232 债务付息支出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233 债务发行费用支出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 抗疫特别国债还本支出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 入 总 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 出 总 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157.36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一般公共预算支出情况表</w:t>
      </w:r>
    </w:p>
    <w:tbl>
      <w:tblPr>
        <w:tblStyle w:val="9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929"/>
        <w:gridCol w:w="91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行政运行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121.08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121.08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行政单位离退休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行政单位医疗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住房公积金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157.36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一般公共预算基本支出情况表</w:t>
      </w:r>
    </w:p>
    <w:tbl>
      <w:tblPr>
        <w:tblStyle w:val="9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850"/>
        <w:gridCol w:w="85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49.47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49.47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43.03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绩效工资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职工基本医疗保险缴费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2.16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157.36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151.36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6.00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项目支出情况表</w:t>
      </w:r>
    </w:p>
    <w:tbl>
      <w:tblPr>
        <w:tblStyle w:val="9"/>
        <w:tblW w:w="954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95"/>
        <w:gridCol w:w="382"/>
        <w:gridCol w:w="741"/>
        <w:gridCol w:w="1456"/>
        <w:gridCol w:w="750"/>
        <w:gridCol w:w="569"/>
        <w:gridCol w:w="536"/>
        <w:gridCol w:w="652"/>
        <w:gridCol w:w="652"/>
        <w:gridCol w:w="578"/>
        <w:gridCol w:w="419"/>
        <w:gridCol w:w="578"/>
        <w:gridCol w:w="420"/>
        <w:gridCol w:w="4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填报部门：新疆伊犁州霍城县统计局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4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75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468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</w:rPr>
        <w:t>备注:我单位未安排项目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</w:t>
      </w:r>
    </w:p>
    <w:tbl>
      <w:tblPr>
        <w:tblStyle w:val="9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编制单位：新疆伊犁州霍城县统计局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　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　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</w:t>
      </w:r>
    </w:p>
    <w:tbl>
      <w:tblPr>
        <w:tblStyle w:val="9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850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编制单位：新疆伊犁州霍城县统计局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</w:rPr>
        <w:t>备注:我单位未安排政府性基金预算支出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2021年部门预算情况说明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关于新疆伊犁州霍城县统计局2021年收支预算情况的总体说明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2021年所有收入和支出均纳入部门预算管理。收支总预算157.36万元。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收入预算包括：一般公共预算收入157.36万元。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支出预算包括：一般公共服务支出121.08万元、社会保障和就业支出15.60万元、卫生健康支出9.27万元、住房保障支出11.41万元。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二、关于新疆伊犁州霍城县统计局2021年收入预算情况说明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收入预算157.36万元，其中：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一般公共预算157.36万元，占100%，比上年预算增加9.90万元。主要原因是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本年人员工资、社保等均有上调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政府性基金预算未安排。 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国有资本经营预算未安排。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三、关于新疆伊犁州霍城县统计局2021年支出预算情况说明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单位2021年支出预算157.36万元，其中：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基本支出157.36万元，占100%，比上年预算增加9.90万元。主要原因是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本年人员工资、社保等均有上调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项目支出0.00万元，占0%，比上年预算增加0.00万元。主要原因是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本单位无项目支出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四、关于新疆伊犁州霍城县统计局2021年财政拨款收支预算情况的总体说明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2021年财政拨款收支总预算157.36万元。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收入全部为一般公共预算拨款，无政府性基金预算拨款和国有资本经营预算。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收入预算包括：一般公共预算拨款157.36万元。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一般公共预算支出包括：一般公共服务支出157.36万元。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1、一般公共服务支出(类)，主要用于统计信息事务(款)121.08万元。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2、社会保障和就业支出(类)，主要用于行政事业单位养老支出(款)15.60万元。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3、卫生健康支出(类)，主要用于行政事业单位医疗(款)9.27万元。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4、住房保障支出(类)，主要用于住房改革支出(款)11.41万元。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五、关于新疆伊犁州霍城县统计局2021年一般公共预算当年拨款情况说明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2021年一般公共预算拨款合计157.36  万元，其中：基本支出157.36万元，比上年预算增加9.90万元，增长6.71%。主要原因是：本年人员工资、社保等均有上调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项目支出0.00万元，占0%，比上年预算增加0.00万元。主要原因是：2021年我单位未安排项目预算。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1、一般公共服务支出（类）：121.08万元，占76.94%；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2、社会保障和就业支出（类）：15.60万元，占9.91%；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3、卫生健康支出（类）：9.27万元，占5.89%；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4、住房保障支出（类）：11.41万元，占7.25%；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1、一般公共服务支出(类)统计信息事务(款)行政运行(项):2021年预算数为121.08万元，比上年预算增加11.87万元，增长10.87%，主要原因是：本年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，专项经费增加。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2、社会保障和就业支出(类)行政事业单位养老支出(款)行政单位离退休(项):2021年预算数为0.39万元，比上年预算增加0.00万元，增长0%，主要原因是：我单位严格执行预算。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3、社会保障和就业支出(类)行政事业单位养老支出(款)机关事业单位基本养老保险缴费支出(项):2021年预算数为15.21万元，比上年预算减少0.90万元，降低5.58%，主要原因是：2019年12月底调出一人。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4、卫生健康支出(类)行政事业单位医疗(款)行政单位医疗(项):2021年预算数为9.27万元，比上年预算减少0.40万元，降低4.15%，主要原因是：2019年12月底调出一人。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5、住房保障支出(类)住房改革支出(款)住房公积金(项):2021年预算数为11.41万元，比上年预算减少0.67万元，降低5.58%，主要原因是：2019年12月底调出一人。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六、关于新疆伊犁州霍城县统计局2021年一般公共预算基本支出情况说明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2021年一般公共预算基本支出157.36万元，其中：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人员经费151.36万元,主要包括:基本工资49.47万元、津贴补贴43.03万元、奖金4.12万元、绩效工资18万元、机关事业单位基本养老保险缴费15.21万元、职工基本医疗保险缴费9.27万元、住房公积金11.41万元、退休费0.39万元、生活补助0.44万元、奖励金0.01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2、公用经费6万元,主要包括:办公费2.16万元、邮电费0.24万元、差旅费0.36万元、培训费0.84万元、工会经费1.4万元、公务用车运行维护费1万元。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七、关于新疆伊犁州霍城县统计局2021年项目支出情况说明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我单位无项目支出情况。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八、关于新疆伊犁州霍城县统计局2021年一般公共预算“三公”经费预算情况说明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2021年“三公”经费财政拨款预算数为1.00万元，其中：因公出国（境）费0.00万元，公务用车购置0.00万元，公务用车运行费1.00万元，公务接待费0.00万元。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2021年“三公”经费财政拨款预算比上年增加0.00万元。其中：因公出国（境）费增加0.00万元,主要原因是：2021年我单位因公出国（境）费0.00万元,未安排预算。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公务用车购置费增加0.00万元,主要原因是：2021年我单位公务用车购置费0.00万元,未安排预算。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公务用车运行费增加0.00万元,主要原因是：严格控制公务用车运行费。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公务接待费增加0.00万元,主要原因是：2021年我单位公务接待费0.00万元,未安排预算。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九、关于新疆伊犁州霍城县统计局2021年政府性基金预算拨款情况说明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2021年没有使用政府性基金预算拨款安排的支出，政府性基金预算支出情况表为空表。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（一）机关运行经费情况</w:t>
      </w:r>
    </w:p>
    <w:p>
      <w:pPr>
        <w:widowControl/>
        <w:spacing w:line="580" w:lineRule="exact"/>
        <w:ind w:firstLine="642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2021年，新疆伊犁州霍城县统计局本级及下属0家行政单位和0家事业单位的机关运行经费财政拨款预算6.00万元，比上年预算减少0.38万元，降低5.97%。主要原因是：严格控制预算支出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政府采购情况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及下属单位政府采购预算0万元，其中：政府采购货物预算0万元，政府采购工程预算0万元，政府采购服务预算0万元。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80" w:lineRule="exact"/>
        <w:ind w:firstLine="640"/>
        <w:jc w:val="left"/>
        <w:rPr>
          <w:rStyle w:val="1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截至2020年底，新疆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伊犁州霍城县统计局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widowControl/>
        <w:spacing w:line="580" w:lineRule="exact"/>
        <w:ind w:firstLine="640"/>
        <w:jc w:val="left"/>
        <w:rPr>
          <w:rStyle w:val="1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2.车辆1辆，价值169786万元；其中：一般公务用车1辆，价值169786万元；执法执勤用车0辆，价值0万元；其他车辆0辆，价值0万元。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3.办公家具价值57761万元。</w:t>
      </w:r>
    </w:p>
    <w:p>
      <w:pPr>
        <w:widowControl/>
        <w:spacing w:line="580" w:lineRule="exact"/>
        <w:ind w:firstLine="640"/>
        <w:jc w:val="left"/>
        <w:rPr>
          <w:rStyle w:val="1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4.其他资产价值1472827.22万元。</w:t>
      </w:r>
    </w:p>
    <w:p>
      <w:pPr>
        <w:widowControl/>
        <w:spacing w:line="580" w:lineRule="exact"/>
        <w:ind w:firstLine="640"/>
        <w:jc w:val="left"/>
        <w:rPr>
          <w:rStyle w:val="1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80" w:lineRule="exact"/>
        <w:ind w:firstLine="640"/>
        <w:jc w:val="left"/>
        <w:rPr>
          <w:rStyle w:val="1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2021年度，本年度实行绩效管理的项目0个，涉及预算金额0万元。具体情况见下表（按项目分别填报）：</w:t>
      </w:r>
    </w:p>
    <w:p>
      <w:pPr>
        <w:pStyle w:val="7"/>
        <w:widowControl/>
        <w:rPr>
          <w:rFonts w:hint="default" w:ascii="仿宋_GB2312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新疆伊犁州霍城县统计局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32"/>
          <w:cols w:space="720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我单位无其他需说明事项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一、财政拨款：指由一般公共预算、政府性基金预算安排的财政拨款数。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二、一般公共预算：包括公共财政拨款（补助）资金、专项收入。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三、基本支出：包括人员经费、商品和服务支出（定额）。其中，人员经费包括工资福利支出、对个人和家庭的补助。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“三公”经费：指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220"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A4D98"/>
    <w:multiLevelType w:val="singleLevel"/>
    <w:tmpl w:val="2B8A4D98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055DC3"/>
    <w:multiLevelType w:val="singleLevel"/>
    <w:tmpl w:val="32055D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C5A7C"/>
    <w:rsid w:val="002408C8"/>
    <w:rsid w:val="00333FA4"/>
    <w:rsid w:val="004C6169"/>
    <w:rsid w:val="007B3B66"/>
    <w:rsid w:val="0094647A"/>
    <w:rsid w:val="009D08F4"/>
    <w:rsid w:val="009F043F"/>
    <w:rsid w:val="00C158C1"/>
    <w:rsid w:val="00D07E91"/>
    <w:rsid w:val="00D510AA"/>
    <w:rsid w:val="00EB6CE6"/>
    <w:rsid w:val="00FA2352"/>
    <w:rsid w:val="014D7D47"/>
    <w:rsid w:val="016E22A5"/>
    <w:rsid w:val="01D50226"/>
    <w:rsid w:val="01F92520"/>
    <w:rsid w:val="01FC495B"/>
    <w:rsid w:val="02550257"/>
    <w:rsid w:val="02F804CF"/>
    <w:rsid w:val="036652B4"/>
    <w:rsid w:val="03CE0B60"/>
    <w:rsid w:val="04052C7B"/>
    <w:rsid w:val="044B7619"/>
    <w:rsid w:val="04656AE3"/>
    <w:rsid w:val="04681C96"/>
    <w:rsid w:val="055057A5"/>
    <w:rsid w:val="05CB26C1"/>
    <w:rsid w:val="064533BA"/>
    <w:rsid w:val="07460C09"/>
    <w:rsid w:val="078E5694"/>
    <w:rsid w:val="07A9333D"/>
    <w:rsid w:val="080C5FAF"/>
    <w:rsid w:val="086E3F57"/>
    <w:rsid w:val="09425552"/>
    <w:rsid w:val="09901BC3"/>
    <w:rsid w:val="0A072B74"/>
    <w:rsid w:val="0A302809"/>
    <w:rsid w:val="0A646436"/>
    <w:rsid w:val="0AED6872"/>
    <w:rsid w:val="0B4C4D05"/>
    <w:rsid w:val="0B805F87"/>
    <w:rsid w:val="0C203896"/>
    <w:rsid w:val="0C6208C8"/>
    <w:rsid w:val="0C6617F8"/>
    <w:rsid w:val="0CBD2B4D"/>
    <w:rsid w:val="0E142F7F"/>
    <w:rsid w:val="0E174B89"/>
    <w:rsid w:val="0E424430"/>
    <w:rsid w:val="0EC27CEE"/>
    <w:rsid w:val="0F1434C3"/>
    <w:rsid w:val="0F290129"/>
    <w:rsid w:val="0FE81A88"/>
    <w:rsid w:val="10107F0B"/>
    <w:rsid w:val="106D61C5"/>
    <w:rsid w:val="10BD7ADD"/>
    <w:rsid w:val="11124C19"/>
    <w:rsid w:val="12CD4E75"/>
    <w:rsid w:val="137F01BA"/>
    <w:rsid w:val="13D07304"/>
    <w:rsid w:val="14802C1D"/>
    <w:rsid w:val="14DC0A4B"/>
    <w:rsid w:val="14ED1BDC"/>
    <w:rsid w:val="15B427F7"/>
    <w:rsid w:val="15FB658A"/>
    <w:rsid w:val="16300492"/>
    <w:rsid w:val="165A6FA2"/>
    <w:rsid w:val="1682703F"/>
    <w:rsid w:val="16BB1C8C"/>
    <w:rsid w:val="17145065"/>
    <w:rsid w:val="173236A5"/>
    <w:rsid w:val="176F0139"/>
    <w:rsid w:val="1771456D"/>
    <w:rsid w:val="17B032F3"/>
    <w:rsid w:val="183A2417"/>
    <w:rsid w:val="186E5FEB"/>
    <w:rsid w:val="18BA44FA"/>
    <w:rsid w:val="197D124A"/>
    <w:rsid w:val="19ED2162"/>
    <w:rsid w:val="1A4B0F57"/>
    <w:rsid w:val="1B1A0247"/>
    <w:rsid w:val="1B8A7665"/>
    <w:rsid w:val="1C1500FF"/>
    <w:rsid w:val="1C2B707C"/>
    <w:rsid w:val="1C2E6573"/>
    <w:rsid w:val="1CD463FE"/>
    <w:rsid w:val="1D346F11"/>
    <w:rsid w:val="1DB7354D"/>
    <w:rsid w:val="1DBF0B95"/>
    <w:rsid w:val="1E1F6731"/>
    <w:rsid w:val="1E5537EA"/>
    <w:rsid w:val="1E951454"/>
    <w:rsid w:val="1E9F3F33"/>
    <w:rsid w:val="1F1B7E0A"/>
    <w:rsid w:val="1F387FE9"/>
    <w:rsid w:val="20111059"/>
    <w:rsid w:val="2011335B"/>
    <w:rsid w:val="20772873"/>
    <w:rsid w:val="20B717FC"/>
    <w:rsid w:val="20C46AB9"/>
    <w:rsid w:val="211063EB"/>
    <w:rsid w:val="21712D78"/>
    <w:rsid w:val="21C43973"/>
    <w:rsid w:val="21CF135D"/>
    <w:rsid w:val="21F72919"/>
    <w:rsid w:val="229415F7"/>
    <w:rsid w:val="23773168"/>
    <w:rsid w:val="24682743"/>
    <w:rsid w:val="24E308FD"/>
    <w:rsid w:val="25381CAB"/>
    <w:rsid w:val="256B7983"/>
    <w:rsid w:val="25B17FF0"/>
    <w:rsid w:val="25B47368"/>
    <w:rsid w:val="25D94426"/>
    <w:rsid w:val="25D9575A"/>
    <w:rsid w:val="25E42BF4"/>
    <w:rsid w:val="25EC7690"/>
    <w:rsid w:val="26167FEF"/>
    <w:rsid w:val="263C2805"/>
    <w:rsid w:val="2670703F"/>
    <w:rsid w:val="275F34F7"/>
    <w:rsid w:val="28305B9A"/>
    <w:rsid w:val="28C00A6E"/>
    <w:rsid w:val="298E5A5A"/>
    <w:rsid w:val="29F90088"/>
    <w:rsid w:val="2B1B0DC8"/>
    <w:rsid w:val="2B2B4F04"/>
    <w:rsid w:val="2B3C636C"/>
    <w:rsid w:val="2B7C4C50"/>
    <w:rsid w:val="2BCE6B22"/>
    <w:rsid w:val="2BD74CD1"/>
    <w:rsid w:val="2C2D314B"/>
    <w:rsid w:val="2D8E1A25"/>
    <w:rsid w:val="2DFE5657"/>
    <w:rsid w:val="2E1F4578"/>
    <w:rsid w:val="2E3B4546"/>
    <w:rsid w:val="2E60375C"/>
    <w:rsid w:val="2F764DB6"/>
    <w:rsid w:val="2FEB7126"/>
    <w:rsid w:val="301A247A"/>
    <w:rsid w:val="30975AF0"/>
    <w:rsid w:val="31044CB4"/>
    <w:rsid w:val="310B4159"/>
    <w:rsid w:val="31E56EB7"/>
    <w:rsid w:val="320E1228"/>
    <w:rsid w:val="322C3887"/>
    <w:rsid w:val="324A3C9D"/>
    <w:rsid w:val="336E7973"/>
    <w:rsid w:val="33CA0DB2"/>
    <w:rsid w:val="33F72DE4"/>
    <w:rsid w:val="34062E6A"/>
    <w:rsid w:val="346C1D52"/>
    <w:rsid w:val="346F0D89"/>
    <w:rsid w:val="34A207C1"/>
    <w:rsid w:val="34E12CFF"/>
    <w:rsid w:val="35534BDC"/>
    <w:rsid w:val="35EF7E40"/>
    <w:rsid w:val="366D194B"/>
    <w:rsid w:val="36D12C2C"/>
    <w:rsid w:val="371D6FD9"/>
    <w:rsid w:val="37483C4C"/>
    <w:rsid w:val="384A790F"/>
    <w:rsid w:val="38864E8C"/>
    <w:rsid w:val="388D3FCE"/>
    <w:rsid w:val="38CD4EA3"/>
    <w:rsid w:val="39117939"/>
    <w:rsid w:val="39120F21"/>
    <w:rsid w:val="39620B20"/>
    <w:rsid w:val="39E96DEE"/>
    <w:rsid w:val="3A033695"/>
    <w:rsid w:val="3A276CC2"/>
    <w:rsid w:val="3AE5521F"/>
    <w:rsid w:val="3B2972F2"/>
    <w:rsid w:val="3B3E7CE5"/>
    <w:rsid w:val="3B5219C7"/>
    <w:rsid w:val="3B99099E"/>
    <w:rsid w:val="3BCD5744"/>
    <w:rsid w:val="3CB1737A"/>
    <w:rsid w:val="3D1435FB"/>
    <w:rsid w:val="3D482F61"/>
    <w:rsid w:val="3DB73273"/>
    <w:rsid w:val="3DC97ED9"/>
    <w:rsid w:val="3DFD3CE7"/>
    <w:rsid w:val="3E1B5762"/>
    <w:rsid w:val="3E41637D"/>
    <w:rsid w:val="3E4D4ED5"/>
    <w:rsid w:val="3EBC69E3"/>
    <w:rsid w:val="3F2452BB"/>
    <w:rsid w:val="3F3F7379"/>
    <w:rsid w:val="400D0B88"/>
    <w:rsid w:val="408639F8"/>
    <w:rsid w:val="40F208FB"/>
    <w:rsid w:val="40F54D98"/>
    <w:rsid w:val="41B90D4D"/>
    <w:rsid w:val="41CE21DC"/>
    <w:rsid w:val="42170604"/>
    <w:rsid w:val="42504E0A"/>
    <w:rsid w:val="426C0A74"/>
    <w:rsid w:val="42FC048E"/>
    <w:rsid w:val="431C525A"/>
    <w:rsid w:val="43501EE4"/>
    <w:rsid w:val="43783023"/>
    <w:rsid w:val="438509D6"/>
    <w:rsid w:val="43EC3361"/>
    <w:rsid w:val="444B0274"/>
    <w:rsid w:val="45D858E4"/>
    <w:rsid w:val="46731545"/>
    <w:rsid w:val="4678116D"/>
    <w:rsid w:val="46DD104C"/>
    <w:rsid w:val="47325E2A"/>
    <w:rsid w:val="4787265F"/>
    <w:rsid w:val="47B811D7"/>
    <w:rsid w:val="47C7617D"/>
    <w:rsid w:val="47D46FCC"/>
    <w:rsid w:val="485423B2"/>
    <w:rsid w:val="48691409"/>
    <w:rsid w:val="495160AE"/>
    <w:rsid w:val="49B83978"/>
    <w:rsid w:val="49D84C9C"/>
    <w:rsid w:val="4A044DBA"/>
    <w:rsid w:val="4A0E689C"/>
    <w:rsid w:val="4A1E5BAE"/>
    <w:rsid w:val="4A537B0C"/>
    <w:rsid w:val="4AD92266"/>
    <w:rsid w:val="4B902879"/>
    <w:rsid w:val="4C2354EE"/>
    <w:rsid w:val="4C796F10"/>
    <w:rsid w:val="4C7B1B3A"/>
    <w:rsid w:val="4C7F3AF0"/>
    <w:rsid w:val="4D415AFF"/>
    <w:rsid w:val="4D60380D"/>
    <w:rsid w:val="4DDC5DBC"/>
    <w:rsid w:val="4E3D0D99"/>
    <w:rsid w:val="4E7A4E80"/>
    <w:rsid w:val="4E967231"/>
    <w:rsid w:val="4ECA4FC5"/>
    <w:rsid w:val="4F0F0E83"/>
    <w:rsid w:val="4F27103A"/>
    <w:rsid w:val="4F6D4CD5"/>
    <w:rsid w:val="4F735E17"/>
    <w:rsid w:val="4FFD24C8"/>
    <w:rsid w:val="5008326E"/>
    <w:rsid w:val="500E2D45"/>
    <w:rsid w:val="50900D18"/>
    <w:rsid w:val="50ED0D5A"/>
    <w:rsid w:val="51CB4641"/>
    <w:rsid w:val="51D22B11"/>
    <w:rsid w:val="52A30E87"/>
    <w:rsid w:val="535D3B6F"/>
    <w:rsid w:val="541A0CC8"/>
    <w:rsid w:val="542252BB"/>
    <w:rsid w:val="54346CD0"/>
    <w:rsid w:val="54841192"/>
    <w:rsid w:val="54877422"/>
    <w:rsid w:val="54BA3CCC"/>
    <w:rsid w:val="55227CEA"/>
    <w:rsid w:val="55264FD3"/>
    <w:rsid w:val="558C520C"/>
    <w:rsid w:val="55A745EA"/>
    <w:rsid w:val="567B6159"/>
    <w:rsid w:val="56BD3A1C"/>
    <w:rsid w:val="56C9432A"/>
    <w:rsid w:val="56D70808"/>
    <w:rsid w:val="576E5F7F"/>
    <w:rsid w:val="5845183E"/>
    <w:rsid w:val="585C5229"/>
    <w:rsid w:val="58E06FCD"/>
    <w:rsid w:val="59153D40"/>
    <w:rsid w:val="599E7718"/>
    <w:rsid w:val="5A1676BD"/>
    <w:rsid w:val="5A8C2B1F"/>
    <w:rsid w:val="5A9A7E64"/>
    <w:rsid w:val="5AD031AC"/>
    <w:rsid w:val="5B5E2F44"/>
    <w:rsid w:val="5BAA09C0"/>
    <w:rsid w:val="5BFA573E"/>
    <w:rsid w:val="5C1276AB"/>
    <w:rsid w:val="5C667C8C"/>
    <w:rsid w:val="5C9639DC"/>
    <w:rsid w:val="5D4D4750"/>
    <w:rsid w:val="5D947106"/>
    <w:rsid w:val="5DE81729"/>
    <w:rsid w:val="5DF91975"/>
    <w:rsid w:val="5E596E15"/>
    <w:rsid w:val="5E7A68DA"/>
    <w:rsid w:val="5EA410AB"/>
    <w:rsid w:val="5F5A7EE6"/>
    <w:rsid w:val="5FCC674D"/>
    <w:rsid w:val="60B7706F"/>
    <w:rsid w:val="60B868B7"/>
    <w:rsid w:val="61172B4E"/>
    <w:rsid w:val="61203697"/>
    <w:rsid w:val="61394714"/>
    <w:rsid w:val="615158C2"/>
    <w:rsid w:val="61966DA3"/>
    <w:rsid w:val="61E877AA"/>
    <w:rsid w:val="6233430F"/>
    <w:rsid w:val="62F222D8"/>
    <w:rsid w:val="62FB16F9"/>
    <w:rsid w:val="6308156B"/>
    <w:rsid w:val="63503B65"/>
    <w:rsid w:val="63544ABA"/>
    <w:rsid w:val="63D46866"/>
    <w:rsid w:val="63E54B11"/>
    <w:rsid w:val="63EC09BF"/>
    <w:rsid w:val="646567EA"/>
    <w:rsid w:val="647665C5"/>
    <w:rsid w:val="64E52C60"/>
    <w:rsid w:val="64F96DFC"/>
    <w:rsid w:val="65603958"/>
    <w:rsid w:val="65996DF3"/>
    <w:rsid w:val="65FE65A7"/>
    <w:rsid w:val="66110F23"/>
    <w:rsid w:val="662E29FA"/>
    <w:rsid w:val="66366468"/>
    <w:rsid w:val="663C5321"/>
    <w:rsid w:val="664221EF"/>
    <w:rsid w:val="67014FAE"/>
    <w:rsid w:val="67F03142"/>
    <w:rsid w:val="68BB4B23"/>
    <w:rsid w:val="6A2A405C"/>
    <w:rsid w:val="6C7D73EC"/>
    <w:rsid w:val="6C982916"/>
    <w:rsid w:val="6D36109B"/>
    <w:rsid w:val="6D3B3538"/>
    <w:rsid w:val="6D6E15C7"/>
    <w:rsid w:val="6DBF41D5"/>
    <w:rsid w:val="6E260B26"/>
    <w:rsid w:val="6E7C431B"/>
    <w:rsid w:val="6EDC2812"/>
    <w:rsid w:val="6F4326BA"/>
    <w:rsid w:val="6FDE6571"/>
    <w:rsid w:val="6FF0374A"/>
    <w:rsid w:val="707443E9"/>
    <w:rsid w:val="7079327C"/>
    <w:rsid w:val="70D66B0D"/>
    <w:rsid w:val="71095098"/>
    <w:rsid w:val="71DC7784"/>
    <w:rsid w:val="720F0409"/>
    <w:rsid w:val="728C3D8C"/>
    <w:rsid w:val="72AE7106"/>
    <w:rsid w:val="72D43CBB"/>
    <w:rsid w:val="72F4397D"/>
    <w:rsid w:val="7360547C"/>
    <w:rsid w:val="73A155B5"/>
    <w:rsid w:val="749169C0"/>
    <w:rsid w:val="74DF738D"/>
    <w:rsid w:val="7615135C"/>
    <w:rsid w:val="7701317E"/>
    <w:rsid w:val="771232C3"/>
    <w:rsid w:val="77563AC4"/>
    <w:rsid w:val="77565BBC"/>
    <w:rsid w:val="780952DA"/>
    <w:rsid w:val="781A52CF"/>
    <w:rsid w:val="786B438C"/>
    <w:rsid w:val="789018B0"/>
    <w:rsid w:val="78D96C1D"/>
    <w:rsid w:val="78FF49BD"/>
    <w:rsid w:val="798F5025"/>
    <w:rsid w:val="79A10D48"/>
    <w:rsid w:val="79FB6B71"/>
    <w:rsid w:val="79FF5A4E"/>
    <w:rsid w:val="7A052D69"/>
    <w:rsid w:val="7A900306"/>
    <w:rsid w:val="7AE2066A"/>
    <w:rsid w:val="7B8B77BB"/>
    <w:rsid w:val="7B8C3620"/>
    <w:rsid w:val="7BF573DD"/>
    <w:rsid w:val="7C6B636C"/>
    <w:rsid w:val="7C8C7CEA"/>
    <w:rsid w:val="7D051A93"/>
    <w:rsid w:val="7D3D0D01"/>
    <w:rsid w:val="7DA423B6"/>
    <w:rsid w:val="7E835736"/>
    <w:rsid w:val="7EB071AA"/>
    <w:rsid w:val="7F072ED4"/>
    <w:rsid w:val="7F29352E"/>
    <w:rsid w:val="7F447AD0"/>
    <w:rsid w:val="7F7A5E39"/>
    <w:rsid w:val="7F8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3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szCs w:val="24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qFormat/>
    <w:uiPriority w:val="0"/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普通(网站)1"/>
    <w:basedOn w:val="1"/>
    <w:qFormat/>
    <w:uiPriority w:val="0"/>
    <w:rPr>
      <w:rFonts w:cs="黑体"/>
      <w:sz w:val="24"/>
      <w:szCs w:val="24"/>
    </w:rPr>
  </w:style>
  <w:style w:type="paragraph" w:customStyle="1" w:styleId="16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普通(网站)2"/>
    <w:basedOn w:val="1"/>
    <w:qFormat/>
    <w:uiPriority w:val="0"/>
    <w:rPr>
      <w:rFonts w:cs="黑体"/>
      <w:sz w:val="24"/>
      <w:szCs w:val="24"/>
    </w:rPr>
  </w:style>
  <w:style w:type="paragraph" w:customStyle="1" w:styleId="19">
    <w:name w:val="普通(网站)3"/>
    <w:basedOn w:val="1"/>
    <w:qFormat/>
    <w:uiPriority w:val="0"/>
    <w:rPr>
      <w:rFonts w:cs="黑体"/>
      <w:sz w:val="24"/>
      <w:szCs w:val="24"/>
    </w:rPr>
  </w:style>
  <w:style w:type="character" w:customStyle="1" w:styleId="20">
    <w:name w:val="批注框文本 Char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"/>
    <w:link w:val="4"/>
    <w:qFormat/>
    <w:uiPriority w:val="99"/>
    <w:rPr>
      <w:rFonts w:ascii="Times New Roman" w:hAnsi="Times New Roman" w:eastAsia="黑体"/>
      <w:snapToGrid/>
      <w:sz w:val="18"/>
      <w:szCs w:val="18"/>
    </w:rPr>
  </w:style>
  <w:style w:type="character" w:customStyle="1" w:styleId="22">
    <w:name w:val="页眉 Char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3">
    <w:name w:val="正文文本缩进 3 Char"/>
    <w:link w:val="6"/>
    <w:qFormat/>
    <w:uiPriority w:val="0"/>
    <w:rPr>
      <w:rFonts w:ascii="Times New Roman" w:hAnsi="Times New Roman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614</Words>
  <Characters>3501</Characters>
  <Lines>29</Lines>
  <Paragraphs>8</Paragraphs>
  <TotalTime>7</TotalTime>
  <ScaleCrop>false</ScaleCrop>
  <LinksUpToDate>false</LinksUpToDate>
  <CharactersWithSpaces>4107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2020-01-13T09:00:00Z</dcterms:created>
  <dc:creator>冯晓婷</dc:creator>
  <cp:lastModifiedBy>Administrator</cp:lastModifiedBy>
  <dcterms:modified xsi:type="dcterms:W3CDTF">2021-06-19T05:43:16Z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1A465F471FE144968A10AD97D816C7B8</vt:lpwstr>
  </property>
</Properties>
</file>