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3"/>
        <w:gridCol w:w="675"/>
        <w:gridCol w:w="1687"/>
        <w:gridCol w:w="1725"/>
        <w:gridCol w:w="3750"/>
        <w:gridCol w:w="4800"/>
        <w:gridCol w:w="1396"/>
        <w:gridCol w:w="517"/>
      </w:tblGrid>
      <w:tr w14:paraId="74CF6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4993" w:type="dxa"/>
            <w:gridSpan w:val="8"/>
            <w:tcBorders>
              <w:top w:val="nil"/>
              <w:left w:val="nil"/>
              <w:bottom w:val="nil"/>
              <w:right w:val="nil"/>
            </w:tcBorders>
            <w:noWrap w:val="0"/>
            <w:vAlign w:val="center"/>
          </w:tcPr>
          <w:p w14:paraId="135EAA57">
            <w:pPr>
              <w:keepNext w:val="0"/>
              <w:keepLines w:val="0"/>
              <w:pageBreakBefore w:val="0"/>
              <w:widowControl w:val="0"/>
              <w:suppressLineNumbers w:val="0"/>
              <w:kinsoku/>
              <w:wordWrap/>
              <w:overflowPunct/>
              <w:topLinePunct w:val="0"/>
              <w:autoSpaceDE/>
              <w:autoSpaceDN/>
              <w:bidi w:val="0"/>
              <w:adjustRightInd/>
              <w:snapToGrid/>
              <w:spacing w:line="560" w:lineRule="exact"/>
              <w:jc w:val="center"/>
              <w:textAlignment w:val="center"/>
              <w:outlineLvl w:val="9"/>
              <w:rPr>
                <w:rStyle w:val="5"/>
                <w:rFonts w:hint="default" w:ascii="Times New Roman" w:hAnsi="Times New Roman" w:eastAsia="方正小标宋简体" w:cs="Times New Roman"/>
                <w:sz w:val="36"/>
                <w:szCs w:val="36"/>
                <w:lang w:val="en-US" w:eastAsia="zh-CN" w:bidi="ar"/>
              </w:rPr>
            </w:pPr>
            <w:r>
              <w:rPr>
                <w:rStyle w:val="5"/>
                <w:rFonts w:hint="eastAsia" w:ascii="Times New Roman" w:hAnsi="Times New Roman" w:eastAsia="方正小标宋简体" w:cs="Times New Roman"/>
                <w:sz w:val="36"/>
                <w:szCs w:val="36"/>
                <w:lang w:val="en-US" w:eastAsia="zh-CN" w:bidi="ar"/>
              </w:rPr>
              <w:t>霍城县</w:t>
            </w:r>
            <w:bookmarkStart w:id="0" w:name="_GoBack"/>
            <w:bookmarkEnd w:id="0"/>
            <w:r>
              <w:rPr>
                <w:rStyle w:val="5"/>
                <w:rFonts w:hint="default" w:ascii="Times New Roman" w:hAnsi="Times New Roman" w:eastAsia="方正小标宋简体" w:cs="Times New Roman"/>
                <w:sz w:val="36"/>
                <w:szCs w:val="36"/>
                <w:lang w:val="en-US" w:eastAsia="zh-CN" w:bidi="ar"/>
              </w:rPr>
              <w:t>农业领域减轻行政处罚清单（试行）</w:t>
            </w:r>
          </w:p>
        </w:tc>
      </w:tr>
      <w:tr w14:paraId="51EE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43" w:type="dxa"/>
            <w:vMerge w:val="restart"/>
            <w:tcBorders>
              <w:top w:val="single" w:color="000000" w:sz="4" w:space="0"/>
              <w:left w:val="single" w:color="000000" w:sz="4" w:space="0"/>
              <w:bottom w:val="single" w:color="000000" w:sz="4" w:space="0"/>
              <w:right w:val="single" w:color="000000" w:sz="4" w:space="0"/>
            </w:tcBorders>
            <w:noWrap w:val="0"/>
            <w:vAlign w:val="center"/>
          </w:tcPr>
          <w:p w14:paraId="7378E755">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序号</w:t>
            </w:r>
          </w:p>
        </w:tc>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14:paraId="4CC7C7BA">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管理领域</w:t>
            </w:r>
          </w:p>
        </w:tc>
        <w:tc>
          <w:tcPr>
            <w:tcW w:w="1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42EC391A">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违法事项</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6F4FC531">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处罚条件</w:t>
            </w:r>
          </w:p>
        </w:tc>
        <w:tc>
          <w:tcPr>
            <w:tcW w:w="37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8F1418">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法律依据</w:t>
            </w:r>
          </w:p>
        </w:tc>
        <w:tc>
          <w:tcPr>
            <w:tcW w:w="4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CA3FA8C">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行政处罚的依据</w:t>
            </w:r>
          </w:p>
        </w:tc>
        <w:tc>
          <w:tcPr>
            <w:tcW w:w="1396" w:type="dxa"/>
            <w:vMerge w:val="restart"/>
            <w:tcBorders>
              <w:top w:val="single" w:color="000000" w:sz="4" w:space="0"/>
              <w:left w:val="single" w:color="000000" w:sz="4" w:space="0"/>
              <w:bottom w:val="single" w:color="000000" w:sz="4" w:space="0"/>
              <w:right w:val="single" w:color="000000" w:sz="4" w:space="0"/>
            </w:tcBorders>
            <w:noWrap w:val="0"/>
            <w:vAlign w:val="center"/>
          </w:tcPr>
          <w:p w14:paraId="206A921F">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后续监管措施</w:t>
            </w:r>
          </w:p>
        </w:tc>
        <w:tc>
          <w:tcPr>
            <w:tcW w:w="517" w:type="dxa"/>
            <w:vMerge w:val="restart"/>
            <w:tcBorders>
              <w:top w:val="single" w:color="000000" w:sz="4" w:space="0"/>
              <w:left w:val="single" w:color="000000" w:sz="4" w:space="0"/>
              <w:bottom w:val="single" w:color="000000" w:sz="4" w:space="0"/>
              <w:right w:val="single" w:color="000000" w:sz="4" w:space="0"/>
            </w:tcBorders>
            <w:noWrap w:val="0"/>
            <w:vAlign w:val="center"/>
          </w:tcPr>
          <w:p w14:paraId="652DD307">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备注</w:t>
            </w:r>
          </w:p>
        </w:tc>
      </w:tr>
      <w:tr w14:paraId="47C79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4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C4192B">
            <w:pPr>
              <w:jc w:val="center"/>
              <w:rPr>
                <w:rFonts w:hint="default" w:ascii="Times New Roman" w:hAnsi="Times New Roman" w:eastAsia="黑体" w:cs="Times New Roman"/>
                <w:i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0848FB">
            <w:pPr>
              <w:jc w:val="center"/>
              <w:rPr>
                <w:rFonts w:hint="default" w:ascii="Times New Roman" w:hAnsi="Times New Roman" w:eastAsia="黑体" w:cs="Times New Roman"/>
                <w:i w:val="0"/>
                <w:color w:val="000000"/>
                <w:sz w:val="18"/>
                <w:szCs w:val="18"/>
                <w:u w:val="none"/>
              </w:rPr>
            </w:pPr>
          </w:p>
        </w:tc>
        <w:tc>
          <w:tcPr>
            <w:tcW w:w="1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2AE20E">
            <w:pPr>
              <w:jc w:val="center"/>
              <w:rPr>
                <w:rFonts w:hint="default" w:ascii="Times New Roman" w:hAnsi="Times New Roman" w:eastAsia="黑体" w:cs="Times New Roman"/>
                <w:i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0210BECD">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（需同时满足）</w:t>
            </w:r>
          </w:p>
        </w:tc>
        <w:tc>
          <w:tcPr>
            <w:tcW w:w="3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47AAA7">
            <w:pPr>
              <w:jc w:val="center"/>
              <w:rPr>
                <w:rFonts w:hint="default" w:ascii="Times New Roman" w:hAnsi="Times New Roman" w:eastAsia="黑体" w:cs="Times New Roman"/>
                <w:i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C994F3">
            <w:pPr>
              <w:jc w:val="center"/>
              <w:rPr>
                <w:rFonts w:hint="default" w:ascii="Times New Roman" w:hAnsi="Times New Roman" w:eastAsia="黑体" w:cs="Times New Roman"/>
                <w:i w:val="0"/>
                <w:color w:val="000000"/>
                <w:sz w:val="18"/>
                <w:szCs w:val="18"/>
                <w:u w:val="none"/>
              </w:rPr>
            </w:pPr>
          </w:p>
        </w:tc>
        <w:tc>
          <w:tcPr>
            <w:tcW w:w="13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243807">
            <w:pPr>
              <w:jc w:val="center"/>
              <w:rPr>
                <w:rFonts w:hint="default" w:ascii="Times New Roman" w:hAnsi="Times New Roman" w:eastAsia="黑体" w:cs="Times New Roman"/>
                <w:i w:val="0"/>
                <w:color w:val="000000"/>
                <w:sz w:val="18"/>
                <w:szCs w:val="18"/>
                <w:u w:val="none"/>
              </w:rPr>
            </w:pPr>
          </w:p>
        </w:tc>
        <w:tc>
          <w:tcPr>
            <w:tcW w:w="5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EF518F">
            <w:pPr>
              <w:jc w:val="center"/>
              <w:rPr>
                <w:rFonts w:hint="default" w:ascii="Times New Roman" w:hAnsi="Times New Roman" w:eastAsia="黑体" w:cs="Times New Roman"/>
                <w:i w:val="0"/>
                <w:color w:val="000000"/>
                <w:sz w:val="18"/>
                <w:szCs w:val="18"/>
                <w:u w:val="none"/>
              </w:rPr>
            </w:pPr>
          </w:p>
        </w:tc>
      </w:tr>
      <w:tr w14:paraId="50989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4" w:hRule="atLeast"/>
          <w:jc w:val="center"/>
        </w:trPr>
        <w:tc>
          <w:tcPr>
            <w:tcW w:w="443" w:type="dxa"/>
            <w:tcBorders>
              <w:top w:val="single" w:color="000000" w:sz="4" w:space="0"/>
              <w:left w:val="single" w:color="000000" w:sz="4" w:space="0"/>
              <w:bottom w:val="single" w:color="000000" w:sz="4" w:space="0"/>
              <w:right w:val="single" w:color="000000" w:sz="4" w:space="0"/>
            </w:tcBorders>
            <w:noWrap w:val="0"/>
            <w:vAlign w:val="center"/>
          </w:tcPr>
          <w:p w14:paraId="0CB2B74D">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2EEC3D9">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动物防疫</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2F3A1FC8">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未按照规定保存行程路线和托运人提供的动物名称、检疫证明编号、数量等信息的</w:t>
            </w:r>
            <w:r>
              <w:rPr>
                <w:rFonts w:hint="eastAsia" w:ascii="Times New Roman" w:hAnsi="Times New Roman" w:cs="Times New Roman"/>
                <w:i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562E06CD">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期限内已改正，具有减轻情形，未造成危害后果</w:t>
            </w:r>
            <w:r>
              <w:rPr>
                <w:rFonts w:hint="eastAsia" w:ascii="Times New Roman" w:hAnsi="Times New Roman" w:cs="Times New Roman"/>
                <w:i w:val="0"/>
                <w:color w:val="000000"/>
                <w:kern w:val="0"/>
                <w:sz w:val="18"/>
                <w:szCs w:val="18"/>
                <w:u w:val="none"/>
                <w:lang w:val="en-US" w:eastAsia="zh-CN" w:bidi="ar"/>
              </w:rPr>
              <w:t>。</w:t>
            </w:r>
          </w:p>
        </w:tc>
        <w:tc>
          <w:tcPr>
            <w:tcW w:w="3750" w:type="dxa"/>
            <w:tcBorders>
              <w:top w:val="single" w:color="000000" w:sz="4" w:space="0"/>
              <w:left w:val="single" w:color="000000" w:sz="4" w:space="0"/>
              <w:bottom w:val="single" w:color="000000" w:sz="4" w:space="0"/>
              <w:right w:val="single" w:color="000000" w:sz="4" w:space="0"/>
            </w:tcBorders>
            <w:noWrap w:val="0"/>
            <w:vAlign w:val="center"/>
          </w:tcPr>
          <w:p w14:paraId="65DE1A0F">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6"/>
                <w:rFonts w:hint="default" w:ascii="Times New Roman" w:hAnsi="Times New Roman" w:cs="Times New Roman"/>
                <w:sz w:val="18"/>
                <w:szCs w:val="18"/>
                <w:lang w:val="en-US" w:eastAsia="zh-CN" w:bidi="ar"/>
              </w:rPr>
              <w:t>《中华人民共和国动物防疫法》第九十八条第四项：</w:t>
            </w:r>
            <w:r>
              <w:rPr>
                <w:rFonts w:hint="default" w:ascii="Times New Roman" w:hAnsi="Times New Roman" w:eastAsia="仿宋_GB2312" w:cs="Times New Roman"/>
                <w:i w:val="0"/>
                <w:color w:val="000000"/>
                <w:kern w:val="0"/>
                <w:sz w:val="18"/>
                <w:szCs w:val="18"/>
                <w:u w:val="none"/>
                <w:lang w:val="en-US" w:eastAsia="zh-CN" w:bidi="ar"/>
              </w:rPr>
              <w:t>违反本法规定，有下列行为之一的，由县级以上地方人民政府农业农村主管部门责令改正，处三千元以上三万元以下罚款；情节严重的，责令停业整顿，并处三万元以上十万元以下罚款：（四）未按照规定保存行程路线和托运人提供的动物名称、检疫证明编号、数量等信息的。</w:t>
            </w:r>
          </w:p>
        </w:tc>
        <w:tc>
          <w:tcPr>
            <w:tcW w:w="4800" w:type="dxa"/>
            <w:tcBorders>
              <w:top w:val="single" w:color="000000" w:sz="4" w:space="0"/>
              <w:left w:val="single" w:color="000000" w:sz="4" w:space="0"/>
              <w:bottom w:val="single" w:color="000000" w:sz="4" w:space="0"/>
              <w:right w:val="single" w:color="000000" w:sz="4" w:space="0"/>
            </w:tcBorders>
            <w:noWrap w:val="0"/>
            <w:vAlign w:val="center"/>
          </w:tcPr>
          <w:p w14:paraId="268228DC">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6"/>
                <w:rFonts w:hint="default" w:ascii="Times New Roman" w:hAnsi="Times New Roman" w:cs="Times New Roman"/>
                <w:sz w:val="18"/>
                <w:szCs w:val="18"/>
                <w:lang w:val="en-US" w:eastAsia="zh-CN" w:bidi="ar"/>
              </w:rPr>
              <w:t>《中华人民共和国行政处罚法》第三十二条：</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当事人有下列情形之一，应当从轻或者减轻行政处罚：</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（一）主动消除或者减轻违法行为危害后果的；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（二）受他人胁迫或者诱骗实施违法行为的；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（三）主动供述行政机关尚未掌握的违法行为的；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（四）配合行政机关查处违法行为有立功表现的；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（五）法律、法规、规章规定其他应当从轻或者减轻行政处罚的。</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14:paraId="09CB7C5C">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加强教育、劝导示范、警示约谈等非强制性方法；及时复查整改情况、加强行政检查等方式。</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AD67C14">
            <w:pPr>
              <w:jc w:val="center"/>
              <w:rPr>
                <w:rFonts w:hint="default" w:ascii="Times New Roman" w:hAnsi="Times New Roman" w:eastAsia="仿宋_GB2312" w:cs="Times New Roman"/>
                <w:i w:val="0"/>
                <w:color w:val="000000"/>
                <w:sz w:val="18"/>
                <w:szCs w:val="18"/>
                <w:u w:val="none"/>
              </w:rPr>
            </w:pPr>
          </w:p>
        </w:tc>
      </w:tr>
      <w:tr w14:paraId="3E7CF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6" w:hRule="atLeast"/>
          <w:jc w:val="center"/>
        </w:trPr>
        <w:tc>
          <w:tcPr>
            <w:tcW w:w="443" w:type="dxa"/>
            <w:vMerge w:val="restart"/>
            <w:tcBorders>
              <w:top w:val="single" w:color="000000" w:sz="4" w:space="0"/>
              <w:left w:val="single" w:color="000000" w:sz="4" w:space="0"/>
              <w:bottom w:val="single" w:color="000000" w:sz="4" w:space="0"/>
              <w:right w:val="single" w:color="000000" w:sz="4" w:space="0"/>
            </w:tcBorders>
            <w:noWrap w:val="0"/>
            <w:vAlign w:val="center"/>
          </w:tcPr>
          <w:p w14:paraId="6EF4F018">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2</w:t>
            </w:r>
          </w:p>
        </w:tc>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14:paraId="0A947721">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动物防疫</w:t>
            </w:r>
          </w:p>
        </w:tc>
        <w:tc>
          <w:tcPr>
            <w:tcW w:w="1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50CBA388">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用于科研等非食用性利用的动物未附有检疫证明的</w:t>
            </w:r>
            <w:r>
              <w:rPr>
                <w:rFonts w:hint="eastAsia" w:ascii="Times New Roman" w:hAnsi="Times New Roman" w:cs="Times New Roman"/>
                <w:i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3AC1FC5D">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用于科研。</w:t>
            </w:r>
          </w:p>
        </w:tc>
        <w:tc>
          <w:tcPr>
            <w:tcW w:w="37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DE30FF">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6"/>
                <w:rFonts w:hint="default" w:ascii="Times New Roman" w:hAnsi="Times New Roman" w:cs="Times New Roman"/>
                <w:sz w:val="18"/>
                <w:szCs w:val="18"/>
                <w:lang w:val="en-US" w:eastAsia="zh-CN" w:bidi="ar"/>
              </w:rPr>
              <w:t>《中华人民共和国动物防疫法》第一百条第二款：</w:t>
            </w:r>
            <w:r>
              <w:rPr>
                <w:rFonts w:hint="default" w:ascii="Times New Roman" w:hAnsi="Times New Roman" w:eastAsia="仿宋_GB2312" w:cs="Times New Roman"/>
                <w:i w:val="0"/>
                <w:color w:val="000000"/>
                <w:kern w:val="0"/>
                <w:sz w:val="18"/>
                <w:szCs w:val="18"/>
                <w:u w:val="none"/>
                <w:lang w:val="en-US" w:eastAsia="zh-CN" w:bidi="ar"/>
              </w:rPr>
              <w:t>违反本法规定，用于科研、展示、演出和比赛等非食用性利用的动物未附有检疫证明的，由县级以上地方人民政府农业农村主管部门责令改正，处三千元以上一万元以下罚款。</w:t>
            </w:r>
          </w:p>
        </w:tc>
        <w:tc>
          <w:tcPr>
            <w:tcW w:w="4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4E8307">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6"/>
                <w:rFonts w:hint="default" w:ascii="Times New Roman" w:hAnsi="Times New Roman" w:cs="Times New Roman"/>
                <w:sz w:val="18"/>
                <w:szCs w:val="18"/>
                <w:lang w:val="en-US" w:eastAsia="zh-CN" w:bidi="ar"/>
              </w:rPr>
              <w:t>《中华人民共和国行政处罚法》第三十二条：</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当事人有下列情形之一，应当从轻或者减轻行政处罚：</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（一）主动消除或者减轻违法行为危害后果的；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（二）受他人胁迫或者诱骗实施违法行为的；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（三）主动供述行政机关尚未掌握的违法行为的；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（四）配合行政机关查处违法行为有立功表现的；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（五）法律、法规、规章规定其他应当从轻或者减轻行政处罚的。</w:t>
            </w:r>
          </w:p>
        </w:tc>
        <w:tc>
          <w:tcPr>
            <w:tcW w:w="1396" w:type="dxa"/>
            <w:vMerge w:val="restart"/>
            <w:tcBorders>
              <w:top w:val="single" w:color="000000" w:sz="4" w:space="0"/>
              <w:left w:val="single" w:color="000000" w:sz="4" w:space="0"/>
              <w:bottom w:val="single" w:color="000000" w:sz="4" w:space="0"/>
              <w:right w:val="single" w:color="000000" w:sz="4" w:space="0"/>
            </w:tcBorders>
            <w:noWrap w:val="0"/>
            <w:vAlign w:val="center"/>
          </w:tcPr>
          <w:p w14:paraId="3E29910A">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加强教育、劝导示范、警示约谈等非强制性方法；及时复查整改情况、加强行政检查等方式。</w:t>
            </w:r>
          </w:p>
        </w:tc>
        <w:tc>
          <w:tcPr>
            <w:tcW w:w="517" w:type="dxa"/>
            <w:vMerge w:val="restart"/>
            <w:tcBorders>
              <w:top w:val="single" w:color="000000" w:sz="4" w:space="0"/>
              <w:left w:val="single" w:color="000000" w:sz="4" w:space="0"/>
              <w:bottom w:val="single" w:color="000000" w:sz="4" w:space="0"/>
              <w:right w:val="single" w:color="000000" w:sz="4" w:space="0"/>
            </w:tcBorders>
            <w:noWrap w:val="0"/>
            <w:vAlign w:val="center"/>
          </w:tcPr>
          <w:p w14:paraId="0B98026A">
            <w:pPr>
              <w:jc w:val="center"/>
              <w:rPr>
                <w:rFonts w:hint="default" w:ascii="Times New Roman" w:hAnsi="Times New Roman" w:eastAsia="仿宋_GB2312" w:cs="Times New Roman"/>
                <w:i w:val="0"/>
                <w:color w:val="000000"/>
                <w:sz w:val="18"/>
                <w:szCs w:val="18"/>
                <w:u w:val="none"/>
              </w:rPr>
            </w:pPr>
          </w:p>
        </w:tc>
      </w:tr>
      <w:tr w14:paraId="15D1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7" w:hRule="atLeast"/>
          <w:jc w:val="center"/>
        </w:trPr>
        <w:tc>
          <w:tcPr>
            <w:tcW w:w="44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942A73">
            <w:pPr>
              <w:jc w:val="center"/>
              <w:rPr>
                <w:rFonts w:hint="default" w:ascii="Times New Roman" w:hAnsi="Times New Roman" w:eastAsia="仿宋_GB2312" w:cs="Times New Roman"/>
                <w:i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CC8A9E">
            <w:pPr>
              <w:jc w:val="center"/>
              <w:rPr>
                <w:rFonts w:hint="default" w:ascii="Times New Roman" w:hAnsi="Times New Roman" w:eastAsia="仿宋_GB2312" w:cs="Times New Roman"/>
                <w:i w:val="0"/>
                <w:color w:val="000000"/>
                <w:sz w:val="18"/>
                <w:szCs w:val="18"/>
                <w:u w:val="none"/>
              </w:rPr>
            </w:pPr>
          </w:p>
        </w:tc>
        <w:tc>
          <w:tcPr>
            <w:tcW w:w="1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C4CAD2">
            <w:pPr>
              <w:jc w:val="center"/>
              <w:rPr>
                <w:rFonts w:hint="default" w:ascii="Times New Roman" w:hAnsi="Times New Roman" w:eastAsia="仿宋_GB2312" w:cs="Times New Roman"/>
                <w:i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2F5B00F4">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期限内已改正，具有减轻情形，未造成危害后果</w:t>
            </w:r>
            <w:r>
              <w:rPr>
                <w:rFonts w:hint="eastAsia" w:ascii="Times New Roman" w:hAnsi="Times New Roman" w:cs="Times New Roman"/>
                <w:i w:val="0"/>
                <w:color w:val="000000"/>
                <w:kern w:val="0"/>
                <w:sz w:val="18"/>
                <w:szCs w:val="18"/>
                <w:u w:val="none"/>
                <w:lang w:val="en-US" w:eastAsia="zh-CN" w:bidi="ar"/>
              </w:rPr>
              <w:t>。</w:t>
            </w:r>
          </w:p>
        </w:tc>
        <w:tc>
          <w:tcPr>
            <w:tcW w:w="3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DA103E">
            <w:pPr>
              <w:jc w:val="left"/>
              <w:rPr>
                <w:rFonts w:hint="default" w:ascii="Times New Roman" w:hAnsi="Times New Roman" w:eastAsia="仿宋_GB2312" w:cs="Times New Roman"/>
                <w:b/>
                <w:i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445A64">
            <w:pPr>
              <w:jc w:val="left"/>
              <w:rPr>
                <w:rFonts w:hint="default" w:ascii="Times New Roman" w:hAnsi="Times New Roman" w:eastAsia="仿宋_GB2312" w:cs="Times New Roman"/>
                <w:b/>
                <w:i w:val="0"/>
                <w:color w:val="000000"/>
                <w:sz w:val="18"/>
                <w:szCs w:val="18"/>
                <w:u w:val="none"/>
              </w:rPr>
            </w:pPr>
          </w:p>
        </w:tc>
        <w:tc>
          <w:tcPr>
            <w:tcW w:w="13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C47633">
            <w:pPr>
              <w:jc w:val="left"/>
              <w:rPr>
                <w:rFonts w:hint="default" w:ascii="Times New Roman" w:hAnsi="Times New Roman" w:eastAsia="仿宋_GB2312" w:cs="Times New Roman"/>
                <w:i w:val="0"/>
                <w:color w:val="000000"/>
                <w:sz w:val="18"/>
                <w:szCs w:val="18"/>
                <w:u w:val="none"/>
              </w:rPr>
            </w:pPr>
          </w:p>
        </w:tc>
        <w:tc>
          <w:tcPr>
            <w:tcW w:w="5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1F2E83">
            <w:pPr>
              <w:jc w:val="center"/>
              <w:rPr>
                <w:rFonts w:hint="default" w:ascii="Times New Roman" w:hAnsi="Times New Roman" w:eastAsia="仿宋_GB2312" w:cs="Times New Roman"/>
                <w:i w:val="0"/>
                <w:color w:val="000000"/>
                <w:sz w:val="18"/>
                <w:szCs w:val="18"/>
                <w:u w:val="none"/>
              </w:rPr>
            </w:pPr>
          </w:p>
        </w:tc>
      </w:tr>
      <w:tr w14:paraId="6964C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1" w:hRule="atLeast"/>
          <w:jc w:val="center"/>
        </w:trPr>
        <w:tc>
          <w:tcPr>
            <w:tcW w:w="443" w:type="dxa"/>
            <w:tcBorders>
              <w:top w:val="single" w:color="000000" w:sz="4" w:space="0"/>
              <w:left w:val="single" w:color="000000" w:sz="4" w:space="0"/>
              <w:bottom w:val="single" w:color="000000" w:sz="4" w:space="0"/>
              <w:right w:val="single" w:color="000000" w:sz="4" w:space="0"/>
            </w:tcBorders>
            <w:noWrap w:val="0"/>
            <w:vAlign w:val="center"/>
          </w:tcPr>
          <w:p w14:paraId="1AAAF928">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0FAE3EF">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饲料和饲料添加剂</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5C5A3900">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不依照《饲料和饲料添加剂管理条例》规定实行产品购销台账制度的</w:t>
            </w:r>
            <w:r>
              <w:rPr>
                <w:rFonts w:hint="eastAsia" w:ascii="Times New Roman" w:hAnsi="Times New Roman" w:cs="Times New Roman"/>
                <w:i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6167D960">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期限内已改正，具有减轻情形，未造成危害后果</w:t>
            </w:r>
            <w:r>
              <w:rPr>
                <w:rFonts w:hint="eastAsia" w:ascii="Times New Roman" w:hAnsi="Times New Roman" w:cs="Times New Roman"/>
                <w:i w:val="0"/>
                <w:color w:val="000000"/>
                <w:kern w:val="0"/>
                <w:sz w:val="18"/>
                <w:szCs w:val="18"/>
                <w:u w:val="none"/>
                <w:lang w:val="en-US" w:eastAsia="zh-CN" w:bidi="ar"/>
              </w:rPr>
              <w:t>。</w:t>
            </w:r>
          </w:p>
        </w:tc>
        <w:tc>
          <w:tcPr>
            <w:tcW w:w="3750" w:type="dxa"/>
            <w:tcBorders>
              <w:top w:val="single" w:color="000000" w:sz="4" w:space="0"/>
              <w:left w:val="single" w:color="000000" w:sz="4" w:space="0"/>
              <w:bottom w:val="single" w:color="000000" w:sz="4" w:space="0"/>
              <w:right w:val="single" w:color="000000" w:sz="4" w:space="0"/>
            </w:tcBorders>
            <w:noWrap w:val="0"/>
            <w:vAlign w:val="center"/>
          </w:tcPr>
          <w:p w14:paraId="68BF863D">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6"/>
                <w:rFonts w:hint="default" w:ascii="Times New Roman" w:hAnsi="Times New Roman" w:cs="Times New Roman"/>
                <w:sz w:val="18"/>
                <w:szCs w:val="18"/>
                <w:lang w:val="en-US" w:eastAsia="zh-CN" w:bidi="ar"/>
              </w:rPr>
              <w:t>《饲料和饲料添加剂管理条例》第四十四条第二项：</w:t>
            </w:r>
            <w:r>
              <w:rPr>
                <w:rFonts w:hint="default" w:ascii="Times New Roman" w:hAnsi="Times New Roman" w:eastAsia="仿宋_GB2312" w:cs="Times New Roman"/>
                <w:i w:val="0"/>
                <w:color w:val="000000"/>
                <w:kern w:val="0"/>
                <w:sz w:val="18"/>
                <w:szCs w:val="18"/>
                <w:u w:val="none"/>
                <w:lang w:val="en-US" w:eastAsia="zh-CN" w:bidi="ar"/>
              </w:rPr>
              <w:t>饲料、饲料添加剂经营者有下列行为之一的，由县级人民政府饲料管理部门责令改正，没收违法所得和违法经营的产品，并处2000元以上1万元以下罚款：（二）不依照本条例规定实行产品购销台账制度的。</w:t>
            </w:r>
          </w:p>
        </w:tc>
        <w:tc>
          <w:tcPr>
            <w:tcW w:w="4800" w:type="dxa"/>
            <w:tcBorders>
              <w:top w:val="single" w:color="000000" w:sz="4" w:space="0"/>
              <w:left w:val="single" w:color="000000" w:sz="4" w:space="0"/>
              <w:bottom w:val="single" w:color="000000" w:sz="4" w:space="0"/>
              <w:right w:val="single" w:color="000000" w:sz="4" w:space="0"/>
            </w:tcBorders>
            <w:noWrap w:val="0"/>
            <w:vAlign w:val="center"/>
          </w:tcPr>
          <w:p w14:paraId="2E2E3526">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6"/>
                <w:rFonts w:hint="default" w:ascii="Times New Roman" w:hAnsi="Times New Roman" w:cs="Times New Roman"/>
                <w:sz w:val="18"/>
                <w:szCs w:val="18"/>
                <w:lang w:val="en-US" w:eastAsia="zh-CN" w:bidi="ar"/>
              </w:rPr>
              <w:t>《中华人民共和国行政处罚法》第三十二条：</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当事人有下列情形之一，应当从轻或者减轻行政处罚：</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（一）主动消除或者减轻违法行为危害后果的；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（二）受他人胁迫或者诱骗实施违法行为的；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（三）主动供述行政机关尚未掌握的违法行为的；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（四）配合行政机关查处违法行为有立功表现的；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（五）法律、法规、规章规定其他应当从轻或者减轻行政处罚的。</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14:paraId="7FD5D963">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加强教育、劝导示范、警示约谈等非强制性方法；及时复查整改情况、加强行政检查等方式。</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AF95E95">
            <w:pPr>
              <w:jc w:val="center"/>
              <w:rPr>
                <w:rFonts w:hint="default" w:ascii="Times New Roman" w:hAnsi="Times New Roman" w:eastAsia="仿宋_GB2312" w:cs="Times New Roman"/>
                <w:i w:val="0"/>
                <w:color w:val="000000"/>
                <w:sz w:val="18"/>
                <w:szCs w:val="18"/>
                <w:u w:val="none"/>
              </w:rPr>
            </w:pPr>
          </w:p>
        </w:tc>
      </w:tr>
      <w:tr w14:paraId="731EE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7" w:hRule="atLeast"/>
          <w:jc w:val="center"/>
        </w:trPr>
        <w:tc>
          <w:tcPr>
            <w:tcW w:w="443" w:type="dxa"/>
            <w:tcBorders>
              <w:top w:val="single" w:color="000000" w:sz="4" w:space="0"/>
              <w:left w:val="single" w:color="000000" w:sz="4" w:space="0"/>
              <w:bottom w:val="single" w:color="000000" w:sz="4" w:space="0"/>
              <w:right w:val="single" w:color="000000" w:sz="4" w:space="0"/>
            </w:tcBorders>
            <w:noWrap w:val="0"/>
            <w:vAlign w:val="center"/>
          </w:tcPr>
          <w:p w14:paraId="09E40085">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66FC9B1F">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种子</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1CB14E56">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对种子生产经营者未按规定建立、保存种子生产经营档案的行政处罚</w:t>
            </w:r>
            <w:r>
              <w:rPr>
                <w:rFonts w:hint="eastAsia" w:ascii="Times New Roman" w:hAnsi="Times New Roman" w:cs="Times New Roman"/>
                <w:i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5103553D">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限期内改正，具有减轻情形，未造成危害后果</w:t>
            </w:r>
            <w:r>
              <w:rPr>
                <w:rFonts w:hint="eastAsia" w:ascii="Times New Roman" w:hAnsi="Times New Roman" w:cs="Times New Roman"/>
                <w:i w:val="0"/>
                <w:color w:val="000000"/>
                <w:kern w:val="0"/>
                <w:sz w:val="18"/>
                <w:szCs w:val="18"/>
                <w:u w:val="none"/>
                <w:lang w:val="en-US" w:eastAsia="zh-CN" w:bidi="ar"/>
              </w:rPr>
              <w:t>。</w:t>
            </w:r>
          </w:p>
        </w:tc>
        <w:tc>
          <w:tcPr>
            <w:tcW w:w="3750" w:type="dxa"/>
            <w:tcBorders>
              <w:top w:val="single" w:color="000000" w:sz="4" w:space="0"/>
              <w:left w:val="single" w:color="000000" w:sz="4" w:space="0"/>
              <w:bottom w:val="single" w:color="000000" w:sz="4" w:space="0"/>
              <w:right w:val="single" w:color="000000" w:sz="4" w:space="0"/>
            </w:tcBorders>
            <w:noWrap w:val="0"/>
            <w:vAlign w:val="center"/>
          </w:tcPr>
          <w:p w14:paraId="402957F1">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6"/>
                <w:rFonts w:hint="default" w:ascii="Times New Roman" w:hAnsi="Times New Roman" w:cs="Times New Roman"/>
                <w:sz w:val="18"/>
                <w:szCs w:val="18"/>
                <w:lang w:val="en-US" w:eastAsia="zh-CN" w:bidi="ar"/>
              </w:rPr>
              <w:t>《中华人民共和国种子法》第三十六条：</w:t>
            </w:r>
            <w:r>
              <w:rPr>
                <w:rFonts w:hint="default" w:ascii="Times New Roman" w:hAnsi="Times New Roman" w:eastAsia="仿宋_GB2312" w:cs="Times New Roman"/>
                <w:i w:val="0"/>
                <w:color w:val="000000"/>
                <w:kern w:val="0"/>
                <w:sz w:val="18"/>
                <w:szCs w:val="18"/>
                <w:u w:val="none"/>
                <w:lang w:val="en-US" w:eastAsia="zh-CN" w:bidi="ar"/>
              </w:rPr>
              <w:t>种子生产经营者应当建立和保存包括种子来源、产地、数量、质量、销售去向、销售日期和有关责任人员等内容的生产经营档案，保证可追溯。种子生产经营档案的具体载明事项，种子生产经营档案及种子样品的保存期限由国务院农业农村、林业草原主管部门规定。</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b/>
                <w:bCs/>
                <w:i w:val="0"/>
                <w:color w:val="000000"/>
                <w:kern w:val="0"/>
                <w:sz w:val="18"/>
                <w:szCs w:val="18"/>
                <w:u w:val="none"/>
                <w:lang w:val="en-US" w:eastAsia="zh-CN" w:bidi="ar"/>
              </w:rPr>
              <w:t>第七十九条</w:t>
            </w:r>
            <w:r>
              <w:rPr>
                <w:rFonts w:hint="eastAsia" w:ascii="Times New Roman" w:hAnsi="Times New Roman" w:cs="Times New Roman"/>
                <w:b/>
                <w:bCs/>
                <w:i w:val="0"/>
                <w:color w:val="000000"/>
                <w:kern w:val="0"/>
                <w:sz w:val="18"/>
                <w:szCs w:val="18"/>
                <w:u w:val="none"/>
                <w:lang w:val="en-US" w:eastAsia="zh-CN" w:bidi="ar"/>
              </w:rPr>
              <w:t>：</w:t>
            </w:r>
            <w:r>
              <w:rPr>
                <w:rFonts w:hint="default" w:ascii="Times New Roman" w:hAnsi="Times New Roman" w:eastAsia="仿宋_GB2312" w:cs="Times New Roman"/>
                <w:i w:val="0"/>
                <w:color w:val="000000"/>
                <w:kern w:val="0"/>
                <w:sz w:val="18"/>
                <w:szCs w:val="18"/>
                <w:u w:val="none"/>
                <w:lang w:val="en-US" w:eastAsia="zh-CN" w:bidi="ar"/>
              </w:rPr>
              <w:t>违反本法第三十六条、第三十八条、第三十九条、第四十条，有下列行为之一的，由县级以上人民政府农业农村、林业草原主管部门责令改正，处二千元以上二万元以下罚款。</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（一）销售的种子应当包装而没有包装的；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（二）销售的种子没有使用说明或者标签内容不符合规定的；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（三）涂改标签的；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（四）未按规定建立、保存种子生产经营档案的；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（五）种子生产经营者在异地设立分支机构、专门经营不再分装的包装种子或者受委托生产、代销种子，未按规定备案的。</w:t>
            </w:r>
          </w:p>
        </w:tc>
        <w:tc>
          <w:tcPr>
            <w:tcW w:w="4800" w:type="dxa"/>
            <w:tcBorders>
              <w:top w:val="single" w:color="000000" w:sz="4" w:space="0"/>
              <w:left w:val="single" w:color="000000" w:sz="4" w:space="0"/>
              <w:bottom w:val="single" w:color="000000" w:sz="4" w:space="0"/>
              <w:right w:val="single" w:color="000000" w:sz="4" w:space="0"/>
            </w:tcBorders>
            <w:noWrap w:val="0"/>
            <w:vAlign w:val="center"/>
          </w:tcPr>
          <w:p w14:paraId="548ACD7B">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6"/>
                <w:rFonts w:hint="default" w:ascii="Times New Roman" w:hAnsi="Times New Roman" w:cs="Times New Roman"/>
                <w:sz w:val="18"/>
                <w:szCs w:val="18"/>
                <w:lang w:val="en-US" w:eastAsia="zh-CN" w:bidi="ar"/>
              </w:rPr>
              <w:t>《中华人民共和国行政处罚法》第三十二条：</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当事人有下列情形之一，应当从轻或者减轻行政处罚：</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（一）主动消除或者减轻违法行为危害后果的；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（二）受他人胁迫或者诱骗实施违法行为的；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（三）主动供述行政机关尚未掌握的违法行为的；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（四）配合行政机关查处违法行为有立功表现的；</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（五）法律、法规、规章规定其他应当从轻或者减轻行政处罚的。</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14:paraId="50EADB98">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加强教育、劝导示范、警示约谈等非强制性方法；及时复查整改情况、加强行政检查等方式。</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942B7FB">
            <w:pPr>
              <w:jc w:val="center"/>
              <w:rPr>
                <w:rFonts w:hint="default" w:ascii="Times New Roman" w:hAnsi="Times New Roman" w:eastAsia="仿宋_GB2312" w:cs="Times New Roman"/>
                <w:i w:val="0"/>
                <w:color w:val="000000"/>
                <w:sz w:val="18"/>
                <w:szCs w:val="18"/>
                <w:u w:val="none"/>
              </w:rPr>
            </w:pPr>
          </w:p>
        </w:tc>
      </w:tr>
      <w:tr w14:paraId="574F5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0" w:hRule="atLeast"/>
          <w:jc w:val="center"/>
        </w:trPr>
        <w:tc>
          <w:tcPr>
            <w:tcW w:w="443" w:type="dxa"/>
            <w:vMerge w:val="restart"/>
            <w:tcBorders>
              <w:top w:val="single" w:color="000000" w:sz="4" w:space="0"/>
              <w:left w:val="single" w:color="000000" w:sz="4" w:space="0"/>
              <w:bottom w:val="single" w:color="000000" w:sz="4" w:space="0"/>
              <w:right w:val="single" w:color="000000" w:sz="4" w:space="0"/>
            </w:tcBorders>
            <w:noWrap w:val="0"/>
            <w:vAlign w:val="center"/>
          </w:tcPr>
          <w:p w14:paraId="571C85B5">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5</w:t>
            </w:r>
          </w:p>
        </w:tc>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14:paraId="18EDDE58">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动物诊疗</w:t>
            </w:r>
          </w:p>
        </w:tc>
        <w:tc>
          <w:tcPr>
            <w:tcW w:w="1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3046F59B">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对变更机构名称或者法定代表人未办理变更手续的动物诊疗机构等行为的行政处罚</w:t>
            </w:r>
            <w:r>
              <w:rPr>
                <w:rFonts w:hint="eastAsia" w:ascii="Times New Roman" w:hAnsi="Times New Roman" w:cs="Times New Roman"/>
                <w:i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103752D4">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有本条违法行为之一，经责令限期改正，在规定期限内积极及时改正的，主动消除或减轻违法行为危害后果</w:t>
            </w:r>
            <w:r>
              <w:rPr>
                <w:rFonts w:hint="eastAsia" w:ascii="Times New Roman" w:hAnsi="Times New Roman" w:cs="Times New Roman"/>
                <w:i w:val="0"/>
                <w:color w:val="000000"/>
                <w:kern w:val="0"/>
                <w:sz w:val="18"/>
                <w:szCs w:val="18"/>
                <w:u w:val="none"/>
                <w:lang w:val="en-US" w:eastAsia="zh-CN" w:bidi="ar"/>
              </w:rPr>
              <w:t>。</w:t>
            </w:r>
          </w:p>
        </w:tc>
        <w:tc>
          <w:tcPr>
            <w:tcW w:w="37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2DE371">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7"/>
                <w:rFonts w:hint="default" w:ascii="Times New Roman" w:hAnsi="Times New Roman" w:cs="Times New Roman"/>
                <w:sz w:val="18"/>
                <w:szCs w:val="18"/>
                <w:lang w:val="en-US" w:eastAsia="zh-CN" w:bidi="ar"/>
              </w:rPr>
              <w:t>《动物诊疗机构管理办法》第三十五条：</w:t>
            </w:r>
            <w:r>
              <w:rPr>
                <w:rStyle w:val="8"/>
                <w:rFonts w:hint="default" w:ascii="Times New Roman" w:hAnsi="Times New Roman" w:cs="Times New Roman"/>
                <w:sz w:val="18"/>
                <w:szCs w:val="18"/>
                <w:lang w:val="en-US" w:eastAsia="zh-CN" w:bidi="ar"/>
              </w:rPr>
              <w:t>违反本办法规定，动物诊疗机构有下列行为之一的，由县级以上地方人民政府农业农村主管部门责令限期改正，处一千元以上五千元以下罚款：</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（一）变更机构名称或者法定代表人（负责人）未办理变更手续的；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（二）未在诊疗场所悬挂动物诊疗许可证或者公示诊疗活动从业人员基本情况的；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（三）未使用规范的病历或未按规定为执业兽医师提供处方笺的，或者不按规定保存病历档案的；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（四）使用未在本机构备案从业的执业兽医从事动物诊疗活动的。</w:t>
            </w:r>
          </w:p>
        </w:tc>
        <w:tc>
          <w:tcPr>
            <w:tcW w:w="4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C759B7">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7"/>
                <w:rFonts w:hint="default" w:ascii="Times New Roman" w:hAnsi="Times New Roman" w:cs="Times New Roman"/>
                <w:sz w:val="18"/>
                <w:szCs w:val="18"/>
                <w:lang w:val="en-US" w:eastAsia="zh-CN" w:bidi="ar"/>
              </w:rPr>
              <w:t>《中华人民共和国行政处罚法》第三十二条：</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当事人有下列情形之一，应当从轻或者减轻行政处罚：</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（一）主动消除或者减轻违法行为危害后果的；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（二）受他人胁迫或者诱骗实施违法行为的；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（三）主动供述行政机关尚未掌握的违法行为的；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（四）配合行政机关查处违法行为有立功表现的；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（五）法律、法规、规章规定其他应当从轻或者减轻行政处罚的。</w:t>
            </w:r>
          </w:p>
        </w:tc>
        <w:tc>
          <w:tcPr>
            <w:tcW w:w="1396" w:type="dxa"/>
            <w:vMerge w:val="restart"/>
            <w:tcBorders>
              <w:top w:val="single" w:color="000000" w:sz="4" w:space="0"/>
              <w:left w:val="single" w:color="000000" w:sz="4" w:space="0"/>
              <w:bottom w:val="single" w:color="000000" w:sz="4" w:space="0"/>
              <w:right w:val="single" w:color="000000" w:sz="4" w:space="0"/>
            </w:tcBorders>
            <w:noWrap w:val="0"/>
            <w:vAlign w:val="center"/>
          </w:tcPr>
          <w:p w14:paraId="6CA54CDA">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加强教育、劝导示范、警示约谈等非强制性方法；及时复查整改情况、加强行政检查等方式。</w:t>
            </w:r>
          </w:p>
        </w:tc>
        <w:tc>
          <w:tcPr>
            <w:tcW w:w="517" w:type="dxa"/>
            <w:vMerge w:val="restart"/>
            <w:tcBorders>
              <w:top w:val="single" w:color="000000" w:sz="4" w:space="0"/>
              <w:left w:val="single" w:color="000000" w:sz="4" w:space="0"/>
              <w:bottom w:val="single" w:color="000000" w:sz="4" w:space="0"/>
              <w:right w:val="single" w:color="000000" w:sz="4" w:space="0"/>
            </w:tcBorders>
            <w:noWrap w:val="0"/>
            <w:vAlign w:val="center"/>
          </w:tcPr>
          <w:p w14:paraId="15BC3E90">
            <w:pPr>
              <w:jc w:val="center"/>
              <w:rPr>
                <w:rFonts w:hint="default" w:ascii="Times New Roman" w:hAnsi="Times New Roman" w:eastAsia="仿宋_GB2312" w:cs="Times New Roman"/>
                <w:i w:val="0"/>
                <w:color w:val="000000"/>
                <w:sz w:val="18"/>
                <w:szCs w:val="18"/>
                <w:u w:val="none"/>
              </w:rPr>
            </w:pPr>
          </w:p>
        </w:tc>
      </w:tr>
      <w:tr w14:paraId="530C4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3" w:hRule="atLeast"/>
          <w:jc w:val="center"/>
        </w:trPr>
        <w:tc>
          <w:tcPr>
            <w:tcW w:w="44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E5C1BE">
            <w:pPr>
              <w:jc w:val="center"/>
              <w:rPr>
                <w:rFonts w:hint="default" w:ascii="Times New Roman" w:hAnsi="Times New Roman" w:eastAsia="仿宋_GB2312" w:cs="Times New Roman"/>
                <w:i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9CFBC8">
            <w:pPr>
              <w:jc w:val="center"/>
              <w:rPr>
                <w:rFonts w:hint="default" w:ascii="Times New Roman" w:hAnsi="Times New Roman" w:eastAsia="仿宋_GB2312" w:cs="Times New Roman"/>
                <w:i w:val="0"/>
                <w:color w:val="000000"/>
                <w:sz w:val="18"/>
                <w:szCs w:val="18"/>
                <w:u w:val="none"/>
              </w:rPr>
            </w:pPr>
          </w:p>
        </w:tc>
        <w:tc>
          <w:tcPr>
            <w:tcW w:w="1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3EA6D6">
            <w:pPr>
              <w:jc w:val="center"/>
              <w:rPr>
                <w:rFonts w:hint="default" w:ascii="Times New Roman" w:hAnsi="Times New Roman" w:eastAsia="仿宋_GB2312" w:cs="Times New Roman"/>
                <w:i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5DA7598D">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经核实无其他违法违规行为</w:t>
            </w:r>
            <w:r>
              <w:rPr>
                <w:rFonts w:hint="eastAsia" w:ascii="Times New Roman" w:hAnsi="Times New Roman" w:cs="Times New Roman"/>
                <w:i w:val="0"/>
                <w:color w:val="000000"/>
                <w:kern w:val="0"/>
                <w:sz w:val="18"/>
                <w:szCs w:val="18"/>
                <w:u w:val="none"/>
                <w:lang w:val="en-US" w:eastAsia="zh-CN" w:bidi="ar"/>
              </w:rPr>
              <w:t>。</w:t>
            </w:r>
          </w:p>
        </w:tc>
        <w:tc>
          <w:tcPr>
            <w:tcW w:w="3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3B03EC">
            <w:pPr>
              <w:jc w:val="left"/>
              <w:rPr>
                <w:rFonts w:hint="default" w:ascii="Times New Roman" w:hAnsi="Times New Roman" w:eastAsia="仿宋_GB2312" w:cs="Times New Roman"/>
                <w:b/>
                <w:i w:val="0"/>
                <w:color w:val="000000"/>
                <w:sz w:val="18"/>
                <w:szCs w:val="18"/>
                <w:u w:val="none"/>
              </w:rPr>
            </w:pPr>
          </w:p>
        </w:tc>
        <w:tc>
          <w:tcPr>
            <w:tcW w:w="4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FAF3F">
            <w:pPr>
              <w:jc w:val="left"/>
              <w:rPr>
                <w:rFonts w:hint="default" w:ascii="Times New Roman" w:hAnsi="Times New Roman" w:eastAsia="仿宋_GB2312" w:cs="Times New Roman"/>
                <w:b/>
                <w:i w:val="0"/>
                <w:color w:val="000000"/>
                <w:sz w:val="18"/>
                <w:szCs w:val="18"/>
                <w:u w:val="none"/>
              </w:rPr>
            </w:pPr>
          </w:p>
        </w:tc>
        <w:tc>
          <w:tcPr>
            <w:tcW w:w="13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8F810A">
            <w:pPr>
              <w:jc w:val="left"/>
              <w:rPr>
                <w:rFonts w:hint="default" w:ascii="Times New Roman" w:hAnsi="Times New Roman" w:eastAsia="仿宋_GB2312" w:cs="Times New Roman"/>
                <w:i w:val="0"/>
                <w:color w:val="000000"/>
                <w:sz w:val="18"/>
                <w:szCs w:val="18"/>
                <w:u w:val="none"/>
              </w:rPr>
            </w:pPr>
          </w:p>
        </w:tc>
        <w:tc>
          <w:tcPr>
            <w:tcW w:w="5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66DC04">
            <w:pPr>
              <w:jc w:val="center"/>
              <w:rPr>
                <w:rFonts w:hint="default" w:ascii="Times New Roman" w:hAnsi="Times New Roman" w:eastAsia="仿宋_GB2312" w:cs="Times New Roman"/>
                <w:i w:val="0"/>
                <w:color w:val="000000"/>
                <w:sz w:val="18"/>
                <w:szCs w:val="18"/>
                <w:u w:val="none"/>
              </w:rPr>
            </w:pPr>
          </w:p>
        </w:tc>
      </w:tr>
      <w:tr w14:paraId="49353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0" w:hRule="atLeast"/>
          <w:jc w:val="center"/>
        </w:trPr>
        <w:tc>
          <w:tcPr>
            <w:tcW w:w="443" w:type="dxa"/>
            <w:tcBorders>
              <w:top w:val="single" w:color="000000" w:sz="4" w:space="0"/>
              <w:left w:val="single" w:color="000000" w:sz="4" w:space="0"/>
              <w:bottom w:val="single" w:color="000000" w:sz="4" w:space="0"/>
              <w:right w:val="single" w:color="000000" w:sz="4" w:space="0"/>
            </w:tcBorders>
            <w:noWrap w:val="0"/>
            <w:vAlign w:val="center"/>
          </w:tcPr>
          <w:p w14:paraId="37EFC581">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C00D298">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畜牧</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5279E355">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未保存养殖档案的行政处罚</w:t>
            </w:r>
            <w:r>
              <w:rPr>
                <w:rFonts w:hint="eastAsia" w:ascii="Times New Roman" w:hAnsi="Times New Roman" w:cs="Times New Roman"/>
                <w:i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14:paraId="516FDDC0">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责令改正，货值金额不足1万元</w:t>
            </w:r>
            <w:r>
              <w:rPr>
                <w:rFonts w:hint="eastAsia" w:ascii="Times New Roman" w:hAnsi="Times New Roman" w:cs="Times New Roman"/>
                <w:i w:val="0"/>
                <w:color w:val="000000"/>
                <w:kern w:val="0"/>
                <w:sz w:val="18"/>
                <w:szCs w:val="18"/>
                <w:u w:val="none"/>
                <w:lang w:val="en-US" w:eastAsia="zh-CN" w:bidi="ar"/>
              </w:rPr>
              <w:t>，</w:t>
            </w:r>
            <w:r>
              <w:rPr>
                <w:rFonts w:hint="default" w:ascii="Times New Roman" w:hAnsi="Times New Roman" w:eastAsia="仿宋_GB2312" w:cs="Times New Roman"/>
                <w:i w:val="0"/>
                <w:color w:val="000000"/>
                <w:kern w:val="0"/>
                <w:sz w:val="18"/>
                <w:szCs w:val="18"/>
                <w:u w:val="none"/>
                <w:lang w:val="en-US" w:eastAsia="zh-CN" w:bidi="ar"/>
              </w:rPr>
              <w:t>具有减轻情形，没有造成危害后果</w:t>
            </w:r>
            <w:r>
              <w:rPr>
                <w:rFonts w:hint="eastAsia" w:ascii="Times New Roman" w:hAnsi="Times New Roman" w:cs="Times New Roman"/>
                <w:i w:val="0"/>
                <w:color w:val="000000"/>
                <w:kern w:val="0"/>
                <w:sz w:val="18"/>
                <w:szCs w:val="18"/>
                <w:u w:val="none"/>
                <w:lang w:val="en-US" w:eastAsia="zh-CN" w:bidi="ar"/>
              </w:rPr>
              <w:t>。</w:t>
            </w:r>
          </w:p>
        </w:tc>
        <w:tc>
          <w:tcPr>
            <w:tcW w:w="3750" w:type="dxa"/>
            <w:tcBorders>
              <w:top w:val="single" w:color="000000" w:sz="4" w:space="0"/>
              <w:left w:val="single" w:color="000000" w:sz="4" w:space="0"/>
              <w:bottom w:val="single" w:color="000000" w:sz="4" w:space="0"/>
              <w:right w:val="single" w:color="000000" w:sz="4" w:space="0"/>
            </w:tcBorders>
            <w:noWrap w:val="0"/>
            <w:vAlign w:val="center"/>
          </w:tcPr>
          <w:p w14:paraId="63C0100D">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7"/>
                <w:rFonts w:hint="default" w:ascii="Times New Roman" w:hAnsi="Times New Roman" w:cs="Times New Roman"/>
                <w:sz w:val="18"/>
                <w:szCs w:val="18"/>
                <w:lang w:val="en-US" w:eastAsia="zh-CN" w:bidi="ar"/>
              </w:rPr>
              <w:t>《中华人民共和国畜牧法》第八十六条：</w:t>
            </w:r>
            <w:r>
              <w:rPr>
                <w:rStyle w:val="8"/>
                <w:rFonts w:hint="default" w:ascii="Times New Roman" w:hAnsi="Times New Roman" w:cs="Times New Roman"/>
                <w:sz w:val="18"/>
                <w:szCs w:val="18"/>
                <w:lang w:val="en-US" w:eastAsia="zh-CN" w:bidi="ar"/>
              </w:rPr>
              <w:t>违反本法规定，兴办畜禽养殖场未备案，畜禽养殖场未建立养殖档案或者未按照规定保存养殖档案的，由县级以上地方人民政府农业农村主管部门责令限期改正，可以处一万元以下罚款。</w:t>
            </w:r>
          </w:p>
        </w:tc>
        <w:tc>
          <w:tcPr>
            <w:tcW w:w="4800" w:type="dxa"/>
            <w:tcBorders>
              <w:top w:val="single" w:color="000000" w:sz="4" w:space="0"/>
              <w:left w:val="single" w:color="000000" w:sz="4" w:space="0"/>
              <w:bottom w:val="single" w:color="000000" w:sz="4" w:space="0"/>
              <w:right w:val="single" w:color="000000" w:sz="4" w:space="0"/>
            </w:tcBorders>
            <w:noWrap w:val="0"/>
            <w:vAlign w:val="center"/>
          </w:tcPr>
          <w:p w14:paraId="255C086B">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Style w:val="7"/>
                <w:rFonts w:hint="default" w:ascii="Times New Roman" w:hAnsi="Times New Roman" w:cs="Times New Roman"/>
                <w:sz w:val="18"/>
                <w:szCs w:val="18"/>
                <w:lang w:val="en-US" w:eastAsia="zh-CN" w:bidi="ar"/>
              </w:rPr>
              <w:t>《中华人民共和国行政处罚法》第三十二条：</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当事人有下列情形之一，应当从轻或者减轻行政处罚：</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（一）主动消除或者减轻违法行为危害后果的；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（二）受他人胁迫或者诱骗实施违法行为的；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（三）主动供述行政机关尚未掌握的违法行为的；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（四）配合行政机关查处违法行为有立功表现的；</w:t>
            </w:r>
            <w:r>
              <w:rPr>
                <w:rStyle w:val="8"/>
                <w:rFonts w:hint="default" w:ascii="Times New Roman" w:hAnsi="Times New Roman" w:cs="Times New Roman"/>
                <w:sz w:val="18"/>
                <w:szCs w:val="18"/>
                <w:lang w:val="en-US" w:eastAsia="zh-CN" w:bidi="ar"/>
              </w:rPr>
              <w:br w:type="textWrapping"/>
            </w:r>
            <w:r>
              <w:rPr>
                <w:rStyle w:val="8"/>
                <w:rFonts w:hint="default" w:ascii="Times New Roman" w:hAnsi="Times New Roman" w:cs="Times New Roman"/>
                <w:sz w:val="18"/>
                <w:szCs w:val="18"/>
                <w:lang w:val="en-US" w:eastAsia="zh-CN" w:bidi="ar"/>
              </w:rPr>
              <w:t>（五）法律、法规、规章规定其他应当从轻或者减轻行政处罚的。</w:t>
            </w:r>
          </w:p>
        </w:tc>
        <w:tc>
          <w:tcPr>
            <w:tcW w:w="1396" w:type="dxa"/>
            <w:tcBorders>
              <w:top w:val="single" w:color="000000" w:sz="4" w:space="0"/>
              <w:left w:val="single" w:color="000000" w:sz="4" w:space="0"/>
              <w:bottom w:val="single" w:color="000000" w:sz="4" w:space="0"/>
              <w:right w:val="single" w:color="000000" w:sz="4" w:space="0"/>
            </w:tcBorders>
            <w:noWrap w:val="0"/>
            <w:vAlign w:val="center"/>
          </w:tcPr>
          <w:p w14:paraId="26EFD2F8">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加强教育、劝导示范、警示约谈等非强制性方法；及时复查整改情况、加强行政检查等方式。</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67C2980">
            <w:pPr>
              <w:jc w:val="center"/>
              <w:rPr>
                <w:rFonts w:hint="default" w:ascii="Times New Roman" w:hAnsi="Times New Roman" w:eastAsia="仿宋_GB2312" w:cs="Times New Roman"/>
                <w:i w:val="0"/>
                <w:color w:val="000000"/>
                <w:sz w:val="18"/>
                <w:szCs w:val="18"/>
                <w:u w:val="none"/>
              </w:rPr>
            </w:pPr>
          </w:p>
        </w:tc>
      </w:tr>
      <w:tr w14:paraId="4CE32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4993" w:type="dxa"/>
            <w:gridSpan w:val="8"/>
            <w:tcBorders>
              <w:top w:val="single" w:color="000000" w:sz="4" w:space="0"/>
              <w:left w:val="single" w:color="000000" w:sz="4" w:space="0"/>
              <w:bottom w:val="single" w:color="000000" w:sz="4" w:space="0"/>
              <w:right w:val="single" w:color="000000" w:sz="4" w:space="0"/>
            </w:tcBorders>
            <w:noWrap w:val="0"/>
            <w:vAlign w:val="center"/>
          </w:tcPr>
          <w:p w14:paraId="0F75C00B">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备注：本清单未列明的违法事项，如果符合《中华人民共和国行政处罚法》关于减轻处罚的规定，可以直接适用减轻处罚规定。</w:t>
            </w:r>
          </w:p>
        </w:tc>
      </w:tr>
    </w:tbl>
    <w:p w14:paraId="4193AE83">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outlineLvl w:val="9"/>
        <w:rPr>
          <w:rStyle w:val="5"/>
          <w:rFonts w:hint="default" w:ascii="Times New Roman" w:hAnsi="Times New Roman" w:eastAsia="黑体" w:cs="Times New Roman"/>
          <w:sz w:val="32"/>
          <w:szCs w:val="32"/>
          <w:lang w:val="en-US" w:eastAsia="zh-CN" w:bidi="ar"/>
        </w:rPr>
        <w:sectPr>
          <w:pgSz w:w="16840" w:h="11907" w:orient="landscape"/>
          <w:pgMar w:top="2098" w:right="1474" w:bottom="1395" w:left="1587" w:header="851" w:footer="992" w:gutter="0"/>
          <w:pgNumType w:fmt="numberInDash"/>
          <w:cols w:space="720" w:num="1"/>
          <w:rtlGutter w:val="0"/>
          <w:docGrid w:type="linesAndChars" w:linePitch="589" w:charSpace="-842"/>
        </w:sectPr>
      </w:pPr>
    </w:p>
    <w:p w14:paraId="510A00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5E758B"/>
    <w:multiLevelType w:val="multilevel"/>
    <w:tmpl w:val="5E5E758B"/>
    <w:lvl w:ilvl="0" w:tentative="0">
      <w:start w:val="1"/>
      <w:numFmt w:val="koreanDigital2"/>
      <w:lvlText w:val="第%1章 "/>
      <w:lvlJc w:val="left"/>
      <w:pPr>
        <w:tabs>
          <w:tab w:val="left" w:pos="1930"/>
        </w:tabs>
        <w:ind w:left="1282" w:hanging="432"/>
      </w:pPr>
      <w:rPr>
        <w:b w:val="0"/>
        <w:bCs w:val="0"/>
        <w:i w:val="0"/>
        <w:iCs w:val="0"/>
        <w:caps w:val="0"/>
        <w:smallCaps w:val="0"/>
        <w:strike w:val="0"/>
        <w:dstrike w:val="0"/>
        <w:vanish w:val="0"/>
        <w:spacing w:val="0"/>
        <w:position w:val="0"/>
        <w:u w:val="none"/>
        <w:vertAlign w:val="baseline"/>
      </w:rPr>
    </w:lvl>
    <w:lvl w:ilvl="1" w:tentative="0">
      <w:start w:val="1"/>
      <w:numFmt w:val="decimal"/>
      <w:pStyle w:val="2"/>
      <w:isLgl/>
      <w:lvlText w:val="%1.%2"/>
      <w:lvlJc w:val="left"/>
      <w:pPr>
        <w:tabs>
          <w:tab w:val="left" w:pos="756"/>
        </w:tabs>
        <w:ind w:left="756" w:hanging="576"/>
      </w:pPr>
      <w:rPr>
        <w:rFonts w:hint="default" w:ascii="Arial" w:hAnsi="Arial" w:eastAsia="黑体"/>
        <w:color w:val="000000"/>
      </w:rPr>
    </w:lvl>
    <w:lvl w:ilvl="2" w:tentative="0">
      <w:start w:val="1"/>
      <w:numFmt w:val="decimal"/>
      <w:isLgl/>
      <w:lvlText w:val="%1.%2.%3"/>
      <w:lvlJc w:val="left"/>
      <w:pPr>
        <w:tabs>
          <w:tab w:val="left" w:pos="2279"/>
        </w:tabs>
        <w:ind w:left="2279" w:hanging="720"/>
      </w:pPr>
      <w:rPr>
        <w:rFonts w:hint="eastAsia" w:ascii="黑体" w:hAnsi="黑体" w:eastAsia="黑体"/>
      </w:rPr>
    </w:lvl>
    <w:lvl w:ilvl="3" w:tentative="0">
      <w:start w:val="1"/>
      <w:numFmt w:val="decimal"/>
      <w:isLgl/>
      <w:lvlText w:val="%1.%2.%3.%4"/>
      <w:lvlJc w:val="left"/>
      <w:pPr>
        <w:tabs>
          <w:tab w:val="left" w:pos="1573"/>
        </w:tabs>
        <w:ind w:left="1573" w:hanging="864"/>
      </w:pPr>
      <w:rPr>
        <w:rFonts w:hint="default" w:ascii="Times New Roman" w:hAnsi="Times New Roman" w:cs="Times New Roman"/>
        <w:sz w:val="28"/>
        <w:szCs w:val="28"/>
      </w:rPr>
    </w:lvl>
    <w:lvl w:ilvl="4" w:tentative="0">
      <w:start w:val="1"/>
      <w:numFmt w:val="decimal"/>
      <w:isLgl/>
      <w:lvlText w:val="%1.%2.%3.%4.%5"/>
      <w:lvlJc w:val="left"/>
      <w:pPr>
        <w:tabs>
          <w:tab w:val="left" w:pos="1218"/>
        </w:tabs>
        <w:ind w:left="1218" w:hanging="1008"/>
      </w:pPr>
      <w:rPr>
        <w:rFonts w:hint="default" w:ascii="Times New Roman" w:hAnsi="Times New Roman" w:cs="Times New Roman"/>
        <w:b/>
      </w:rPr>
    </w:lvl>
    <w:lvl w:ilvl="5" w:tentative="0">
      <w:start w:val="1"/>
      <w:numFmt w:val="decimal"/>
      <w:isLgl/>
      <w:lvlText w:val="%1.%2.%3.%4.%5.%6"/>
      <w:lvlJc w:val="left"/>
      <w:pPr>
        <w:tabs>
          <w:tab w:val="left" w:pos="1362"/>
        </w:tabs>
        <w:ind w:left="1362" w:hanging="1152"/>
      </w:pPr>
      <w:rPr>
        <w:rFonts w:hint="eastAsia"/>
      </w:rPr>
    </w:lvl>
    <w:lvl w:ilvl="6" w:tentative="0">
      <w:start w:val="1"/>
      <w:numFmt w:val="decimal"/>
      <w:isLgl/>
      <w:lvlText w:val="%1.%2.%3.%4.%5.%6.%7"/>
      <w:lvlJc w:val="left"/>
      <w:pPr>
        <w:tabs>
          <w:tab w:val="left" w:pos="1506"/>
        </w:tabs>
        <w:ind w:left="1506" w:hanging="1296"/>
      </w:pPr>
      <w:rPr>
        <w:rFonts w:hint="eastAsia"/>
      </w:rPr>
    </w:lvl>
    <w:lvl w:ilvl="7" w:tentative="0">
      <w:start w:val="1"/>
      <w:numFmt w:val="decimal"/>
      <w:isLgl/>
      <w:lvlText w:val="%1.%2.%3.%4.%5.%6.%7.%8"/>
      <w:lvlJc w:val="left"/>
      <w:pPr>
        <w:tabs>
          <w:tab w:val="left" w:pos="1650"/>
        </w:tabs>
        <w:ind w:left="1650" w:hanging="1440"/>
      </w:pPr>
      <w:rPr>
        <w:rFonts w:hint="eastAsia"/>
      </w:rPr>
    </w:lvl>
    <w:lvl w:ilvl="8" w:tentative="0">
      <w:start w:val="1"/>
      <w:numFmt w:val="decimal"/>
      <w:isLgl/>
      <w:lvlText w:val="%1.%2.%3.%4.%5.%6.%7.%8.%9"/>
      <w:lvlJc w:val="left"/>
      <w:pPr>
        <w:tabs>
          <w:tab w:val="left" w:pos="1794"/>
        </w:tabs>
        <w:ind w:left="179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02016"/>
    <w:rsid w:val="20402016"/>
    <w:rsid w:val="3D763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32"/>
      <w:lang w:val="en-US" w:eastAsia="zh-CN" w:bidi="ar-SA"/>
    </w:rPr>
  </w:style>
  <w:style w:type="paragraph" w:styleId="2">
    <w:name w:val="heading 2"/>
    <w:basedOn w:val="1"/>
    <w:next w:val="1"/>
    <w:qFormat/>
    <w:uiPriority w:val="0"/>
    <w:pPr>
      <w:keepNext/>
      <w:keepLines/>
      <w:numPr>
        <w:ilvl w:val="1"/>
        <w:numId w:val="1"/>
      </w:numPr>
      <w:tabs>
        <w:tab w:val="left" w:pos="567"/>
        <w:tab w:val="left" w:pos="1930"/>
      </w:tabs>
      <w:autoSpaceDE w:val="0"/>
      <w:autoSpaceDN w:val="0"/>
      <w:adjustRightInd w:val="0"/>
      <w:spacing w:line="360" w:lineRule="auto"/>
      <w:jc w:val="left"/>
      <w:outlineLvl w:val="1"/>
    </w:pPr>
    <w:rPr>
      <w:rFonts w:ascii="Arial" w:hAnsi="Arial" w:eastAsia="黑体" w:cs="Times New Roman"/>
      <w:b/>
      <w:kern w:val="0"/>
      <w:sz w:val="30"/>
      <w:szCs w:val="28"/>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font91"/>
    <w:basedOn w:val="4"/>
    <w:qFormat/>
    <w:uiPriority w:val="0"/>
    <w:rPr>
      <w:rFonts w:ascii="仿宋_GB2312" w:hAnsi="Times New Roman" w:eastAsia="仿宋_GB2312" w:cs="仿宋_GB2312"/>
      <w:color w:val="000000"/>
      <w:sz w:val="28"/>
      <w:szCs w:val="28"/>
      <w:u w:val="none"/>
    </w:rPr>
  </w:style>
  <w:style w:type="character" w:customStyle="1" w:styleId="6">
    <w:name w:val="font31"/>
    <w:basedOn w:val="4"/>
    <w:qFormat/>
    <w:uiPriority w:val="0"/>
    <w:rPr>
      <w:rFonts w:hint="eastAsia" w:ascii="仿宋_GB2312" w:eastAsia="仿宋_GB2312" w:cs="仿宋_GB2312"/>
      <w:b/>
      <w:color w:val="000000"/>
      <w:sz w:val="20"/>
      <w:szCs w:val="20"/>
      <w:u w:val="none"/>
    </w:rPr>
  </w:style>
  <w:style w:type="character" w:customStyle="1" w:styleId="7">
    <w:name w:val="font11"/>
    <w:basedOn w:val="4"/>
    <w:qFormat/>
    <w:uiPriority w:val="0"/>
    <w:rPr>
      <w:rFonts w:hint="eastAsia" w:ascii="仿宋_GB2312" w:eastAsia="仿宋_GB2312" w:cs="仿宋_GB2312"/>
      <w:b/>
      <w:color w:val="000000"/>
      <w:sz w:val="32"/>
      <w:szCs w:val="32"/>
      <w:u w:val="none"/>
    </w:rPr>
  </w:style>
  <w:style w:type="character" w:customStyle="1" w:styleId="8">
    <w:name w:val="font41"/>
    <w:basedOn w:val="4"/>
    <w:qFormat/>
    <w:uiPriority w:val="0"/>
    <w:rPr>
      <w:rFonts w:hint="eastAsia" w:ascii="仿宋_GB2312" w:hAnsi="Times New Roman"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2025-04-25T10:25:00Z</dcterms:created>
  <dc:creator>Mr.Gump</dc:creator>
  <cp:lastModifiedBy>Mr.Gump</cp:lastModifiedBy>
  <dcterms:modified xsi:type="dcterms:W3CDTF">2025-04-25T10:30:51Z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B52CDDF0054A4CE39FB2187131369932_11</vt:lpwstr>
  </property>
</Properties>
</file>