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C24F7">
      <w:pPr>
        <w:keepNext w:val="0"/>
        <w:keepLines w:val="0"/>
        <w:pageBreakBefore w:val="0"/>
        <w:widowControl w:val="0"/>
        <w:suppressLineNumbers w:val="0"/>
        <w:kinsoku/>
        <w:wordWrap/>
        <w:overflowPunct/>
        <w:topLinePunct w:val="0"/>
        <w:autoSpaceDE/>
        <w:autoSpaceDN/>
        <w:bidi w:val="0"/>
        <w:adjustRightInd/>
        <w:snapToGrid/>
        <w:spacing w:line="560" w:lineRule="exact"/>
        <w:jc w:val="center"/>
        <w:textAlignment w:val="center"/>
        <w:outlineLvl w:val="9"/>
        <w:rPr>
          <w:rFonts w:hint="default" w:ascii="Times New Roman" w:hAnsi="Times New Roman" w:eastAsia="方正小标宋简体" w:cs="Times New Roman"/>
          <w:i w:val="0"/>
          <w:color w:val="222222"/>
          <w:sz w:val="36"/>
          <w:szCs w:val="36"/>
          <w:u w:val="none"/>
        </w:rPr>
      </w:pPr>
      <w:r>
        <w:rPr>
          <w:rStyle w:val="6"/>
          <w:rFonts w:hint="eastAsia" w:ascii="Times New Roman" w:hAnsi="Times New Roman" w:eastAsia="方正小标宋简体" w:cs="Times New Roman"/>
          <w:sz w:val="36"/>
          <w:szCs w:val="36"/>
          <w:lang w:val="en-US" w:eastAsia="zh-CN" w:bidi="ar"/>
        </w:rPr>
        <w:t>霍城县</w:t>
      </w:r>
      <w:r>
        <w:rPr>
          <w:rStyle w:val="6"/>
          <w:rFonts w:hint="default" w:ascii="Times New Roman" w:hAnsi="Times New Roman" w:eastAsia="方正小标宋简体" w:cs="Times New Roman"/>
          <w:sz w:val="36"/>
          <w:szCs w:val="36"/>
          <w:lang w:val="en-US" w:eastAsia="zh-CN" w:bidi="ar"/>
        </w:rPr>
        <w:t>农业领域从轻行政处罚清单（试行）</w:t>
      </w: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
        <w:gridCol w:w="695"/>
        <w:gridCol w:w="1680"/>
        <w:gridCol w:w="1741"/>
        <w:gridCol w:w="3755"/>
        <w:gridCol w:w="4775"/>
        <w:gridCol w:w="1439"/>
        <w:gridCol w:w="456"/>
      </w:tblGrid>
      <w:tr w14:paraId="2BEB3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85C7239">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序号</w:t>
            </w:r>
          </w:p>
        </w:tc>
        <w:tc>
          <w:tcPr>
            <w:tcW w:w="695" w:type="dxa"/>
            <w:vMerge w:val="restart"/>
            <w:tcBorders>
              <w:top w:val="single" w:color="000000" w:sz="4" w:space="0"/>
              <w:left w:val="single" w:color="000000" w:sz="4" w:space="0"/>
              <w:bottom w:val="single" w:color="000000" w:sz="4" w:space="0"/>
              <w:right w:val="single" w:color="000000" w:sz="4" w:space="0"/>
            </w:tcBorders>
            <w:noWrap w:val="0"/>
            <w:vAlign w:val="center"/>
          </w:tcPr>
          <w:p w14:paraId="6435C97A">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管理领域</w:t>
            </w:r>
          </w:p>
        </w:tc>
        <w:tc>
          <w:tcPr>
            <w:tcW w:w="16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8934B6">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违法事项</w:t>
            </w:r>
          </w:p>
        </w:tc>
        <w:tc>
          <w:tcPr>
            <w:tcW w:w="1741" w:type="dxa"/>
            <w:tcBorders>
              <w:top w:val="single" w:color="000000" w:sz="4" w:space="0"/>
              <w:left w:val="single" w:color="000000" w:sz="4" w:space="0"/>
              <w:bottom w:val="single" w:color="000000" w:sz="4" w:space="0"/>
              <w:right w:val="single" w:color="000000" w:sz="4" w:space="0"/>
            </w:tcBorders>
            <w:noWrap w:val="0"/>
            <w:vAlign w:val="center"/>
          </w:tcPr>
          <w:p w14:paraId="59153903">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处罚条件</w:t>
            </w:r>
          </w:p>
        </w:tc>
        <w:tc>
          <w:tcPr>
            <w:tcW w:w="3755" w:type="dxa"/>
            <w:vMerge w:val="restart"/>
            <w:tcBorders>
              <w:top w:val="single" w:color="000000" w:sz="4" w:space="0"/>
              <w:left w:val="single" w:color="000000" w:sz="4" w:space="0"/>
              <w:bottom w:val="single" w:color="000000" w:sz="4" w:space="0"/>
              <w:right w:val="single" w:color="000000" w:sz="4" w:space="0"/>
            </w:tcBorders>
            <w:noWrap w:val="0"/>
            <w:vAlign w:val="center"/>
          </w:tcPr>
          <w:p w14:paraId="7946106A">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法律依据</w:t>
            </w:r>
          </w:p>
        </w:tc>
        <w:tc>
          <w:tcPr>
            <w:tcW w:w="4775" w:type="dxa"/>
            <w:vMerge w:val="restart"/>
            <w:tcBorders>
              <w:top w:val="single" w:color="000000" w:sz="4" w:space="0"/>
              <w:left w:val="single" w:color="000000" w:sz="4" w:space="0"/>
              <w:bottom w:val="single" w:color="000000" w:sz="4" w:space="0"/>
              <w:right w:val="single" w:color="000000" w:sz="4" w:space="0"/>
            </w:tcBorders>
            <w:noWrap w:val="0"/>
            <w:vAlign w:val="center"/>
          </w:tcPr>
          <w:p w14:paraId="1F1E5E4E">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行政处罚的依据</w:t>
            </w:r>
          </w:p>
        </w:tc>
        <w:tc>
          <w:tcPr>
            <w:tcW w:w="1439" w:type="dxa"/>
            <w:vMerge w:val="restart"/>
            <w:tcBorders>
              <w:top w:val="single" w:color="000000" w:sz="4" w:space="0"/>
              <w:left w:val="single" w:color="000000" w:sz="4" w:space="0"/>
              <w:bottom w:val="single" w:color="000000" w:sz="4" w:space="0"/>
              <w:right w:val="single" w:color="000000" w:sz="4" w:space="0"/>
            </w:tcBorders>
            <w:noWrap w:val="0"/>
            <w:vAlign w:val="center"/>
          </w:tcPr>
          <w:p w14:paraId="0B811502">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后续监管措施</w:t>
            </w:r>
          </w:p>
        </w:tc>
        <w:tc>
          <w:tcPr>
            <w:tcW w:w="456" w:type="dxa"/>
            <w:vMerge w:val="restart"/>
            <w:tcBorders>
              <w:top w:val="single" w:color="000000" w:sz="4" w:space="0"/>
              <w:left w:val="single" w:color="000000" w:sz="4" w:space="0"/>
              <w:bottom w:val="single" w:color="000000" w:sz="4" w:space="0"/>
              <w:right w:val="single" w:color="000000" w:sz="4" w:space="0"/>
            </w:tcBorders>
            <w:noWrap w:val="0"/>
            <w:vAlign w:val="center"/>
          </w:tcPr>
          <w:p w14:paraId="6CCB6C62">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备注</w:t>
            </w:r>
          </w:p>
        </w:tc>
      </w:tr>
      <w:tr w14:paraId="01148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CA9768">
            <w:pPr>
              <w:jc w:val="center"/>
              <w:rPr>
                <w:rFonts w:hint="default" w:ascii="Times New Roman" w:hAnsi="Times New Roman" w:eastAsia="Nimbus Roman No9 L" w:cs="Times New Roman"/>
                <w:i w:val="0"/>
                <w:color w:val="000000"/>
                <w:sz w:val="18"/>
                <w:szCs w:val="18"/>
                <w:u w:val="none"/>
              </w:rPr>
            </w:pPr>
          </w:p>
        </w:tc>
        <w:tc>
          <w:tcPr>
            <w:tcW w:w="6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4AB335">
            <w:pPr>
              <w:jc w:val="center"/>
              <w:rPr>
                <w:rFonts w:hint="default" w:ascii="Times New Roman" w:hAnsi="Times New Roman" w:eastAsia="Nimbus Roman No9 L" w:cs="Times New Roman"/>
                <w:i w:val="0"/>
                <w:color w:val="000000"/>
                <w:sz w:val="18"/>
                <w:szCs w:val="18"/>
                <w:u w:val="none"/>
              </w:rPr>
            </w:pPr>
          </w:p>
        </w:tc>
        <w:tc>
          <w:tcPr>
            <w:tcW w:w="1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A15B0">
            <w:pPr>
              <w:jc w:val="center"/>
              <w:rPr>
                <w:rFonts w:hint="default" w:ascii="Times New Roman" w:hAnsi="Times New Roman" w:eastAsia="Nimbus Roman No9 L" w:cs="Times New Roman"/>
                <w:i w:val="0"/>
                <w:color w:val="000000"/>
                <w:sz w:val="18"/>
                <w:szCs w:val="18"/>
                <w:u w:val="none"/>
              </w:rPr>
            </w:pPr>
          </w:p>
        </w:tc>
        <w:tc>
          <w:tcPr>
            <w:tcW w:w="1741" w:type="dxa"/>
            <w:tcBorders>
              <w:top w:val="single" w:color="000000" w:sz="4" w:space="0"/>
              <w:left w:val="single" w:color="000000" w:sz="4" w:space="0"/>
              <w:bottom w:val="single" w:color="000000" w:sz="4" w:space="0"/>
              <w:right w:val="single" w:color="000000" w:sz="4" w:space="0"/>
            </w:tcBorders>
            <w:noWrap w:val="0"/>
            <w:vAlign w:val="center"/>
          </w:tcPr>
          <w:p w14:paraId="38678576">
            <w:pPr>
              <w:keepNext w:val="0"/>
              <w:keepLines w:val="0"/>
              <w:widowControl/>
              <w:suppressLineNumbers w:val="0"/>
              <w:jc w:val="center"/>
              <w:textAlignment w:val="center"/>
              <w:rPr>
                <w:rFonts w:hint="default" w:ascii="Times New Roman" w:hAnsi="Times New Roman" w:eastAsia="Nimbus Roman No9 L" w:cs="Times New Roman"/>
                <w:i w:val="0"/>
                <w:color w:val="000000"/>
                <w:sz w:val="18"/>
                <w:szCs w:val="18"/>
                <w:u w:val="none"/>
              </w:rPr>
            </w:pPr>
            <w:r>
              <w:rPr>
                <w:rStyle w:val="7"/>
                <w:rFonts w:hint="default" w:ascii="Times New Roman" w:hAnsi="Times New Roman" w:cs="Times New Roman"/>
                <w:sz w:val="18"/>
                <w:szCs w:val="18"/>
                <w:lang w:val="en-US" w:eastAsia="zh-CN" w:bidi="ar"/>
              </w:rPr>
              <w:t>（需同时满足）</w:t>
            </w:r>
          </w:p>
        </w:tc>
        <w:tc>
          <w:tcPr>
            <w:tcW w:w="375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B322A2">
            <w:pPr>
              <w:jc w:val="center"/>
              <w:rPr>
                <w:rFonts w:hint="default" w:ascii="Times New Roman" w:hAnsi="Times New Roman" w:eastAsia="Nimbus Roman No9 L" w:cs="Times New Roman"/>
                <w:i w:val="0"/>
                <w:color w:val="000000"/>
                <w:sz w:val="18"/>
                <w:szCs w:val="18"/>
                <w:u w:val="none"/>
              </w:rPr>
            </w:pPr>
          </w:p>
        </w:tc>
        <w:tc>
          <w:tcPr>
            <w:tcW w:w="47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3365D">
            <w:pPr>
              <w:jc w:val="center"/>
              <w:rPr>
                <w:rFonts w:hint="default" w:ascii="Times New Roman" w:hAnsi="Times New Roman" w:eastAsia="Nimbus Roman No9 L" w:cs="Times New Roman"/>
                <w:i w:val="0"/>
                <w:color w:val="000000"/>
                <w:sz w:val="18"/>
                <w:szCs w:val="18"/>
                <w:u w:val="none"/>
              </w:rPr>
            </w:pPr>
          </w:p>
        </w:tc>
        <w:tc>
          <w:tcPr>
            <w:tcW w:w="143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49B862">
            <w:pPr>
              <w:jc w:val="center"/>
              <w:rPr>
                <w:rFonts w:hint="default" w:ascii="Times New Roman" w:hAnsi="Times New Roman" w:eastAsia="Nimbus Roman No9 L" w:cs="Times New Roman"/>
                <w:i w:val="0"/>
                <w:color w:val="000000"/>
                <w:sz w:val="18"/>
                <w:szCs w:val="18"/>
                <w:u w:val="none"/>
              </w:rPr>
            </w:pP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B33251">
            <w:pPr>
              <w:jc w:val="center"/>
              <w:rPr>
                <w:rFonts w:hint="default" w:ascii="Times New Roman" w:hAnsi="Times New Roman" w:eastAsia="Nimbus Roman No9 L" w:cs="Times New Roman"/>
                <w:i w:val="0"/>
                <w:color w:val="000000"/>
                <w:sz w:val="18"/>
                <w:szCs w:val="18"/>
                <w:u w:val="none"/>
              </w:rPr>
            </w:pPr>
          </w:p>
        </w:tc>
      </w:tr>
      <w:tr w14:paraId="51EA4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8" w:hRule="atLeast"/>
          <w:jc w:val="center"/>
        </w:trPr>
        <w:tc>
          <w:tcPr>
            <w:tcW w:w="450" w:type="dxa"/>
            <w:tcBorders>
              <w:top w:val="single" w:color="000000" w:sz="4" w:space="0"/>
              <w:left w:val="single" w:color="000000" w:sz="4" w:space="0"/>
              <w:bottom w:val="single" w:color="000000" w:sz="4" w:space="0"/>
              <w:right w:val="single" w:color="000000" w:sz="4" w:space="0"/>
            </w:tcBorders>
            <w:noWrap w:val="0"/>
            <w:vAlign w:val="center"/>
          </w:tcPr>
          <w:p w14:paraId="6194F993">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8BCDFFB">
            <w:pPr>
              <w:keepNext w:val="0"/>
              <w:keepLines w:val="0"/>
              <w:widowControl/>
              <w:suppressLineNumbers w:val="0"/>
              <w:jc w:val="center"/>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转基因生物安全</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14:paraId="66AA6ECD">
            <w:pPr>
              <w:keepNext w:val="0"/>
              <w:keepLines w:val="0"/>
              <w:widowControl/>
              <w:suppressLineNumbers w:val="0"/>
              <w:jc w:val="center"/>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生产、经营转基因植物种子、种畜禽、水产苗种的单位和个人，未按照规定制作、保存生产、经营档案的</w:t>
            </w:r>
            <w:r>
              <w:rPr>
                <w:rStyle w:val="8"/>
                <w:rFonts w:hint="eastAsia" w:ascii="Times New Roman" w:hAnsi="Times New Roman" w:cs="Times New Roman"/>
                <w:b w:val="0"/>
                <w:bCs/>
                <w:sz w:val="18"/>
                <w:szCs w:val="18"/>
                <w:lang w:val="en-US" w:eastAsia="zh-CN" w:bidi="ar"/>
              </w:rPr>
              <w:t>。</w:t>
            </w:r>
          </w:p>
        </w:tc>
        <w:tc>
          <w:tcPr>
            <w:tcW w:w="1741" w:type="dxa"/>
            <w:tcBorders>
              <w:top w:val="single" w:color="000000" w:sz="4" w:space="0"/>
              <w:left w:val="single" w:color="000000" w:sz="4" w:space="0"/>
              <w:bottom w:val="single" w:color="000000" w:sz="4" w:space="0"/>
              <w:right w:val="single" w:color="000000" w:sz="4" w:space="0"/>
            </w:tcBorders>
            <w:noWrap w:val="0"/>
            <w:vAlign w:val="center"/>
          </w:tcPr>
          <w:p w14:paraId="36CEBAAB">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初次违法，且仅有</w:t>
            </w:r>
            <w:r>
              <w:rPr>
                <w:rStyle w:val="9"/>
                <w:rFonts w:hint="default" w:ascii="Times New Roman" w:hAnsi="Times New Roman" w:eastAsia="仿宋_GB2312" w:cs="Times New Roman"/>
                <w:b w:val="0"/>
                <w:bCs/>
                <w:sz w:val="18"/>
                <w:szCs w:val="18"/>
                <w:lang w:val="en-US" w:eastAsia="zh-CN" w:bidi="ar"/>
              </w:rPr>
              <w:t>1</w:t>
            </w:r>
            <w:r>
              <w:rPr>
                <w:rStyle w:val="8"/>
                <w:rFonts w:hint="default" w:ascii="Times New Roman" w:hAnsi="Times New Roman" w:eastAsia="仿宋_GB2312" w:cs="Times New Roman"/>
                <w:b w:val="0"/>
                <w:bCs/>
                <w:sz w:val="18"/>
                <w:szCs w:val="18"/>
                <w:lang w:val="en-US" w:eastAsia="zh-CN" w:bidi="ar"/>
              </w:rPr>
              <w:t>个品种未按规定制作、保存生产经营档案的，且产品货值不足</w:t>
            </w:r>
            <w:r>
              <w:rPr>
                <w:rStyle w:val="9"/>
                <w:rFonts w:hint="default" w:ascii="Times New Roman" w:hAnsi="Times New Roman" w:eastAsia="仿宋_GB2312" w:cs="Times New Roman"/>
                <w:b w:val="0"/>
                <w:bCs/>
                <w:sz w:val="18"/>
                <w:szCs w:val="18"/>
                <w:lang w:val="en-US" w:eastAsia="zh-CN" w:bidi="ar"/>
              </w:rPr>
              <w:t>1</w:t>
            </w:r>
            <w:r>
              <w:rPr>
                <w:rStyle w:val="8"/>
                <w:rFonts w:hint="default" w:ascii="Times New Roman" w:hAnsi="Times New Roman" w:eastAsia="仿宋_GB2312" w:cs="Times New Roman"/>
                <w:b w:val="0"/>
                <w:bCs/>
                <w:sz w:val="18"/>
                <w:szCs w:val="18"/>
                <w:lang w:val="en-US" w:eastAsia="zh-CN" w:bidi="ar"/>
              </w:rPr>
              <w:t>万元的；及时改正，没有造成危害后果，能够认识到危害性。</w:t>
            </w:r>
          </w:p>
        </w:tc>
        <w:tc>
          <w:tcPr>
            <w:tcW w:w="3755" w:type="dxa"/>
            <w:tcBorders>
              <w:top w:val="single" w:color="000000" w:sz="4" w:space="0"/>
              <w:left w:val="single" w:color="000000" w:sz="4" w:space="0"/>
              <w:bottom w:val="single" w:color="000000" w:sz="4" w:space="0"/>
              <w:right w:val="single" w:color="000000" w:sz="4" w:space="0"/>
            </w:tcBorders>
            <w:noWrap w:val="0"/>
            <w:vAlign w:val="center"/>
          </w:tcPr>
          <w:p w14:paraId="18892B9D">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10"/>
                <w:rFonts w:hint="default" w:ascii="Times New Roman" w:hAnsi="Times New Roman" w:eastAsia="仿宋_GB2312" w:cs="Times New Roman"/>
                <w:b/>
                <w:bCs w:val="0"/>
                <w:sz w:val="18"/>
                <w:szCs w:val="18"/>
                <w:lang w:val="en-US" w:eastAsia="zh-CN" w:bidi="ar"/>
              </w:rPr>
              <w:t>《农业转基因生物安全管理条例》第四十七条：</w:t>
            </w:r>
            <w:r>
              <w:rPr>
                <w:rStyle w:val="8"/>
                <w:rFonts w:hint="default" w:ascii="Times New Roman" w:hAnsi="Times New Roman" w:eastAsia="仿宋_GB2312" w:cs="Times New Roman"/>
                <w:b w:val="0"/>
                <w:bCs/>
                <w:sz w:val="18"/>
                <w:szCs w:val="18"/>
                <w:lang w:val="en-US" w:eastAsia="zh-CN" w:bidi="ar"/>
              </w:rPr>
              <w:t>违反本条例规定，转基因植物种子、种畜禽、水产苗种的生产、经营单位和个人，未按照规定制作、保存生产、经营档案的，由县级以上人民政府农业行政主管部门依据职权，责令改正，处</w:t>
            </w:r>
            <w:r>
              <w:rPr>
                <w:rStyle w:val="9"/>
                <w:rFonts w:hint="default" w:ascii="Times New Roman" w:hAnsi="Times New Roman" w:eastAsia="仿宋_GB2312" w:cs="Times New Roman"/>
                <w:b w:val="0"/>
                <w:bCs/>
                <w:sz w:val="18"/>
                <w:szCs w:val="18"/>
                <w:lang w:val="en-US" w:eastAsia="zh-CN" w:bidi="ar"/>
              </w:rPr>
              <w:t>1000</w:t>
            </w:r>
            <w:r>
              <w:rPr>
                <w:rStyle w:val="8"/>
                <w:rFonts w:hint="default" w:ascii="Times New Roman" w:hAnsi="Times New Roman" w:eastAsia="仿宋_GB2312" w:cs="Times New Roman"/>
                <w:b w:val="0"/>
                <w:bCs/>
                <w:sz w:val="18"/>
                <w:szCs w:val="18"/>
                <w:lang w:val="en-US" w:eastAsia="zh-CN" w:bidi="ar"/>
              </w:rPr>
              <w:t>元以上</w:t>
            </w:r>
            <w:r>
              <w:rPr>
                <w:rStyle w:val="9"/>
                <w:rFonts w:hint="default" w:ascii="Times New Roman" w:hAnsi="Times New Roman" w:eastAsia="仿宋_GB2312" w:cs="Times New Roman"/>
                <w:b w:val="0"/>
                <w:bCs/>
                <w:sz w:val="18"/>
                <w:szCs w:val="18"/>
                <w:lang w:val="en-US" w:eastAsia="zh-CN" w:bidi="ar"/>
              </w:rPr>
              <w:t>1</w:t>
            </w:r>
            <w:r>
              <w:rPr>
                <w:rStyle w:val="8"/>
                <w:rFonts w:hint="default" w:ascii="Times New Roman" w:hAnsi="Times New Roman" w:eastAsia="仿宋_GB2312" w:cs="Times New Roman"/>
                <w:b w:val="0"/>
                <w:bCs/>
                <w:sz w:val="18"/>
                <w:szCs w:val="18"/>
                <w:lang w:val="en-US" w:eastAsia="zh-CN" w:bidi="ar"/>
              </w:rPr>
              <w:t>万元以下的罚款。</w:t>
            </w:r>
          </w:p>
        </w:tc>
        <w:tc>
          <w:tcPr>
            <w:tcW w:w="4775" w:type="dxa"/>
            <w:tcBorders>
              <w:top w:val="single" w:color="000000" w:sz="4" w:space="0"/>
              <w:left w:val="single" w:color="000000" w:sz="4" w:space="0"/>
              <w:bottom w:val="single" w:color="000000" w:sz="4" w:space="0"/>
              <w:right w:val="single" w:color="000000" w:sz="4" w:space="0"/>
            </w:tcBorders>
            <w:noWrap w:val="0"/>
            <w:vAlign w:val="center"/>
          </w:tcPr>
          <w:p w14:paraId="30325E9B">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10"/>
                <w:rFonts w:hint="default" w:ascii="Times New Roman" w:hAnsi="Times New Roman" w:eastAsia="仿宋_GB2312" w:cs="Times New Roman"/>
                <w:b/>
                <w:bCs w:val="0"/>
                <w:sz w:val="18"/>
                <w:szCs w:val="18"/>
                <w:lang w:val="en-US" w:eastAsia="zh-CN" w:bidi="ar"/>
              </w:rPr>
              <w:t>《中华人民共和国行政处罚法》第三十二条</w:t>
            </w:r>
            <w:r>
              <w:rPr>
                <w:rStyle w:val="8"/>
                <w:rFonts w:hint="default" w:ascii="Times New Roman" w:hAnsi="Times New Roman" w:eastAsia="仿宋_GB2312" w:cs="Times New Roman"/>
                <w:b/>
                <w:bCs w:val="0"/>
                <w:sz w:val="18"/>
                <w:szCs w:val="18"/>
                <w:lang w:val="en-US" w:eastAsia="zh-CN" w:bidi="ar"/>
              </w:rPr>
              <w:t>：</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当事人有下列情形之一，应当从轻或者减轻行政处罚：</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（一）主动消除或者减轻违法行为危害后果的；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（二）受他人胁迫或者诱骗实施违法行为的；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（三）主动供述行政机关尚未掌握的违法行为的；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（四）配合行政机关查处违法行为有立功表现的；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（五）法律、法规、规章规定其他应当从轻或者减轻行政处罚的。</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8952A8">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加强教育、劝导示范、警示约谈等非强制性方法；及时复查整改情况、加强行政检查等方式。</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74AD9581">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p>
        </w:tc>
      </w:tr>
      <w:tr w14:paraId="3B646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3" w:hRule="atLeast"/>
          <w:jc w:val="center"/>
        </w:trPr>
        <w:tc>
          <w:tcPr>
            <w:tcW w:w="450" w:type="dxa"/>
            <w:tcBorders>
              <w:top w:val="single" w:color="000000" w:sz="4" w:space="0"/>
              <w:left w:val="single" w:color="000000" w:sz="4" w:space="0"/>
              <w:bottom w:val="single" w:color="000000" w:sz="4" w:space="0"/>
              <w:right w:val="single" w:color="000000" w:sz="4" w:space="0"/>
            </w:tcBorders>
            <w:noWrap w:val="0"/>
            <w:vAlign w:val="center"/>
          </w:tcPr>
          <w:p w14:paraId="54476736">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B7DBA9C">
            <w:pPr>
              <w:keepNext w:val="0"/>
              <w:keepLines w:val="0"/>
              <w:widowControl/>
              <w:suppressLineNumbers w:val="0"/>
              <w:jc w:val="center"/>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农药</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14:paraId="77AD9A40">
            <w:pPr>
              <w:keepNext w:val="0"/>
              <w:keepLines w:val="0"/>
              <w:widowControl/>
              <w:suppressLineNumbers w:val="0"/>
              <w:jc w:val="center"/>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农产品生产企业、食品和食用农产品仓储企业、专业化病虫害防治服务组织和从事农产品生产的农民专业合作社等不执行农药使用记录制度</w:t>
            </w:r>
            <w:r>
              <w:rPr>
                <w:rStyle w:val="8"/>
                <w:rFonts w:hint="eastAsia" w:ascii="Times New Roman" w:hAnsi="Times New Roman" w:cs="Times New Roman"/>
                <w:b w:val="0"/>
                <w:bCs/>
                <w:sz w:val="18"/>
                <w:szCs w:val="18"/>
                <w:lang w:val="en-US" w:eastAsia="zh-CN" w:bidi="ar"/>
              </w:rPr>
              <w:t>。</w:t>
            </w:r>
          </w:p>
        </w:tc>
        <w:tc>
          <w:tcPr>
            <w:tcW w:w="1741" w:type="dxa"/>
            <w:tcBorders>
              <w:top w:val="single" w:color="000000" w:sz="4" w:space="0"/>
              <w:left w:val="single" w:color="000000" w:sz="4" w:space="0"/>
              <w:bottom w:val="single" w:color="000000" w:sz="4" w:space="0"/>
              <w:right w:val="single" w:color="000000" w:sz="4" w:space="0"/>
            </w:tcBorders>
            <w:noWrap w:val="0"/>
            <w:vAlign w:val="center"/>
          </w:tcPr>
          <w:p w14:paraId="4D1B1868">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初次违法，且违法行为轻微；及时改正，没有造成危害后果，能够认识到危害性。</w:t>
            </w:r>
          </w:p>
        </w:tc>
        <w:tc>
          <w:tcPr>
            <w:tcW w:w="3755" w:type="dxa"/>
            <w:tcBorders>
              <w:top w:val="single" w:color="000000" w:sz="4" w:space="0"/>
              <w:left w:val="single" w:color="000000" w:sz="4" w:space="0"/>
              <w:bottom w:val="single" w:color="000000" w:sz="4" w:space="0"/>
              <w:right w:val="single" w:color="000000" w:sz="4" w:space="0"/>
            </w:tcBorders>
            <w:noWrap w:val="0"/>
            <w:vAlign w:val="center"/>
          </w:tcPr>
          <w:p w14:paraId="517A66F7">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10"/>
                <w:rFonts w:hint="default" w:ascii="Times New Roman" w:hAnsi="Times New Roman" w:eastAsia="仿宋_GB2312" w:cs="Times New Roman"/>
                <w:b/>
                <w:bCs w:val="0"/>
                <w:sz w:val="18"/>
                <w:szCs w:val="18"/>
                <w:lang w:val="en-US" w:eastAsia="zh-CN" w:bidi="ar"/>
              </w:rPr>
              <w:t>《农药管理条例》</w:t>
            </w:r>
            <w:r>
              <w:rPr>
                <w:rStyle w:val="11"/>
                <w:rFonts w:hint="default" w:ascii="Times New Roman" w:hAnsi="Times New Roman" w:eastAsia="仿宋_GB2312" w:cs="Times New Roman"/>
                <w:b/>
                <w:bCs w:val="0"/>
                <w:sz w:val="18"/>
                <w:szCs w:val="18"/>
                <w:lang w:val="en-US" w:eastAsia="zh-CN" w:bidi="ar"/>
              </w:rPr>
              <w:t xml:space="preserve"> </w:t>
            </w:r>
            <w:r>
              <w:rPr>
                <w:rStyle w:val="10"/>
                <w:rFonts w:hint="default" w:ascii="Times New Roman" w:hAnsi="Times New Roman" w:eastAsia="仿宋_GB2312" w:cs="Times New Roman"/>
                <w:b/>
                <w:bCs w:val="0"/>
                <w:sz w:val="18"/>
                <w:szCs w:val="18"/>
                <w:lang w:val="en-US" w:eastAsia="zh-CN" w:bidi="ar"/>
              </w:rPr>
              <w:t>第六十一条：</w:t>
            </w:r>
            <w:r>
              <w:rPr>
                <w:rStyle w:val="8"/>
                <w:rFonts w:hint="default" w:ascii="Times New Roman" w:hAnsi="Times New Roman" w:eastAsia="仿宋_GB2312" w:cs="Times New Roman"/>
                <w:b w:val="0"/>
                <w:bCs/>
                <w:sz w:val="18"/>
                <w:szCs w:val="18"/>
                <w:lang w:val="en-US" w:eastAsia="zh-CN" w:bidi="ar"/>
              </w:rPr>
              <w:t>农产品生产企业、食品和食用农产品仓储企业、专业化病虫害防治服务组织和从事农产品生产的农民专业合作社等不执行农药使用记录制度的，由县级人民政府农业主管部门责令改正；拒不改正或者情节严重的，处</w:t>
            </w:r>
            <w:r>
              <w:rPr>
                <w:rStyle w:val="9"/>
                <w:rFonts w:hint="default" w:ascii="Times New Roman" w:hAnsi="Times New Roman" w:eastAsia="仿宋_GB2312" w:cs="Times New Roman"/>
                <w:b w:val="0"/>
                <w:bCs/>
                <w:sz w:val="18"/>
                <w:szCs w:val="18"/>
                <w:lang w:val="en-US" w:eastAsia="zh-CN" w:bidi="ar"/>
              </w:rPr>
              <w:t>2000</w:t>
            </w:r>
            <w:r>
              <w:rPr>
                <w:rStyle w:val="8"/>
                <w:rFonts w:hint="default" w:ascii="Times New Roman" w:hAnsi="Times New Roman" w:eastAsia="仿宋_GB2312" w:cs="Times New Roman"/>
                <w:b w:val="0"/>
                <w:bCs/>
                <w:sz w:val="18"/>
                <w:szCs w:val="18"/>
                <w:lang w:val="en-US" w:eastAsia="zh-CN" w:bidi="ar"/>
              </w:rPr>
              <w:t>元以上</w:t>
            </w:r>
            <w:r>
              <w:rPr>
                <w:rStyle w:val="9"/>
                <w:rFonts w:hint="default" w:ascii="Times New Roman" w:hAnsi="Times New Roman" w:eastAsia="仿宋_GB2312" w:cs="Times New Roman"/>
                <w:b w:val="0"/>
                <w:bCs/>
                <w:sz w:val="18"/>
                <w:szCs w:val="18"/>
                <w:lang w:val="en-US" w:eastAsia="zh-CN" w:bidi="ar"/>
              </w:rPr>
              <w:t>2</w:t>
            </w:r>
            <w:r>
              <w:rPr>
                <w:rStyle w:val="8"/>
                <w:rFonts w:hint="default" w:ascii="Times New Roman" w:hAnsi="Times New Roman" w:eastAsia="仿宋_GB2312" w:cs="Times New Roman"/>
                <w:b w:val="0"/>
                <w:bCs/>
                <w:sz w:val="18"/>
                <w:szCs w:val="18"/>
                <w:lang w:val="en-US" w:eastAsia="zh-CN" w:bidi="ar"/>
              </w:rPr>
              <w:t>万元以下罚款。</w:t>
            </w:r>
          </w:p>
        </w:tc>
        <w:tc>
          <w:tcPr>
            <w:tcW w:w="4775" w:type="dxa"/>
            <w:tcBorders>
              <w:top w:val="single" w:color="000000" w:sz="4" w:space="0"/>
              <w:left w:val="single" w:color="000000" w:sz="4" w:space="0"/>
              <w:bottom w:val="single" w:color="000000" w:sz="4" w:space="0"/>
              <w:right w:val="single" w:color="000000" w:sz="4" w:space="0"/>
            </w:tcBorders>
            <w:noWrap w:val="0"/>
            <w:vAlign w:val="center"/>
          </w:tcPr>
          <w:p w14:paraId="6FCDDB09">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10"/>
                <w:rFonts w:hint="default" w:ascii="Times New Roman" w:hAnsi="Times New Roman" w:eastAsia="仿宋_GB2312" w:cs="Times New Roman"/>
                <w:b/>
                <w:bCs w:val="0"/>
                <w:sz w:val="18"/>
                <w:szCs w:val="18"/>
                <w:lang w:val="en-US" w:eastAsia="zh-CN" w:bidi="ar"/>
              </w:rPr>
              <w:t>《中华人民共和国行政处罚法》第三十二条</w:t>
            </w:r>
            <w:r>
              <w:rPr>
                <w:rStyle w:val="8"/>
                <w:rFonts w:hint="default" w:ascii="Times New Roman" w:hAnsi="Times New Roman" w:eastAsia="仿宋_GB2312" w:cs="Times New Roman"/>
                <w:b/>
                <w:bCs w:val="0"/>
                <w:sz w:val="18"/>
                <w:szCs w:val="18"/>
                <w:lang w:val="en-US" w:eastAsia="zh-CN" w:bidi="ar"/>
              </w:rPr>
              <w:t>：</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当事人有下列情形之一，应当从轻或者减轻行政处罚：</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（一）主动消除或者减轻违法行为危害后果的；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（二）受他人胁迫或者诱骗实施违法行为的；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（三）主动供述行政机关尚未掌握的违法行为的；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（四）配合行政机关查处违法行为有立功表现的；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（五）法律、法规、规章规定其他应当从轻或者减轻行政处罚的。</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38DF62F5">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加强教育、劝导示范、警示约谈等非强制性方法；及时复查整改情况、加强行政检查等方式。</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4E200C6">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p>
        </w:tc>
      </w:tr>
      <w:tr w14:paraId="55D6E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9" w:hRule="atLeast"/>
          <w:jc w:val="center"/>
        </w:trPr>
        <w:tc>
          <w:tcPr>
            <w:tcW w:w="450" w:type="dxa"/>
            <w:tcBorders>
              <w:top w:val="single" w:color="000000" w:sz="4" w:space="0"/>
              <w:left w:val="single" w:color="000000" w:sz="4" w:space="0"/>
              <w:bottom w:val="single" w:color="000000" w:sz="4" w:space="0"/>
              <w:right w:val="single" w:color="000000" w:sz="4" w:space="0"/>
            </w:tcBorders>
            <w:noWrap w:val="0"/>
            <w:vAlign w:val="center"/>
          </w:tcPr>
          <w:p w14:paraId="1E312171">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3</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241A62AC">
            <w:pPr>
              <w:keepNext w:val="0"/>
              <w:keepLines w:val="0"/>
              <w:widowControl/>
              <w:suppressLineNumbers w:val="0"/>
              <w:jc w:val="center"/>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农产品</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14:paraId="47CB3773">
            <w:pPr>
              <w:keepNext w:val="0"/>
              <w:keepLines w:val="0"/>
              <w:widowControl/>
              <w:suppressLineNumbers w:val="0"/>
              <w:jc w:val="center"/>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农产品生产企业、农民专业合作社、农业社会化服务组织未依照本法规定建立、保存农产品生产记录，或者伪造、变造农产品生产记录的</w:t>
            </w:r>
            <w:r>
              <w:rPr>
                <w:rStyle w:val="8"/>
                <w:rFonts w:hint="eastAsia" w:ascii="Times New Roman" w:hAnsi="Times New Roman" w:cs="Times New Roman"/>
                <w:b w:val="0"/>
                <w:bCs/>
                <w:sz w:val="18"/>
                <w:szCs w:val="18"/>
                <w:lang w:val="en-US" w:eastAsia="zh-CN" w:bidi="ar"/>
              </w:rPr>
              <w:t>。</w:t>
            </w:r>
          </w:p>
        </w:tc>
        <w:tc>
          <w:tcPr>
            <w:tcW w:w="1741" w:type="dxa"/>
            <w:tcBorders>
              <w:top w:val="single" w:color="000000" w:sz="4" w:space="0"/>
              <w:left w:val="single" w:color="000000" w:sz="4" w:space="0"/>
              <w:bottom w:val="single" w:color="000000" w:sz="4" w:space="0"/>
              <w:right w:val="single" w:color="000000" w:sz="4" w:space="0"/>
            </w:tcBorders>
            <w:noWrap w:val="0"/>
            <w:vAlign w:val="center"/>
          </w:tcPr>
          <w:p w14:paraId="330D438C">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初次违法，且违法行为轻微；及时改正，没有造成危害后果，能够认识到危害性。</w:t>
            </w:r>
          </w:p>
        </w:tc>
        <w:tc>
          <w:tcPr>
            <w:tcW w:w="3755" w:type="dxa"/>
            <w:tcBorders>
              <w:top w:val="single" w:color="000000" w:sz="4" w:space="0"/>
              <w:left w:val="single" w:color="000000" w:sz="4" w:space="0"/>
              <w:bottom w:val="single" w:color="000000" w:sz="4" w:space="0"/>
              <w:right w:val="single" w:color="000000" w:sz="4" w:space="0"/>
            </w:tcBorders>
            <w:noWrap w:val="0"/>
            <w:vAlign w:val="center"/>
          </w:tcPr>
          <w:p w14:paraId="6CDE6855">
            <w:pPr>
              <w:keepNext w:val="0"/>
              <w:keepLines w:val="0"/>
              <w:widowControl/>
              <w:suppressLineNumbers w:val="0"/>
              <w:jc w:val="left"/>
              <w:textAlignment w:val="center"/>
              <w:rPr>
                <w:rStyle w:val="8"/>
                <w:rFonts w:hint="default" w:ascii="Times New Roman" w:hAnsi="Times New Roman" w:eastAsia="仿宋_GB2312" w:cs="Times New Roman"/>
                <w:b w:val="0"/>
                <w:bCs/>
                <w:sz w:val="18"/>
                <w:szCs w:val="18"/>
                <w:lang w:val="en-US" w:eastAsia="zh-CN" w:bidi="ar"/>
              </w:rPr>
            </w:pPr>
            <w:r>
              <w:rPr>
                <w:rStyle w:val="10"/>
                <w:rFonts w:hint="default" w:ascii="Times New Roman" w:hAnsi="Times New Roman" w:eastAsia="仿宋_GB2312" w:cs="Times New Roman"/>
                <w:b/>
                <w:bCs w:val="0"/>
                <w:sz w:val="18"/>
                <w:szCs w:val="18"/>
                <w:lang w:val="en-US" w:eastAsia="zh-CN" w:bidi="ar"/>
              </w:rPr>
              <w:t>《中华人民共和国农产品质量安全法》第二十七条：</w:t>
            </w:r>
            <w:r>
              <w:rPr>
                <w:rStyle w:val="8"/>
                <w:rFonts w:hint="default" w:ascii="Times New Roman" w:hAnsi="Times New Roman" w:eastAsia="仿宋_GB2312" w:cs="Times New Roman"/>
                <w:b w:val="0"/>
                <w:bCs/>
                <w:sz w:val="18"/>
                <w:szCs w:val="18"/>
                <w:lang w:val="en-US" w:eastAsia="zh-CN" w:bidi="ar"/>
              </w:rPr>
              <w:t>农产品生产企业、农民专业合作社、农业社会化服务组织应当建立农产品生产记录，如实记载下列事项：（一）使用农业投入品的名称、来源、用法、用量和使用、停用的日期；（二）动物疫病、农作物病虫害的发生和防治情况；（三）收获、屠宰或者捕捞的日期。农产品生产记录应当至少保存二年。禁止伪造、变造农产品生产记录。国家鼓励其他农产品生产者建立农产品生产记录。</w:t>
            </w:r>
          </w:p>
          <w:p w14:paraId="26DE721E">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bCs w:val="0"/>
                <w:sz w:val="18"/>
                <w:szCs w:val="18"/>
                <w:lang w:val="en-US" w:eastAsia="zh-CN" w:bidi="ar"/>
              </w:rPr>
              <w:t>第六十九条</w:t>
            </w:r>
            <w:r>
              <w:rPr>
                <w:rStyle w:val="8"/>
                <w:rFonts w:hint="eastAsia" w:ascii="Times New Roman" w:hAnsi="Times New Roman" w:cs="Times New Roman"/>
                <w:b/>
                <w:bCs w:val="0"/>
                <w:sz w:val="18"/>
                <w:szCs w:val="18"/>
                <w:lang w:val="en-US" w:eastAsia="zh-CN" w:bidi="ar"/>
              </w:rPr>
              <w:t>：</w:t>
            </w:r>
            <w:r>
              <w:rPr>
                <w:rStyle w:val="8"/>
                <w:rFonts w:hint="default" w:ascii="Times New Roman" w:hAnsi="Times New Roman" w:eastAsia="仿宋_GB2312" w:cs="Times New Roman"/>
                <w:b w:val="0"/>
                <w:bCs/>
                <w:sz w:val="18"/>
                <w:szCs w:val="18"/>
                <w:lang w:val="en-US" w:eastAsia="zh-CN" w:bidi="ar"/>
              </w:rPr>
              <w:t>农产品生产企业、农民专业合作社、农业社会化服务组织未依照本法规定建立、保存农产品生产记录，或者伪造、变造农产品生产记录的，由县级以上地方人民政府农业农村主管部门责令限期改正；逾期不改正的，处二千元以上二万元以下罚款。</w:t>
            </w:r>
          </w:p>
        </w:tc>
        <w:tc>
          <w:tcPr>
            <w:tcW w:w="4775" w:type="dxa"/>
            <w:tcBorders>
              <w:top w:val="single" w:color="000000" w:sz="4" w:space="0"/>
              <w:left w:val="single" w:color="000000" w:sz="4" w:space="0"/>
              <w:bottom w:val="single" w:color="000000" w:sz="4" w:space="0"/>
              <w:right w:val="single" w:color="000000" w:sz="4" w:space="0"/>
            </w:tcBorders>
            <w:noWrap w:val="0"/>
            <w:vAlign w:val="center"/>
          </w:tcPr>
          <w:p w14:paraId="2AD16A5C">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10"/>
                <w:rFonts w:hint="default" w:ascii="Times New Roman" w:hAnsi="Times New Roman" w:eastAsia="仿宋_GB2312" w:cs="Times New Roman"/>
                <w:b/>
                <w:bCs w:val="0"/>
                <w:sz w:val="18"/>
                <w:szCs w:val="18"/>
                <w:lang w:val="en-US" w:eastAsia="zh-CN" w:bidi="ar"/>
              </w:rPr>
              <w:t>《中华人民共和国行政处罚法》第三十二条：</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当事人有下列情形之一，应当从轻或者减轻行政处罚：</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（一）主动消除或者减轻违法行为危害后果的；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（二）受他人胁迫或者诱骗实施违法行为的；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（三）主动供述行政机关尚未掌握的违法行为的；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（四）配合行政机关查处违法行为有立功表现的；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（五）法律、法规、规章规定其他应当从轻或者减轻行政处罚的。</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537CE8F">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加强教育、劝导示范、警示约谈等非强制性方法；及时复查整改情况、加强行政检查等方式。</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5D32C346">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p>
        </w:tc>
      </w:tr>
      <w:tr w14:paraId="44AC5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5" w:hRule="atLeast"/>
          <w:jc w:val="center"/>
        </w:trPr>
        <w:tc>
          <w:tcPr>
            <w:tcW w:w="450" w:type="dxa"/>
            <w:tcBorders>
              <w:top w:val="single" w:color="000000" w:sz="4" w:space="0"/>
              <w:left w:val="single" w:color="000000" w:sz="4" w:space="0"/>
              <w:bottom w:val="single" w:color="000000" w:sz="4" w:space="0"/>
              <w:right w:val="single" w:color="000000" w:sz="4" w:space="0"/>
            </w:tcBorders>
            <w:noWrap w:val="0"/>
            <w:vAlign w:val="center"/>
          </w:tcPr>
          <w:p w14:paraId="511C5868">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4</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673A630">
            <w:pPr>
              <w:keepNext w:val="0"/>
              <w:keepLines w:val="0"/>
              <w:widowControl/>
              <w:suppressLineNumbers w:val="0"/>
              <w:jc w:val="center"/>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奶业</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14:paraId="46EED8FD">
            <w:pPr>
              <w:keepNext w:val="0"/>
              <w:keepLines w:val="0"/>
              <w:widowControl/>
              <w:suppressLineNumbers w:val="0"/>
              <w:jc w:val="center"/>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开办奶畜养殖场、养殖小区的，未向所在地县级人民政府畜牧兽医行政主管部门备案</w:t>
            </w:r>
            <w:r>
              <w:rPr>
                <w:rStyle w:val="8"/>
                <w:rFonts w:hint="eastAsia" w:ascii="Times New Roman" w:hAnsi="Times New Roman" w:cs="Times New Roman"/>
                <w:b w:val="0"/>
                <w:bCs/>
                <w:sz w:val="18"/>
                <w:szCs w:val="18"/>
                <w:lang w:val="en-US" w:eastAsia="zh-CN" w:bidi="ar"/>
              </w:rPr>
              <w:t>。</w:t>
            </w:r>
          </w:p>
        </w:tc>
        <w:tc>
          <w:tcPr>
            <w:tcW w:w="1741" w:type="dxa"/>
            <w:tcBorders>
              <w:top w:val="single" w:color="000000" w:sz="4" w:space="0"/>
              <w:left w:val="single" w:color="000000" w:sz="4" w:space="0"/>
              <w:bottom w:val="single" w:color="000000" w:sz="4" w:space="0"/>
              <w:right w:val="single" w:color="000000" w:sz="4" w:space="0"/>
            </w:tcBorders>
            <w:noWrap w:val="0"/>
            <w:vAlign w:val="center"/>
          </w:tcPr>
          <w:p w14:paraId="0F752F05">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初次违法，且违法行为轻微；及时改正，没有造成危害后果，能够认识到危害性。</w:t>
            </w:r>
          </w:p>
        </w:tc>
        <w:tc>
          <w:tcPr>
            <w:tcW w:w="3755" w:type="dxa"/>
            <w:tcBorders>
              <w:top w:val="single" w:color="000000" w:sz="4" w:space="0"/>
              <w:left w:val="single" w:color="000000" w:sz="4" w:space="0"/>
              <w:bottom w:val="single" w:color="000000" w:sz="4" w:space="0"/>
              <w:right w:val="single" w:color="000000" w:sz="4" w:space="0"/>
            </w:tcBorders>
            <w:noWrap w:val="0"/>
            <w:vAlign w:val="center"/>
          </w:tcPr>
          <w:p w14:paraId="184D7C9A">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10"/>
                <w:rFonts w:hint="default" w:ascii="Times New Roman" w:hAnsi="Times New Roman" w:eastAsia="仿宋_GB2312" w:cs="Times New Roman"/>
                <w:b/>
                <w:bCs w:val="0"/>
                <w:sz w:val="18"/>
                <w:szCs w:val="18"/>
                <w:lang w:val="en-US" w:eastAsia="zh-CN" w:bidi="ar"/>
              </w:rPr>
              <w:t>《新疆维吾尔自治区奶业条例》第十条：</w:t>
            </w:r>
            <w:r>
              <w:rPr>
                <w:rStyle w:val="8"/>
                <w:rFonts w:hint="default" w:ascii="Times New Roman" w:hAnsi="Times New Roman" w:eastAsia="仿宋_GB2312" w:cs="Times New Roman"/>
                <w:b w:val="0"/>
                <w:bCs/>
                <w:sz w:val="18"/>
                <w:szCs w:val="18"/>
                <w:lang w:val="en-US" w:eastAsia="zh-CN" w:bidi="ar"/>
              </w:rPr>
              <w:t>开办奶畜养殖场、养殖小区的，应当依法取得动物防疫条件合格证，具备国务院《乳品质量安全监督管理条例》规定的条件，并向所在地县级人民政府畜牧兽医行政主管部门备案。</w:t>
            </w:r>
            <w:r>
              <w:rPr>
                <w:rStyle w:val="11"/>
                <w:rFonts w:hint="default" w:ascii="Times New Roman" w:hAnsi="Times New Roman" w:eastAsia="仿宋_GB2312" w:cs="Times New Roman"/>
                <w:b w:val="0"/>
                <w:bCs/>
                <w:sz w:val="18"/>
                <w:szCs w:val="18"/>
                <w:lang w:val="en-US" w:eastAsia="zh-CN" w:bidi="ar"/>
              </w:rPr>
              <w:br w:type="textWrapping"/>
            </w:r>
            <w:r>
              <w:rPr>
                <w:rStyle w:val="10"/>
                <w:rFonts w:hint="default" w:ascii="Times New Roman" w:hAnsi="Times New Roman" w:eastAsia="仿宋_GB2312" w:cs="Times New Roman"/>
                <w:b/>
                <w:bCs w:val="0"/>
                <w:sz w:val="18"/>
                <w:szCs w:val="18"/>
                <w:lang w:val="en-US" w:eastAsia="zh-CN" w:bidi="ar"/>
              </w:rPr>
              <w:t>第三十九条</w:t>
            </w:r>
            <w:r>
              <w:rPr>
                <w:rStyle w:val="10"/>
                <w:rFonts w:hint="eastAsia" w:ascii="Times New Roman" w:hAnsi="Times New Roman" w:cs="Times New Roman"/>
                <w:b/>
                <w:bCs w:val="0"/>
                <w:sz w:val="18"/>
                <w:szCs w:val="18"/>
                <w:lang w:val="en-US" w:eastAsia="zh-CN" w:bidi="ar"/>
              </w:rPr>
              <w:t>：</w:t>
            </w:r>
            <w:r>
              <w:rPr>
                <w:rStyle w:val="8"/>
                <w:rFonts w:hint="default" w:ascii="Times New Roman" w:hAnsi="Times New Roman" w:eastAsia="仿宋_GB2312" w:cs="Times New Roman"/>
                <w:b w:val="0"/>
                <w:bCs/>
                <w:sz w:val="18"/>
                <w:szCs w:val="18"/>
                <w:lang w:val="en-US" w:eastAsia="zh-CN" w:bidi="ar"/>
              </w:rPr>
              <w:t>违反本条例第十条规定的，依照有关法律法规予以处罚；开办奶畜养殖场、养殖小区未备案的，由县级以上人民政府畜牧兽医行政主管部门责令限期改正，逾期不改正的，可以处一千元以上一万元以下罚款。</w:t>
            </w:r>
          </w:p>
        </w:tc>
        <w:tc>
          <w:tcPr>
            <w:tcW w:w="4775" w:type="dxa"/>
            <w:tcBorders>
              <w:top w:val="single" w:color="000000" w:sz="4" w:space="0"/>
              <w:left w:val="single" w:color="000000" w:sz="4" w:space="0"/>
              <w:bottom w:val="single" w:color="000000" w:sz="4" w:space="0"/>
              <w:right w:val="single" w:color="000000" w:sz="4" w:space="0"/>
            </w:tcBorders>
            <w:noWrap w:val="0"/>
            <w:vAlign w:val="center"/>
          </w:tcPr>
          <w:p w14:paraId="303B79D7">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10"/>
                <w:rFonts w:hint="default" w:ascii="Times New Roman" w:hAnsi="Times New Roman" w:eastAsia="仿宋_GB2312" w:cs="Times New Roman"/>
                <w:b/>
                <w:bCs w:val="0"/>
                <w:sz w:val="18"/>
                <w:szCs w:val="18"/>
                <w:lang w:val="en-US" w:eastAsia="zh-CN" w:bidi="ar"/>
              </w:rPr>
              <w:t>《中华人民共和国行政处罚法》第三十二条：</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当事人有下列情形之一，应当从轻或者减轻行政处罚：</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（一）主动消除或者减轻违法行为危害后果的；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（二）受他人胁迫或者诱骗实施违法行为的；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（三）主动供述行政机关尚未掌握的违法行为的；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（四）配合行政机关查处违法行为有立功表现的；</w:t>
            </w:r>
            <w:r>
              <w:rPr>
                <w:rStyle w:val="9"/>
                <w:rFonts w:hint="default" w:ascii="Times New Roman" w:hAnsi="Times New Roman" w:eastAsia="仿宋_GB2312" w:cs="Times New Roman"/>
                <w:b w:val="0"/>
                <w:bCs/>
                <w:sz w:val="18"/>
                <w:szCs w:val="18"/>
                <w:lang w:val="en-US" w:eastAsia="zh-CN" w:bidi="ar"/>
              </w:rPr>
              <w:br w:type="textWrapping"/>
            </w:r>
            <w:r>
              <w:rPr>
                <w:rStyle w:val="8"/>
                <w:rFonts w:hint="default" w:ascii="Times New Roman" w:hAnsi="Times New Roman" w:eastAsia="仿宋_GB2312" w:cs="Times New Roman"/>
                <w:b w:val="0"/>
                <w:bCs/>
                <w:sz w:val="18"/>
                <w:szCs w:val="18"/>
                <w:lang w:val="en-US" w:eastAsia="zh-CN" w:bidi="ar"/>
              </w:rPr>
              <w:t>（五）法律、法规、规章规定其他应当从轻或者减轻行政处罚的。</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D4227EB">
            <w:pPr>
              <w:keepNext w:val="0"/>
              <w:keepLines w:val="0"/>
              <w:widowControl/>
              <w:suppressLineNumbers w:val="0"/>
              <w:jc w:val="left"/>
              <w:textAlignment w:val="center"/>
              <w:rPr>
                <w:rFonts w:hint="default" w:ascii="Times New Roman" w:hAnsi="Times New Roman" w:eastAsia="仿宋_GB2312" w:cs="Times New Roman"/>
                <w:b w:val="0"/>
                <w:bCs/>
                <w:i w:val="0"/>
                <w:color w:val="000000"/>
                <w:sz w:val="18"/>
                <w:szCs w:val="18"/>
                <w:u w:val="none"/>
              </w:rPr>
            </w:pPr>
            <w:r>
              <w:rPr>
                <w:rStyle w:val="8"/>
                <w:rFonts w:hint="default" w:ascii="Times New Roman" w:hAnsi="Times New Roman" w:eastAsia="仿宋_GB2312" w:cs="Times New Roman"/>
                <w:b w:val="0"/>
                <w:bCs/>
                <w:sz w:val="18"/>
                <w:szCs w:val="18"/>
                <w:lang w:val="en-US" w:eastAsia="zh-CN" w:bidi="ar"/>
              </w:rPr>
              <w:t>加强教育、劝导示范、警示约谈等非强制性方法；及时复查整改情况、加强行政检查等方式。</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0EE17C0">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p>
        </w:tc>
      </w:tr>
      <w:tr w14:paraId="7A351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4991" w:type="dxa"/>
            <w:gridSpan w:val="8"/>
            <w:tcBorders>
              <w:top w:val="single" w:color="000000" w:sz="4" w:space="0"/>
              <w:left w:val="single" w:color="000000" w:sz="4" w:space="0"/>
              <w:bottom w:val="single" w:color="000000" w:sz="4" w:space="0"/>
              <w:right w:val="single" w:color="000000" w:sz="4" w:space="0"/>
            </w:tcBorders>
            <w:noWrap w:val="0"/>
            <w:vAlign w:val="center"/>
          </w:tcPr>
          <w:p w14:paraId="3CEC8AF5">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Style w:val="12"/>
                <w:rFonts w:hint="default" w:ascii="Times New Roman" w:hAnsi="Times New Roman" w:eastAsia="仿宋_GB2312" w:cs="Times New Roman"/>
                <w:sz w:val="18"/>
                <w:szCs w:val="18"/>
                <w:lang w:val="en-US" w:eastAsia="zh-CN" w:bidi="ar"/>
              </w:rPr>
              <w:t>备注：本清单未列明的违法事项，如果符合《中华人民共和国行政处罚法》《规范农业行政处罚自由裁量权办法》关于从轻处罚的规定，可以直接适用从轻处罚规定。</w:t>
            </w:r>
          </w:p>
        </w:tc>
      </w:tr>
    </w:tbl>
    <w:p w14:paraId="7F597A84">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outlineLvl w:val="9"/>
        <w:rPr>
          <w:rStyle w:val="6"/>
          <w:rFonts w:hint="default" w:ascii="Times New Roman" w:hAnsi="Times New Roman" w:eastAsia="黑体" w:cs="Times New Roman"/>
          <w:sz w:val="32"/>
          <w:szCs w:val="32"/>
          <w:lang w:val="en-US" w:eastAsia="zh-CN" w:bidi="ar"/>
        </w:rPr>
        <w:sectPr>
          <w:headerReference r:id="rId3" w:type="default"/>
          <w:pgSz w:w="16840" w:h="11907" w:orient="landscape"/>
          <w:pgMar w:top="2098" w:right="1474" w:bottom="1337" w:left="1587" w:header="851" w:footer="992" w:gutter="0"/>
          <w:pgNumType w:fmt="numberInDash"/>
          <w:cols w:space="720" w:num="1"/>
          <w:rtlGutter w:val="0"/>
          <w:docGrid w:type="linesAndChars" w:linePitch="589" w:charSpace="-842"/>
        </w:sectPr>
      </w:pPr>
      <w:bookmarkStart w:id="0" w:name="_GoBack"/>
      <w:bookmarkEnd w:id="0"/>
    </w:p>
    <w:p w14:paraId="6680D5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Nimbus Roman No9 L">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DA88">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5E758B"/>
    <w:multiLevelType w:val="multilevel"/>
    <w:tmpl w:val="5E5E758B"/>
    <w:lvl w:ilvl="0" w:tentative="0">
      <w:start w:val="1"/>
      <w:numFmt w:val="koreanDigital2"/>
      <w:lvlText w:val="第%1章 "/>
      <w:lvlJc w:val="left"/>
      <w:pPr>
        <w:tabs>
          <w:tab w:val="left" w:pos="1930"/>
        </w:tabs>
        <w:ind w:left="1282" w:hanging="432"/>
      </w:pPr>
      <w:rPr>
        <w:b w:val="0"/>
        <w:bCs w:val="0"/>
        <w:i w:val="0"/>
        <w:iCs w:val="0"/>
        <w:caps w:val="0"/>
        <w:smallCaps w:val="0"/>
        <w:strike w:val="0"/>
        <w:dstrike w:val="0"/>
        <w:vanish w:val="0"/>
        <w:spacing w:val="0"/>
        <w:position w:val="0"/>
        <w:u w:val="none"/>
        <w:vertAlign w:val="baseline"/>
      </w:rPr>
    </w:lvl>
    <w:lvl w:ilvl="1" w:tentative="0">
      <w:start w:val="1"/>
      <w:numFmt w:val="decimal"/>
      <w:pStyle w:val="2"/>
      <w:isLgl/>
      <w:lvlText w:val="%1.%2"/>
      <w:lvlJc w:val="left"/>
      <w:pPr>
        <w:tabs>
          <w:tab w:val="left" w:pos="756"/>
        </w:tabs>
        <w:ind w:left="756" w:hanging="576"/>
      </w:pPr>
      <w:rPr>
        <w:rFonts w:hint="default" w:ascii="Arial" w:hAnsi="Arial" w:eastAsia="黑体"/>
        <w:color w:val="000000"/>
      </w:rPr>
    </w:lvl>
    <w:lvl w:ilvl="2" w:tentative="0">
      <w:start w:val="1"/>
      <w:numFmt w:val="decimal"/>
      <w:isLgl/>
      <w:lvlText w:val="%1.%2.%3"/>
      <w:lvlJc w:val="left"/>
      <w:pPr>
        <w:tabs>
          <w:tab w:val="left" w:pos="2279"/>
        </w:tabs>
        <w:ind w:left="2279" w:hanging="720"/>
      </w:pPr>
      <w:rPr>
        <w:rFonts w:hint="eastAsia" w:ascii="黑体" w:hAnsi="黑体" w:eastAsia="黑体"/>
      </w:rPr>
    </w:lvl>
    <w:lvl w:ilvl="3" w:tentative="0">
      <w:start w:val="1"/>
      <w:numFmt w:val="decimal"/>
      <w:isLgl/>
      <w:lvlText w:val="%1.%2.%3.%4"/>
      <w:lvlJc w:val="left"/>
      <w:pPr>
        <w:tabs>
          <w:tab w:val="left" w:pos="1573"/>
        </w:tabs>
        <w:ind w:left="1573" w:hanging="864"/>
      </w:pPr>
      <w:rPr>
        <w:rFonts w:hint="default" w:ascii="Times New Roman" w:hAnsi="Times New Roman" w:cs="Times New Roman"/>
        <w:sz w:val="28"/>
        <w:szCs w:val="28"/>
      </w:rPr>
    </w:lvl>
    <w:lvl w:ilvl="4" w:tentative="0">
      <w:start w:val="1"/>
      <w:numFmt w:val="decimal"/>
      <w:isLgl/>
      <w:lvlText w:val="%1.%2.%3.%4.%5"/>
      <w:lvlJc w:val="left"/>
      <w:pPr>
        <w:tabs>
          <w:tab w:val="left" w:pos="1218"/>
        </w:tabs>
        <w:ind w:left="1218" w:hanging="1008"/>
      </w:pPr>
      <w:rPr>
        <w:rFonts w:hint="default" w:ascii="Times New Roman" w:hAnsi="Times New Roman" w:cs="Times New Roman"/>
        <w:b/>
      </w:rPr>
    </w:lvl>
    <w:lvl w:ilvl="5" w:tentative="0">
      <w:start w:val="1"/>
      <w:numFmt w:val="decimal"/>
      <w:isLgl/>
      <w:lvlText w:val="%1.%2.%3.%4.%5.%6"/>
      <w:lvlJc w:val="left"/>
      <w:pPr>
        <w:tabs>
          <w:tab w:val="left" w:pos="1362"/>
        </w:tabs>
        <w:ind w:left="1362" w:hanging="1152"/>
      </w:pPr>
      <w:rPr>
        <w:rFonts w:hint="eastAsia"/>
      </w:rPr>
    </w:lvl>
    <w:lvl w:ilvl="6" w:tentative="0">
      <w:start w:val="1"/>
      <w:numFmt w:val="decimal"/>
      <w:isLgl/>
      <w:lvlText w:val="%1.%2.%3.%4.%5.%6.%7"/>
      <w:lvlJc w:val="left"/>
      <w:pPr>
        <w:tabs>
          <w:tab w:val="left" w:pos="1506"/>
        </w:tabs>
        <w:ind w:left="1506" w:hanging="1296"/>
      </w:pPr>
      <w:rPr>
        <w:rFonts w:hint="eastAsia"/>
      </w:rPr>
    </w:lvl>
    <w:lvl w:ilvl="7" w:tentative="0">
      <w:start w:val="1"/>
      <w:numFmt w:val="decimal"/>
      <w:isLgl/>
      <w:lvlText w:val="%1.%2.%3.%4.%5.%6.%7.%8"/>
      <w:lvlJc w:val="left"/>
      <w:pPr>
        <w:tabs>
          <w:tab w:val="left" w:pos="1650"/>
        </w:tabs>
        <w:ind w:left="1650" w:hanging="1440"/>
      </w:pPr>
      <w:rPr>
        <w:rFonts w:hint="eastAsia"/>
      </w:rPr>
    </w:lvl>
    <w:lvl w:ilvl="8" w:tentative="0">
      <w:start w:val="1"/>
      <w:numFmt w:val="decimal"/>
      <w:isLgl/>
      <w:lvlText w:val="%1.%2.%3.%4.%5.%6.%7.%8.%9"/>
      <w:lvlJc w:val="left"/>
      <w:pPr>
        <w:tabs>
          <w:tab w:val="left" w:pos="1794"/>
        </w:tabs>
        <w:ind w:left="179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44070"/>
    <w:rsid w:val="46D44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32"/>
      <w:lang w:val="en-US" w:eastAsia="zh-CN" w:bidi="ar-SA"/>
    </w:rPr>
  </w:style>
  <w:style w:type="paragraph" w:styleId="2">
    <w:name w:val="heading 2"/>
    <w:basedOn w:val="1"/>
    <w:next w:val="1"/>
    <w:qFormat/>
    <w:uiPriority w:val="0"/>
    <w:pPr>
      <w:keepNext/>
      <w:keepLines/>
      <w:numPr>
        <w:ilvl w:val="1"/>
        <w:numId w:val="1"/>
      </w:numPr>
      <w:tabs>
        <w:tab w:val="left" w:pos="567"/>
        <w:tab w:val="left" w:pos="1930"/>
      </w:tabs>
      <w:autoSpaceDE w:val="0"/>
      <w:autoSpaceDN w:val="0"/>
      <w:adjustRightInd w:val="0"/>
      <w:spacing w:line="360" w:lineRule="auto"/>
      <w:jc w:val="left"/>
      <w:outlineLvl w:val="1"/>
    </w:pPr>
    <w:rPr>
      <w:rFonts w:ascii="Arial" w:hAnsi="Arial" w:eastAsia="黑体" w:cs="Times New Roman"/>
      <w:b/>
      <w:kern w:val="0"/>
      <w:sz w:val="30"/>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91"/>
    <w:basedOn w:val="5"/>
    <w:qFormat/>
    <w:uiPriority w:val="0"/>
    <w:rPr>
      <w:rFonts w:ascii="仿宋_GB2312" w:hAnsi="Times New Roman" w:eastAsia="仿宋_GB2312" w:cs="仿宋_GB2312"/>
      <w:color w:val="000000"/>
      <w:sz w:val="28"/>
      <w:szCs w:val="28"/>
      <w:u w:val="none"/>
    </w:rPr>
  </w:style>
  <w:style w:type="character" w:customStyle="1" w:styleId="7">
    <w:name w:val="font111"/>
    <w:basedOn w:val="5"/>
    <w:qFormat/>
    <w:uiPriority w:val="0"/>
    <w:rPr>
      <w:rFonts w:ascii="黑体" w:hAnsi="宋体" w:eastAsia="黑体" w:cs="黑体"/>
      <w:color w:val="000000"/>
      <w:sz w:val="20"/>
      <w:szCs w:val="20"/>
      <w:u w:val="none"/>
    </w:rPr>
  </w:style>
  <w:style w:type="character" w:customStyle="1" w:styleId="8">
    <w:name w:val="font01"/>
    <w:basedOn w:val="5"/>
    <w:uiPriority w:val="0"/>
    <w:rPr>
      <w:rFonts w:hint="eastAsia" w:ascii="仿宋_GB2312" w:eastAsia="仿宋_GB2312" w:cs="仿宋_GB2312"/>
      <w:b/>
      <w:color w:val="000000"/>
      <w:sz w:val="32"/>
      <w:szCs w:val="32"/>
      <w:u w:val="none"/>
    </w:rPr>
  </w:style>
  <w:style w:type="character" w:customStyle="1" w:styleId="9">
    <w:name w:val="font51"/>
    <w:basedOn w:val="5"/>
    <w:qFormat/>
    <w:uiPriority w:val="0"/>
    <w:rPr>
      <w:rFonts w:hint="eastAsia" w:ascii="仿宋_GB2312" w:hAnsi="Times New Roman" w:eastAsia="仿宋_GB2312" w:cs="仿宋_GB2312"/>
      <w:color w:val="000000"/>
      <w:sz w:val="28"/>
      <w:szCs w:val="28"/>
      <w:u w:val="none"/>
    </w:rPr>
  </w:style>
  <w:style w:type="character" w:customStyle="1" w:styleId="10">
    <w:name w:val="font71"/>
    <w:basedOn w:val="5"/>
    <w:qFormat/>
    <w:uiPriority w:val="0"/>
    <w:rPr>
      <w:rFonts w:hint="default" w:ascii="Times New Roman" w:hAnsi="Times New Roman" w:eastAsia="宋体" w:cs="Times New Roman"/>
      <w:color w:val="000000"/>
      <w:sz w:val="28"/>
      <w:szCs w:val="28"/>
      <w:u w:val="none"/>
    </w:rPr>
  </w:style>
  <w:style w:type="character" w:customStyle="1" w:styleId="11">
    <w:name w:val="font61"/>
    <w:basedOn w:val="5"/>
    <w:qFormat/>
    <w:uiPriority w:val="0"/>
    <w:rPr>
      <w:rFonts w:hint="default" w:ascii="Times New Roman" w:hAnsi="Times New Roman" w:eastAsia="宋体" w:cs="Times New Roman"/>
      <w:color w:val="000000"/>
      <w:sz w:val="28"/>
      <w:szCs w:val="28"/>
      <w:u w:val="none"/>
    </w:rPr>
  </w:style>
  <w:style w:type="character" w:customStyle="1" w:styleId="12">
    <w:name w:val="font12"/>
    <w:basedOn w:val="5"/>
    <w:qFormat/>
    <w:uiPriority w:val="0"/>
    <w:rPr>
      <w:rFonts w:hint="eastAsia" w:ascii="仿宋_GB2312" w:eastAsia="仿宋_GB2312" w:cs="仿宋_GB2312"/>
      <w:color w:val="000000"/>
      <w:sz w:val="20"/>
      <w:szCs w:val="20"/>
      <w:u w:val="none"/>
    </w:rPr>
  </w:style>
  <w:style w:type="character" w:customStyle="1" w:styleId="13">
    <w:name w:val="font31"/>
    <w:basedOn w:val="5"/>
    <w:qFormat/>
    <w:uiPriority w:val="0"/>
    <w:rPr>
      <w:rFonts w:hint="eastAsia" w:ascii="仿宋_GB2312" w:eastAsia="仿宋_GB2312" w:cs="仿宋_GB2312"/>
      <w:b/>
      <w:color w:val="000000"/>
      <w:sz w:val="20"/>
      <w:szCs w:val="20"/>
      <w:u w:val="none"/>
    </w:rPr>
  </w:style>
  <w:style w:type="character" w:customStyle="1" w:styleId="14">
    <w:name w:val="font11"/>
    <w:basedOn w:val="5"/>
    <w:uiPriority w:val="0"/>
    <w:rPr>
      <w:rFonts w:hint="eastAsia" w:ascii="仿宋_GB2312" w:eastAsia="仿宋_GB2312" w:cs="仿宋_GB2312"/>
      <w:b/>
      <w:color w:val="000000"/>
      <w:sz w:val="32"/>
      <w:szCs w:val="32"/>
      <w:u w:val="none"/>
    </w:rPr>
  </w:style>
  <w:style w:type="character" w:customStyle="1" w:styleId="15">
    <w:name w:val="font41"/>
    <w:basedOn w:val="5"/>
    <w:qFormat/>
    <w:uiPriority w:val="0"/>
    <w:rPr>
      <w:rFonts w:hint="eastAsia" w:ascii="仿宋_GB2312" w:hAnsi="Times New Roman"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2025-04-25T10:23:00Z</dcterms:created>
  <dc:creator>Mr.Gump</dc:creator>
  <cp:lastModifiedBy>Mr.Gump</cp:lastModifiedBy>
  <dcterms:modified xsi:type="dcterms:W3CDTF">2025-04-25T10:27:18Z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66E32A53A9FF458EAFE65488C2AB69C2_11</vt:lpwstr>
  </property>
</Properties>
</file>