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877BD">
      <w:pPr>
        <w:keepNext w:val="0"/>
        <w:keepLines w:val="0"/>
        <w:pageBreakBefore w:val="0"/>
        <w:widowControl w:val="0"/>
        <w:suppressLineNumbers w:val="0"/>
        <w:kinsoku/>
        <w:wordWrap/>
        <w:overflowPunct/>
        <w:topLinePunct w:val="0"/>
        <w:autoSpaceDE/>
        <w:autoSpaceDN/>
        <w:bidi w:val="0"/>
        <w:adjustRightInd/>
        <w:snapToGrid/>
        <w:spacing w:before="297" w:beforeLines="50" w:after="297" w:afterLines="50" w:line="560" w:lineRule="exact"/>
        <w:jc w:val="center"/>
        <w:textAlignment w:val="center"/>
        <w:outlineLvl w:val="9"/>
        <w:rPr>
          <w:rStyle w:val="5"/>
          <w:rFonts w:hint="default" w:ascii="Times New Roman" w:hAnsi="Times New Roman" w:eastAsia="方正小标宋简体" w:cs="Times New Roman"/>
          <w:sz w:val="36"/>
          <w:szCs w:val="36"/>
          <w:lang w:val="en-US" w:eastAsia="zh-CN" w:bidi="ar"/>
        </w:rPr>
      </w:pPr>
      <w:r>
        <w:rPr>
          <w:rStyle w:val="5"/>
          <w:rFonts w:hint="eastAsia" w:ascii="Times New Roman" w:hAnsi="Times New Roman" w:eastAsia="方正小标宋简体" w:cs="Times New Roman"/>
          <w:spacing w:val="-6"/>
          <w:sz w:val="32"/>
          <w:szCs w:val="32"/>
          <w:lang w:val="en-US" w:eastAsia="zh-CN" w:bidi="ar"/>
        </w:rPr>
        <w:t>霍城县</w:t>
      </w:r>
      <w:r>
        <w:rPr>
          <w:rStyle w:val="5"/>
          <w:rFonts w:hint="default" w:ascii="Times New Roman" w:hAnsi="Times New Roman" w:eastAsia="方正小标宋简体" w:cs="Times New Roman"/>
          <w:spacing w:val="-6"/>
          <w:sz w:val="32"/>
          <w:szCs w:val="32"/>
          <w:lang w:val="en-US" w:eastAsia="zh-CN" w:bidi="ar"/>
        </w:rPr>
        <w:t>农业领域不予实施行政强</w:t>
      </w:r>
      <w:bookmarkStart w:id="0" w:name="_GoBack"/>
      <w:bookmarkEnd w:id="0"/>
      <w:r>
        <w:rPr>
          <w:rStyle w:val="5"/>
          <w:rFonts w:hint="default" w:ascii="Times New Roman" w:hAnsi="Times New Roman" w:eastAsia="方正小标宋简体" w:cs="Times New Roman"/>
          <w:spacing w:val="-6"/>
          <w:sz w:val="32"/>
          <w:szCs w:val="32"/>
          <w:lang w:val="en-US" w:eastAsia="zh-CN" w:bidi="ar"/>
        </w:rPr>
        <w:t>制措施事项清单（试行）</w:t>
      </w:r>
    </w:p>
    <w:tbl>
      <w:tblPr>
        <w:tblStyle w:val="3"/>
        <w:tblW w:w="0" w:type="auto"/>
        <w:tblInd w:w="-38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7"/>
        <w:gridCol w:w="627"/>
        <w:gridCol w:w="1141"/>
        <w:gridCol w:w="2057"/>
        <w:gridCol w:w="1704"/>
        <w:gridCol w:w="1735"/>
        <w:gridCol w:w="1661"/>
        <w:gridCol w:w="439"/>
      </w:tblGrid>
      <w:tr w14:paraId="07185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atLeast"/>
        </w:trPr>
        <w:tc>
          <w:tcPr>
            <w:tcW w:w="407" w:type="dxa"/>
            <w:tcBorders>
              <w:top w:val="single" w:color="000000" w:sz="4" w:space="0"/>
              <w:left w:val="single" w:color="000000" w:sz="4" w:space="0"/>
              <w:bottom w:val="single" w:color="000000" w:sz="4" w:space="0"/>
              <w:right w:val="single" w:color="000000" w:sz="4" w:space="0"/>
            </w:tcBorders>
            <w:noWrap w:val="0"/>
            <w:vAlign w:val="center"/>
          </w:tcPr>
          <w:p w14:paraId="241D3E9D">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序号</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0050E5C9">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管理领域</w:t>
            </w:r>
          </w:p>
        </w:tc>
        <w:tc>
          <w:tcPr>
            <w:tcW w:w="1141" w:type="dxa"/>
            <w:tcBorders>
              <w:top w:val="single" w:color="000000" w:sz="4" w:space="0"/>
              <w:left w:val="single" w:color="000000" w:sz="4" w:space="0"/>
              <w:bottom w:val="single" w:color="000000" w:sz="4" w:space="0"/>
              <w:right w:val="single" w:color="000000" w:sz="4" w:space="0"/>
            </w:tcBorders>
            <w:noWrap w:val="0"/>
            <w:vAlign w:val="center"/>
          </w:tcPr>
          <w:p w14:paraId="3185AD52">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违法事项</w:t>
            </w:r>
          </w:p>
        </w:tc>
        <w:tc>
          <w:tcPr>
            <w:tcW w:w="2057" w:type="dxa"/>
            <w:tcBorders>
              <w:top w:val="single" w:color="000000" w:sz="4" w:space="0"/>
              <w:left w:val="single" w:color="000000" w:sz="4" w:space="0"/>
              <w:bottom w:val="single" w:color="000000" w:sz="4" w:space="0"/>
              <w:right w:val="single" w:color="000000" w:sz="4" w:space="0"/>
            </w:tcBorders>
            <w:noWrap w:val="0"/>
            <w:vAlign w:val="center"/>
          </w:tcPr>
          <w:p w14:paraId="7B8187EE">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设定依据</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14:paraId="3AFC6666">
            <w:pPr>
              <w:keepNext w:val="0"/>
              <w:keepLines w:val="0"/>
              <w:widowControl/>
              <w:suppressLineNumbers w:val="0"/>
              <w:jc w:val="center"/>
              <w:textAlignment w:val="center"/>
              <w:rPr>
                <w:rFonts w:hint="default" w:ascii="Times New Roman" w:hAnsi="Times New Roman" w:eastAsia="黑体" w:cs="Times New Roman"/>
                <w:i w:val="0"/>
                <w:color w:val="000000"/>
                <w:kern w:val="0"/>
                <w:sz w:val="18"/>
                <w:szCs w:val="18"/>
                <w:u w:val="none"/>
                <w:lang w:val="en-US" w:eastAsia="zh-CN" w:bidi="ar"/>
              </w:rPr>
            </w:pPr>
            <w:r>
              <w:rPr>
                <w:rFonts w:hint="default" w:ascii="Times New Roman" w:hAnsi="Times New Roman" w:eastAsia="黑体" w:cs="Times New Roman"/>
                <w:i w:val="0"/>
                <w:color w:val="000000"/>
                <w:kern w:val="0"/>
                <w:sz w:val="18"/>
                <w:szCs w:val="18"/>
                <w:u w:val="none"/>
                <w:lang w:val="en-US" w:eastAsia="zh-CN" w:bidi="ar"/>
              </w:rPr>
              <w:t>免予行政强制</w:t>
            </w:r>
          </w:p>
          <w:p w14:paraId="1F6EF3F8">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措施的情形</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5711048C">
            <w:pPr>
              <w:keepNext w:val="0"/>
              <w:keepLines w:val="0"/>
              <w:widowControl/>
              <w:suppressLineNumbers w:val="0"/>
              <w:jc w:val="center"/>
              <w:textAlignment w:val="center"/>
              <w:rPr>
                <w:rFonts w:hint="default" w:ascii="Times New Roman" w:hAnsi="Times New Roman" w:eastAsia="黑体" w:cs="Times New Roman"/>
                <w:i w:val="0"/>
                <w:color w:val="000000"/>
                <w:kern w:val="0"/>
                <w:sz w:val="18"/>
                <w:szCs w:val="18"/>
                <w:u w:val="none"/>
                <w:lang w:val="en-US" w:eastAsia="zh-CN" w:bidi="ar"/>
              </w:rPr>
            </w:pPr>
            <w:r>
              <w:rPr>
                <w:rFonts w:hint="default" w:ascii="Times New Roman" w:hAnsi="Times New Roman" w:eastAsia="黑体" w:cs="Times New Roman"/>
                <w:i w:val="0"/>
                <w:color w:val="000000"/>
                <w:kern w:val="0"/>
                <w:sz w:val="18"/>
                <w:szCs w:val="18"/>
                <w:u w:val="none"/>
                <w:lang w:val="en-US" w:eastAsia="zh-CN" w:bidi="ar"/>
              </w:rPr>
              <w:t>免予行政强制</w:t>
            </w:r>
          </w:p>
          <w:p w14:paraId="2316BA88">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措施的依据</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732C322F">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后续监管措施</w:t>
            </w:r>
          </w:p>
        </w:tc>
        <w:tc>
          <w:tcPr>
            <w:tcW w:w="439" w:type="dxa"/>
            <w:tcBorders>
              <w:top w:val="single" w:color="000000" w:sz="4" w:space="0"/>
              <w:left w:val="single" w:color="000000" w:sz="4" w:space="0"/>
              <w:bottom w:val="single" w:color="000000" w:sz="4" w:space="0"/>
              <w:right w:val="single" w:color="000000" w:sz="4" w:space="0"/>
            </w:tcBorders>
            <w:noWrap w:val="0"/>
            <w:vAlign w:val="center"/>
          </w:tcPr>
          <w:p w14:paraId="07148EE5">
            <w:pPr>
              <w:keepNext w:val="0"/>
              <w:keepLines w:val="0"/>
              <w:widowControl/>
              <w:suppressLineNumbers w:val="0"/>
              <w:jc w:val="center"/>
              <w:textAlignment w:val="center"/>
              <w:rPr>
                <w:rFonts w:hint="default" w:ascii="Times New Roman" w:hAnsi="Times New Roman" w:eastAsia="黑体" w:cs="Times New Roman"/>
                <w:i w:val="0"/>
                <w:color w:val="000000"/>
                <w:sz w:val="18"/>
                <w:szCs w:val="18"/>
                <w:u w:val="none"/>
              </w:rPr>
            </w:pPr>
            <w:r>
              <w:rPr>
                <w:rFonts w:hint="default" w:ascii="Times New Roman" w:hAnsi="Times New Roman" w:eastAsia="黑体" w:cs="Times New Roman"/>
                <w:i w:val="0"/>
                <w:color w:val="000000"/>
                <w:kern w:val="0"/>
                <w:sz w:val="18"/>
                <w:szCs w:val="18"/>
                <w:u w:val="none"/>
                <w:lang w:val="en-US" w:eastAsia="zh-CN" w:bidi="ar"/>
              </w:rPr>
              <w:t>备注</w:t>
            </w:r>
          </w:p>
        </w:tc>
      </w:tr>
      <w:tr w14:paraId="5F185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0" w:hRule="atLeast"/>
        </w:trPr>
        <w:tc>
          <w:tcPr>
            <w:tcW w:w="407" w:type="dxa"/>
            <w:tcBorders>
              <w:top w:val="single" w:color="000000" w:sz="4" w:space="0"/>
              <w:left w:val="single" w:color="000000" w:sz="4" w:space="0"/>
              <w:bottom w:val="single" w:color="000000" w:sz="4" w:space="0"/>
              <w:right w:val="single" w:color="000000" w:sz="4" w:space="0"/>
            </w:tcBorders>
            <w:noWrap w:val="0"/>
            <w:vAlign w:val="center"/>
          </w:tcPr>
          <w:p w14:paraId="05F96E4F">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1</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045AEBB4">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农药</w:t>
            </w:r>
          </w:p>
        </w:tc>
        <w:tc>
          <w:tcPr>
            <w:tcW w:w="1141" w:type="dxa"/>
            <w:tcBorders>
              <w:top w:val="single" w:color="000000" w:sz="4" w:space="0"/>
              <w:left w:val="single" w:color="000000" w:sz="4" w:space="0"/>
              <w:bottom w:val="single" w:color="000000" w:sz="4" w:space="0"/>
              <w:right w:val="single" w:color="000000" w:sz="4" w:space="0"/>
            </w:tcBorders>
            <w:noWrap w:val="0"/>
            <w:vAlign w:val="center"/>
          </w:tcPr>
          <w:p w14:paraId="0A437D24">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对违法生产经营使用的农药，以及用于违法生产、经营、使用农药的场所的行政强制</w:t>
            </w:r>
            <w:r>
              <w:rPr>
                <w:rFonts w:hint="eastAsia" w:ascii="Times New Roman" w:hAnsi="Times New Roman" w:cs="Times New Roman"/>
                <w:i w:val="0"/>
                <w:color w:val="000000"/>
                <w:kern w:val="0"/>
                <w:sz w:val="18"/>
                <w:szCs w:val="18"/>
                <w:u w:val="none"/>
                <w:lang w:val="en-US" w:eastAsia="zh-CN" w:bidi="ar"/>
              </w:rPr>
              <w:t>。</w:t>
            </w:r>
          </w:p>
        </w:tc>
        <w:tc>
          <w:tcPr>
            <w:tcW w:w="2057" w:type="dxa"/>
            <w:tcBorders>
              <w:top w:val="single" w:color="000000" w:sz="4" w:space="0"/>
              <w:left w:val="single" w:color="000000" w:sz="4" w:space="0"/>
              <w:bottom w:val="single" w:color="000000" w:sz="4" w:space="0"/>
              <w:right w:val="single" w:color="000000" w:sz="4" w:space="0"/>
            </w:tcBorders>
            <w:noWrap w:val="0"/>
            <w:vAlign w:val="center"/>
          </w:tcPr>
          <w:p w14:paraId="6534D21D">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Fonts w:hint="default" w:ascii="Times New Roman" w:hAnsi="Times New Roman" w:eastAsia="仿宋_GB2312" w:cs="Times New Roman"/>
                <w:b/>
                <w:i w:val="0"/>
                <w:color w:val="000000"/>
                <w:kern w:val="0"/>
                <w:sz w:val="18"/>
                <w:szCs w:val="18"/>
                <w:u w:val="none"/>
                <w:lang w:val="en-US" w:eastAsia="zh-CN" w:bidi="ar"/>
              </w:rPr>
              <w:t>《农药管理条例》第四十一条六项：</w:t>
            </w:r>
            <w:r>
              <w:rPr>
                <w:rFonts w:hint="default" w:ascii="Times New Roman" w:hAnsi="Times New Roman" w:eastAsia="仿宋_GB2312" w:cs="Times New Roman"/>
                <w:i w:val="0"/>
                <w:color w:val="000000"/>
                <w:kern w:val="0"/>
                <w:sz w:val="18"/>
                <w:szCs w:val="18"/>
                <w:u w:val="none"/>
                <w:lang w:val="en-US" w:eastAsia="zh-CN" w:bidi="ar"/>
              </w:rPr>
              <w:t>县级以上人民政府农业主管部门履行农药监督管理职责，可以依法采取下列措施：</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（六）查封违法生产、经营、使用农药的场所。</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14:paraId="19958DA9">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违法行为轻微，且通过责令改正能及时补救，可以不实施行政强制。</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00C8656F">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Fonts w:hint="default" w:ascii="Times New Roman" w:hAnsi="Times New Roman" w:eastAsia="仿宋_GB2312" w:cs="Times New Roman"/>
                <w:b/>
                <w:i w:val="0"/>
                <w:color w:val="000000"/>
                <w:kern w:val="0"/>
                <w:sz w:val="18"/>
                <w:szCs w:val="18"/>
                <w:u w:val="none"/>
                <w:lang w:val="en-US" w:eastAsia="zh-CN" w:bidi="ar"/>
              </w:rPr>
              <w:t>《行政强制法》第十六条第二款：</w:t>
            </w:r>
            <w:r>
              <w:rPr>
                <w:rFonts w:hint="default" w:ascii="Times New Roman" w:hAnsi="Times New Roman" w:eastAsia="仿宋_GB2312" w:cs="Times New Roman"/>
                <w:i w:val="0"/>
                <w:color w:val="000000"/>
                <w:kern w:val="0"/>
                <w:sz w:val="18"/>
                <w:szCs w:val="18"/>
                <w:u w:val="none"/>
                <w:lang w:val="en-US" w:eastAsia="zh-CN" w:bidi="ar"/>
              </w:rPr>
              <w:t>违法行为情节显著轻微或者没有明显社会危害的，可以不采取行政强制措施。</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1DA025A4">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及时复查整改情况、加强行政检查等方式。</w:t>
            </w:r>
          </w:p>
        </w:tc>
        <w:tc>
          <w:tcPr>
            <w:tcW w:w="439" w:type="dxa"/>
            <w:tcBorders>
              <w:top w:val="single" w:color="000000" w:sz="4" w:space="0"/>
              <w:left w:val="single" w:color="000000" w:sz="4" w:space="0"/>
              <w:bottom w:val="single" w:color="000000" w:sz="4" w:space="0"/>
              <w:right w:val="single" w:color="000000" w:sz="4" w:space="0"/>
            </w:tcBorders>
            <w:noWrap w:val="0"/>
            <w:vAlign w:val="center"/>
          </w:tcPr>
          <w:p w14:paraId="1F606C03">
            <w:pPr>
              <w:rPr>
                <w:rFonts w:hint="default" w:ascii="Times New Roman" w:hAnsi="Times New Roman" w:eastAsia="仿宋_GB2312" w:cs="Times New Roman"/>
                <w:i w:val="0"/>
                <w:color w:val="000000"/>
                <w:sz w:val="18"/>
                <w:szCs w:val="18"/>
                <w:u w:val="none"/>
              </w:rPr>
            </w:pPr>
          </w:p>
        </w:tc>
      </w:tr>
      <w:tr w14:paraId="0863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7" w:hRule="atLeast"/>
        </w:trPr>
        <w:tc>
          <w:tcPr>
            <w:tcW w:w="407" w:type="dxa"/>
            <w:tcBorders>
              <w:top w:val="single" w:color="000000" w:sz="4" w:space="0"/>
              <w:left w:val="single" w:color="000000" w:sz="4" w:space="0"/>
              <w:bottom w:val="single" w:color="000000" w:sz="4" w:space="0"/>
              <w:right w:val="single" w:color="000000" w:sz="4" w:space="0"/>
            </w:tcBorders>
            <w:noWrap w:val="0"/>
            <w:vAlign w:val="center"/>
          </w:tcPr>
          <w:p w14:paraId="5332E7D2">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2</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14:paraId="7AEF15E0">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饲料</w:t>
            </w:r>
          </w:p>
        </w:tc>
        <w:tc>
          <w:tcPr>
            <w:tcW w:w="1141" w:type="dxa"/>
            <w:tcBorders>
              <w:top w:val="single" w:color="000000" w:sz="4" w:space="0"/>
              <w:left w:val="single" w:color="000000" w:sz="4" w:space="0"/>
              <w:bottom w:val="single" w:color="000000" w:sz="4" w:space="0"/>
              <w:right w:val="single" w:color="000000" w:sz="4" w:space="0"/>
            </w:tcBorders>
            <w:noWrap w:val="0"/>
            <w:vAlign w:val="center"/>
          </w:tcPr>
          <w:p w14:paraId="16B96D88">
            <w:pPr>
              <w:keepNext w:val="0"/>
              <w:keepLines w:val="0"/>
              <w:widowControl/>
              <w:suppressLineNumbers w:val="0"/>
              <w:jc w:val="center"/>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查封违法生产、经营饲料、饲料添加剂的场所</w:t>
            </w:r>
            <w:r>
              <w:rPr>
                <w:rFonts w:hint="eastAsia" w:ascii="Times New Roman" w:hAnsi="Times New Roman" w:cs="Times New Roman"/>
                <w:i w:val="0"/>
                <w:color w:val="000000"/>
                <w:kern w:val="0"/>
                <w:sz w:val="18"/>
                <w:szCs w:val="18"/>
                <w:u w:val="none"/>
                <w:lang w:val="en-US" w:eastAsia="zh-CN" w:bidi="ar"/>
              </w:rPr>
              <w:t>。</w:t>
            </w:r>
          </w:p>
        </w:tc>
        <w:tc>
          <w:tcPr>
            <w:tcW w:w="2057" w:type="dxa"/>
            <w:tcBorders>
              <w:top w:val="single" w:color="000000" w:sz="4" w:space="0"/>
              <w:left w:val="single" w:color="000000" w:sz="4" w:space="0"/>
              <w:bottom w:val="single" w:color="000000" w:sz="4" w:space="0"/>
              <w:right w:val="single" w:color="000000" w:sz="4" w:space="0"/>
            </w:tcBorders>
            <w:noWrap w:val="0"/>
            <w:vAlign w:val="center"/>
          </w:tcPr>
          <w:p w14:paraId="6C8E8481">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Fonts w:hint="default" w:ascii="Times New Roman" w:hAnsi="Times New Roman" w:eastAsia="仿宋_GB2312" w:cs="Times New Roman"/>
                <w:b/>
                <w:i w:val="0"/>
                <w:color w:val="000000"/>
                <w:kern w:val="0"/>
                <w:sz w:val="18"/>
                <w:szCs w:val="18"/>
                <w:u w:val="none"/>
                <w:lang w:val="en-US" w:eastAsia="zh-CN" w:bidi="ar"/>
              </w:rPr>
              <w:t>《饲料和饲料添加剂管理条例》第三十四条四项：</w:t>
            </w:r>
            <w:r>
              <w:rPr>
                <w:rFonts w:hint="default" w:ascii="Times New Roman" w:hAnsi="Times New Roman" w:eastAsia="仿宋_GB2312" w:cs="Times New Roman"/>
                <w:i w:val="0"/>
                <w:color w:val="000000"/>
                <w:kern w:val="0"/>
                <w:sz w:val="18"/>
                <w:szCs w:val="18"/>
                <w:u w:val="none"/>
                <w:lang w:val="en-US" w:eastAsia="zh-CN" w:bidi="ar"/>
              </w:rPr>
              <w:t>国务院农业行政主管部门和县级以上地方人民政府饲料管理部门在监督检查中可以采取下列措施</w:t>
            </w:r>
            <w:r>
              <w:rPr>
                <w:rFonts w:hint="eastAsia" w:ascii="Times New Roman" w:hAnsi="Times New Roman" w:cs="Times New Roman"/>
                <w:i w:val="0"/>
                <w:color w:val="000000"/>
                <w:kern w:val="0"/>
                <w:sz w:val="18"/>
                <w:szCs w:val="18"/>
                <w:u w:val="none"/>
                <w:lang w:val="en-US" w:eastAsia="zh-CN" w:bidi="ar"/>
              </w:rPr>
              <w:t>：</w:t>
            </w:r>
            <w:r>
              <w:rPr>
                <w:rFonts w:hint="default" w:ascii="Times New Roman" w:hAnsi="Times New Roman" w:eastAsia="仿宋_GB2312" w:cs="Times New Roman"/>
                <w:i w:val="0"/>
                <w:color w:val="000000"/>
                <w:kern w:val="0"/>
                <w:sz w:val="18"/>
                <w:szCs w:val="18"/>
                <w:u w:val="none"/>
                <w:lang w:val="en-US" w:eastAsia="zh-CN" w:bidi="ar"/>
              </w:rPr>
              <w:t>（四）查封违法生产、经营饲料、饲料添加剂的场所。</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14:paraId="300DB667">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违法行为情节显著轻微或者没有明显社会危害的，及时纠正且没有造成危害后果的，采用非强制手段可以达到行政管理目的。</w:t>
            </w:r>
          </w:p>
        </w:tc>
        <w:tc>
          <w:tcPr>
            <w:tcW w:w="1735" w:type="dxa"/>
            <w:tcBorders>
              <w:top w:val="single" w:color="000000" w:sz="4" w:space="0"/>
              <w:left w:val="single" w:color="000000" w:sz="4" w:space="0"/>
              <w:bottom w:val="single" w:color="000000" w:sz="4" w:space="0"/>
              <w:right w:val="single" w:color="000000" w:sz="4" w:space="0"/>
            </w:tcBorders>
            <w:noWrap w:val="0"/>
            <w:vAlign w:val="center"/>
          </w:tcPr>
          <w:p w14:paraId="57CA5842">
            <w:pPr>
              <w:keepNext w:val="0"/>
              <w:keepLines w:val="0"/>
              <w:widowControl/>
              <w:suppressLineNumbers w:val="0"/>
              <w:jc w:val="left"/>
              <w:textAlignment w:val="center"/>
              <w:rPr>
                <w:rFonts w:hint="default" w:ascii="Times New Roman" w:hAnsi="Times New Roman" w:eastAsia="仿宋_GB2312" w:cs="Times New Roman"/>
                <w:b/>
                <w:i w:val="0"/>
                <w:color w:val="000000"/>
                <w:sz w:val="18"/>
                <w:szCs w:val="18"/>
                <w:u w:val="none"/>
              </w:rPr>
            </w:pPr>
            <w:r>
              <w:rPr>
                <w:rFonts w:hint="default" w:ascii="Times New Roman" w:hAnsi="Times New Roman" w:eastAsia="仿宋_GB2312" w:cs="Times New Roman"/>
                <w:b/>
                <w:i w:val="0"/>
                <w:color w:val="000000"/>
                <w:kern w:val="0"/>
                <w:sz w:val="18"/>
                <w:szCs w:val="18"/>
                <w:u w:val="none"/>
                <w:lang w:val="en-US" w:eastAsia="zh-CN" w:bidi="ar"/>
              </w:rPr>
              <w:t>《行政强制法》第十六条第二款：</w:t>
            </w:r>
            <w:r>
              <w:rPr>
                <w:rFonts w:hint="default" w:ascii="Times New Roman" w:hAnsi="Times New Roman" w:eastAsia="仿宋_GB2312" w:cs="Times New Roman"/>
                <w:i w:val="0"/>
                <w:color w:val="000000"/>
                <w:kern w:val="0"/>
                <w:sz w:val="18"/>
                <w:szCs w:val="18"/>
                <w:u w:val="none"/>
                <w:lang w:val="en-US" w:eastAsia="zh-CN" w:bidi="ar"/>
              </w:rPr>
              <w:t>违法行为情节显著轻微或者没有明显社会危害的，可以不采取行政强制措施。</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45BA423F">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加强教育、劝导示范、警示约谈等非强制性方法；</w:t>
            </w:r>
            <w:r>
              <w:rPr>
                <w:rFonts w:hint="default" w:ascii="Times New Roman" w:hAnsi="Times New Roman" w:eastAsia="仿宋_GB2312" w:cs="Times New Roman"/>
                <w:i w:val="0"/>
                <w:color w:val="000000"/>
                <w:kern w:val="0"/>
                <w:sz w:val="18"/>
                <w:szCs w:val="18"/>
                <w:u w:val="none"/>
                <w:lang w:val="en-US" w:eastAsia="zh-CN" w:bidi="ar"/>
              </w:rPr>
              <w:br w:type="textWrapping"/>
            </w:r>
            <w:r>
              <w:rPr>
                <w:rFonts w:hint="default" w:ascii="Times New Roman" w:hAnsi="Times New Roman" w:eastAsia="仿宋_GB2312" w:cs="Times New Roman"/>
                <w:i w:val="0"/>
                <w:color w:val="000000"/>
                <w:kern w:val="0"/>
                <w:sz w:val="18"/>
                <w:szCs w:val="18"/>
                <w:u w:val="none"/>
                <w:lang w:val="en-US" w:eastAsia="zh-CN" w:bidi="ar"/>
              </w:rPr>
              <w:t>及时复查整改情况、加强行政检查等方式。</w:t>
            </w:r>
          </w:p>
        </w:tc>
        <w:tc>
          <w:tcPr>
            <w:tcW w:w="439" w:type="dxa"/>
            <w:tcBorders>
              <w:top w:val="single" w:color="000000" w:sz="4" w:space="0"/>
              <w:left w:val="single" w:color="000000" w:sz="4" w:space="0"/>
              <w:bottom w:val="single" w:color="000000" w:sz="4" w:space="0"/>
              <w:right w:val="single" w:color="000000" w:sz="4" w:space="0"/>
            </w:tcBorders>
            <w:noWrap w:val="0"/>
            <w:vAlign w:val="center"/>
          </w:tcPr>
          <w:p w14:paraId="5D80B742">
            <w:pPr>
              <w:rPr>
                <w:rFonts w:hint="default" w:ascii="Times New Roman" w:hAnsi="Times New Roman" w:eastAsia="仿宋_GB2312" w:cs="Times New Roman"/>
                <w:i w:val="0"/>
                <w:color w:val="000000"/>
                <w:sz w:val="18"/>
                <w:szCs w:val="18"/>
                <w:u w:val="none"/>
              </w:rPr>
            </w:pPr>
          </w:p>
        </w:tc>
      </w:tr>
      <w:tr w14:paraId="06EDE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71" w:type="dxa"/>
            <w:gridSpan w:val="8"/>
            <w:tcBorders>
              <w:top w:val="single" w:color="000000" w:sz="4" w:space="0"/>
              <w:left w:val="single" w:color="000000" w:sz="4" w:space="0"/>
              <w:bottom w:val="single" w:color="000000" w:sz="4" w:space="0"/>
              <w:right w:val="single" w:color="000000" w:sz="4" w:space="0"/>
            </w:tcBorders>
            <w:noWrap w:val="0"/>
            <w:vAlign w:val="center"/>
          </w:tcPr>
          <w:p w14:paraId="50C83C36">
            <w:pPr>
              <w:keepNext w:val="0"/>
              <w:keepLines w:val="0"/>
              <w:widowControl/>
              <w:suppressLineNumbers w:val="0"/>
              <w:jc w:val="left"/>
              <w:textAlignment w:val="center"/>
              <w:rPr>
                <w:rFonts w:hint="default" w:ascii="Times New Roman" w:hAnsi="Times New Roman" w:eastAsia="仿宋_GB2312" w:cs="Times New Roman"/>
                <w:i w:val="0"/>
                <w:color w:val="000000"/>
                <w:sz w:val="18"/>
                <w:szCs w:val="18"/>
                <w:u w:val="none"/>
              </w:rPr>
            </w:pPr>
            <w:r>
              <w:rPr>
                <w:rFonts w:hint="default" w:ascii="Times New Roman" w:hAnsi="Times New Roman" w:eastAsia="仿宋_GB2312" w:cs="Times New Roman"/>
                <w:i w:val="0"/>
                <w:color w:val="000000"/>
                <w:kern w:val="0"/>
                <w:sz w:val="18"/>
                <w:szCs w:val="18"/>
                <w:u w:val="none"/>
                <w:lang w:val="en-US" w:eastAsia="zh-CN" w:bidi="ar"/>
              </w:rPr>
              <w:t>备注：本清单未列明的违法行为，如果符合《中华人民共和国行政强制法》《优化营商环境条例》等法律法规关于不予行政强制的规定，可以直接适用不予行政强制规定。</w:t>
            </w:r>
          </w:p>
        </w:tc>
      </w:tr>
    </w:tbl>
    <w:p w14:paraId="6680D5D8"/>
    <w:p w14:paraId="7D861F6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5E758B"/>
    <w:multiLevelType w:val="multilevel"/>
    <w:tmpl w:val="5E5E758B"/>
    <w:lvl w:ilvl="0" w:tentative="0">
      <w:start w:val="1"/>
      <w:numFmt w:val="koreanDigital2"/>
      <w:lvlText w:val="第%1章 "/>
      <w:lvlJc w:val="left"/>
      <w:pPr>
        <w:tabs>
          <w:tab w:val="left" w:pos="1930"/>
        </w:tabs>
        <w:ind w:left="1282" w:hanging="432"/>
      </w:pPr>
      <w:rPr>
        <w:b w:val="0"/>
        <w:bCs w:val="0"/>
        <w:i w:val="0"/>
        <w:iCs w:val="0"/>
        <w:caps w:val="0"/>
        <w:smallCaps w:val="0"/>
        <w:strike w:val="0"/>
        <w:dstrike w:val="0"/>
        <w:vanish w:val="0"/>
        <w:spacing w:val="0"/>
        <w:position w:val="0"/>
        <w:u w:val="none"/>
        <w:vertAlign w:val="baseline"/>
      </w:rPr>
    </w:lvl>
    <w:lvl w:ilvl="1" w:tentative="0">
      <w:start w:val="1"/>
      <w:numFmt w:val="decimal"/>
      <w:pStyle w:val="2"/>
      <w:isLgl/>
      <w:lvlText w:val="%1.%2"/>
      <w:lvlJc w:val="left"/>
      <w:pPr>
        <w:tabs>
          <w:tab w:val="left" w:pos="756"/>
        </w:tabs>
        <w:ind w:left="756" w:hanging="576"/>
      </w:pPr>
      <w:rPr>
        <w:rFonts w:hint="default" w:ascii="Arial" w:hAnsi="Arial" w:eastAsia="黑体"/>
        <w:color w:val="000000"/>
      </w:rPr>
    </w:lvl>
    <w:lvl w:ilvl="2" w:tentative="0">
      <w:start w:val="1"/>
      <w:numFmt w:val="decimal"/>
      <w:isLgl/>
      <w:lvlText w:val="%1.%2.%3"/>
      <w:lvlJc w:val="left"/>
      <w:pPr>
        <w:tabs>
          <w:tab w:val="left" w:pos="2279"/>
        </w:tabs>
        <w:ind w:left="2279" w:hanging="720"/>
      </w:pPr>
      <w:rPr>
        <w:rFonts w:hint="eastAsia" w:ascii="黑体" w:hAnsi="黑体" w:eastAsia="黑体"/>
      </w:rPr>
    </w:lvl>
    <w:lvl w:ilvl="3" w:tentative="0">
      <w:start w:val="1"/>
      <w:numFmt w:val="decimal"/>
      <w:isLgl/>
      <w:lvlText w:val="%1.%2.%3.%4"/>
      <w:lvlJc w:val="left"/>
      <w:pPr>
        <w:tabs>
          <w:tab w:val="left" w:pos="1573"/>
        </w:tabs>
        <w:ind w:left="1573" w:hanging="864"/>
      </w:pPr>
      <w:rPr>
        <w:rFonts w:hint="default" w:ascii="Times New Roman" w:hAnsi="Times New Roman" w:cs="Times New Roman"/>
        <w:sz w:val="28"/>
        <w:szCs w:val="28"/>
      </w:rPr>
    </w:lvl>
    <w:lvl w:ilvl="4" w:tentative="0">
      <w:start w:val="1"/>
      <w:numFmt w:val="decimal"/>
      <w:isLgl/>
      <w:lvlText w:val="%1.%2.%3.%4.%5"/>
      <w:lvlJc w:val="left"/>
      <w:pPr>
        <w:tabs>
          <w:tab w:val="left" w:pos="1218"/>
        </w:tabs>
        <w:ind w:left="1218" w:hanging="1008"/>
      </w:pPr>
      <w:rPr>
        <w:rFonts w:hint="default" w:ascii="Times New Roman" w:hAnsi="Times New Roman" w:cs="Times New Roman"/>
        <w:b/>
      </w:rPr>
    </w:lvl>
    <w:lvl w:ilvl="5" w:tentative="0">
      <w:start w:val="1"/>
      <w:numFmt w:val="decimal"/>
      <w:isLgl/>
      <w:lvlText w:val="%1.%2.%3.%4.%5.%6"/>
      <w:lvlJc w:val="left"/>
      <w:pPr>
        <w:tabs>
          <w:tab w:val="left" w:pos="1362"/>
        </w:tabs>
        <w:ind w:left="1362" w:hanging="1152"/>
      </w:pPr>
      <w:rPr>
        <w:rFonts w:hint="eastAsia"/>
      </w:rPr>
    </w:lvl>
    <w:lvl w:ilvl="6" w:tentative="0">
      <w:start w:val="1"/>
      <w:numFmt w:val="decimal"/>
      <w:isLgl/>
      <w:lvlText w:val="%1.%2.%3.%4.%5.%6.%7"/>
      <w:lvlJc w:val="left"/>
      <w:pPr>
        <w:tabs>
          <w:tab w:val="left" w:pos="1506"/>
        </w:tabs>
        <w:ind w:left="1506" w:hanging="1296"/>
      </w:pPr>
      <w:rPr>
        <w:rFonts w:hint="eastAsia"/>
      </w:rPr>
    </w:lvl>
    <w:lvl w:ilvl="7" w:tentative="0">
      <w:start w:val="1"/>
      <w:numFmt w:val="decimal"/>
      <w:isLgl/>
      <w:lvlText w:val="%1.%2.%3.%4.%5.%6.%7.%8"/>
      <w:lvlJc w:val="left"/>
      <w:pPr>
        <w:tabs>
          <w:tab w:val="left" w:pos="1650"/>
        </w:tabs>
        <w:ind w:left="1650" w:hanging="1440"/>
      </w:pPr>
      <w:rPr>
        <w:rFonts w:hint="eastAsia"/>
      </w:rPr>
    </w:lvl>
    <w:lvl w:ilvl="8" w:tentative="0">
      <w:start w:val="1"/>
      <w:numFmt w:val="decimal"/>
      <w:isLgl/>
      <w:lvlText w:val="%1.%2.%3.%4.%5.%6.%7.%8.%9"/>
      <w:lvlJc w:val="left"/>
      <w:pPr>
        <w:tabs>
          <w:tab w:val="left" w:pos="1794"/>
        </w:tabs>
        <w:ind w:left="179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355ADD"/>
    <w:rsid w:val="12355ADD"/>
    <w:rsid w:val="65785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32"/>
      <w:lang w:val="en-US" w:eastAsia="zh-CN" w:bidi="ar-SA"/>
    </w:rPr>
  </w:style>
  <w:style w:type="paragraph" w:styleId="2">
    <w:name w:val="heading 2"/>
    <w:basedOn w:val="1"/>
    <w:next w:val="1"/>
    <w:qFormat/>
    <w:uiPriority w:val="0"/>
    <w:pPr>
      <w:keepNext/>
      <w:keepLines/>
      <w:numPr>
        <w:ilvl w:val="1"/>
        <w:numId w:val="1"/>
      </w:numPr>
      <w:tabs>
        <w:tab w:val="left" w:pos="567"/>
        <w:tab w:val="left" w:pos="1930"/>
      </w:tabs>
      <w:autoSpaceDE w:val="0"/>
      <w:autoSpaceDN w:val="0"/>
      <w:adjustRightInd w:val="0"/>
      <w:spacing w:line="360" w:lineRule="auto"/>
      <w:jc w:val="left"/>
      <w:outlineLvl w:val="1"/>
    </w:pPr>
    <w:rPr>
      <w:rFonts w:ascii="Arial" w:hAnsi="Arial" w:eastAsia="黑体" w:cs="Times New Roman"/>
      <w:b/>
      <w:kern w:val="0"/>
      <w:sz w:val="30"/>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font91"/>
    <w:basedOn w:val="4"/>
    <w:qFormat/>
    <w:uiPriority w:val="0"/>
    <w:rPr>
      <w:rFonts w:ascii="仿宋_GB2312" w:hAnsi="Times New Roman"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2025-04-25T10:26:00Z</dcterms:created>
  <dc:creator>Mr.Gump</dc:creator>
  <cp:lastModifiedBy>Mr.Gump</cp:lastModifiedBy>
  <dcterms:modified xsi:type="dcterms:W3CDTF">2025-04-25T10:31:15Z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E65ED678E44A4D008D002693900A1F98_11</vt:lpwstr>
  </property>
</Properties>
</file>