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B5719">
      <w:pPr>
        <w:keepNext w:val="0"/>
        <w:keepLines w:val="0"/>
        <w:pageBreakBefore w:val="0"/>
        <w:widowControl w:val="0"/>
        <w:tabs>
          <w:tab w:val="left" w:pos="411"/>
        </w:tabs>
        <w:kinsoku/>
        <w:wordWrap/>
        <w:overflowPunct/>
        <w:topLinePunct w:val="0"/>
        <w:autoSpaceDE/>
        <w:autoSpaceDN/>
        <w:bidi w:val="0"/>
        <w:adjustRightInd w:val="0"/>
        <w:snapToGrid w:val="0"/>
        <w:spacing w:line="568" w:lineRule="exact"/>
        <w:jc w:val="center"/>
        <w:textAlignment w:val="auto"/>
        <w:rPr>
          <w:rFonts w:hint="eastAsia" w:ascii="Times New Roman" w:hAnsi="Times New Roman" w:eastAsia="方正小标宋简体" w:cs="Times New Roman"/>
          <w:b w:val="0"/>
          <w:bCs w:val="0"/>
          <w:color w:val="auto"/>
          <w:spacing w:val="2"/>
          <w:sz w:val="44"/>
          <w:szCs w:val="44"/>
          <w:lang w:eastAsia="zh-CN"/>
        </w:rPr>
      </w:pPr>
      <w:r>
        <w:rPr>
          <w:rFonts w:hint="eastAsia" w:ascii="Times New Roman" w:hAnsi="Times New Roman" w:eastAsia="方正小标宋简体" w:cs="Times New Roman"/>
          <w:b w:val="0"/>
          <w:bCs w:val="0"/>
          <w:color w:val="auto"/>
          <w:spacing w:val="2"/>
          <w:sz w:val="44"/>
          <w:szCs w:val="44"/>
          <w:lang w:eastAsia="zh-CN"/>
        </w:rPr>
        <w:t>霍城县</w:t>
      </w:r>
      <w:r>
        <w:rPr>
          <w:rFonts w:hint="default" w:ascii="Times New Roman" w:hAnsi="Times New Roman" w:eastAsia="方正小标宋简体" w:cs="Times New Roman"/>
          <w:b w:val="0"/>
          <w:bCs w:val="0"/>
          <w:color w:val="auto"/>
          <w:spacing w:val="2"/>
          <w:sz w:val="44"/>
          <w:szCs w:val="44"/>
        </w:rPr>
        <w:t>农业</w:t>
      </w:r>
      <w:r>
        <w:rPr>
          <w:rFonts w:hint="default" w:ascii="Times New Roman" w:hAnsi="Times New Roman" w:eastAsia="方正小标宋简体" w:cs="Times New Roman"/>
          <w:b w:val="0"/>
          <w:bCs w:val="0"/>
          <w:color w:val="auto"/>
          <w:spacing w:val="2"/>
          <w:sz w:val="44"/>
          <w:szCs w:val="44"/>
          <w:lang w:eastAsia="zh-CN"/>
        </w:rPr>
        <w:t>农村领域</w:t>
      </w:r>
      <w:r>
        <w:rPr>
          <w:rFonts w:hint="eastAsia" w:ascii="Times New Roman" w:hAnsi="Times New Roman" w:eastAsia="方正小标宋简体" w:cs="Times New Roman"/>
          <w:b w:val="0"/>
          <w:bCs w:val="0"/>
          <w:color w:val="auto"/>
          <w:spacing w:val="2"/>
          <w:sz w:val="44"/>
          <w:szCs w:val="44"/>
          <w:lang w:eastAsia="zh-CN"/>
        </w:rPr>
        <w:t>轻微违法</w:t>
      </w:r>
    </w:p>
    <w:p w14:paraId="24DEDF5B">
      <w:pPr>
        <w:keepNext w:val="0"/>
        <w:keepLines w:val="0"/>
        <w:pageBreakBefore w:val="0"/>
        <w:widowControl w:val="0"/>
        <w:tabs>
          <w:tab w:val="left" w:pos="411"/>
        </w:tabs>
        <w:kinsoku/>
        <w:wordWrap/>
        <w:overflowPunct/>
        <w:topLinePunct w:val="0"/>
        <w:autoSpaceDE/>
        <w:autoSpaceDN/>
        <w:bidi w:val="0"/>
        <w:adjustRightInd w:val="0"/>
        <w:snapToGrid w:val="0"/>
        <w:spacing w:line="568" w:lineRule="exact"/>
        <w:jc w:val="center"/>
        <w:textAlignment w:val="auto"/>
        <w:rPr>
          <w:rFonts w:hint="default" w:ascii="Times New Roman" w:hAnsi="Times New Roman" w:eastAsia="方正小标宋简体" w:cs="Times New Roman"/>
          <w:b w:val="0"/>
          <w:bCs w:val="0"/>
          <w:color w:val="auto"/>
          <w:spacing w:val="2"/>
          <w:sz w:val="44"/>
          <w:szCs w:val="44"/>
          <w:lang w:eastAsia="zh-CN"/>
        </w:rPr>
      </w:pPr>
      <w:r>
        <w:rPr>
          <w:rFonts w:hint="eastAsia" w:ascii="Times New Roman" w:hAnsi="Times New Roman" w:eastAsia="方正小标宋简体" w:cs="Times New Roman"/>
          <w:b w:val="0"/>
          <w:bCs w:val="0"/>
          <w:color w:val="auto"/>
          <w:spacing w:val="2"/>
          <w:sz w:val="44"/>
          <w:szCs w:val="44"/>
          <w:lang w:eastAsia="zh-CN"/>
        </w:rPr>
        <w:t>行为包容免罚清单</w:t>
      </w:r>
    </w:p>
    <w:p w14:paraId="2946C665">
      <w:pPr>
        <w:keepNext w:val="0"/>
        <w:keepLines w:val="0"/>
        <w:pageBreakBefore w:val="0"/>
        <w:widowControl w:val="0"/>
        <w:kinsoku/>
        <w:wordWrap/>
        <w:overflowPunct/>
        <w:topLinePunct w:val="0"/>
        <w:autoSpaceDE/>
        <w:autoSpaceDN/>
        <w:bidi w:val="0"/>
        <w:textAlignment w:val="auto"/>
        <w:rPr>
          <w:rFonts w:hint="default" w:ascii="Times New Roman" w:hAnsi="Times New Roman" w:cs="Times New Roman"/>
          <w:color w:val="auto"/>
          <w:lang w:val="en-US" w:eastAsia="zh-CN"/>
        </w:rPr>
      </w:pPr>
    </w:p>
    <w:tbl>
      <w:tblPr>
        <w:tblStyle w:val="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1"/>
        <w:gridCol w:w="955"/>
        <w:gridCol w:w="4550"/>
        <w:gridCol w:w="1247"/>
        <w:gridCol w:w="1009"/>
        <w:gridCol w:w="722"/>
      </w:tblGrid>
      <w:tr w14:paraId="26D2F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204" w:hRule="atLeast"/>
          <w:tblHeader/>
          <w:jc w:val="center"/>
        </w:trPr>
        <w:tc>
          <w:tcPr>
            <w:tcW w:w="371" w:type="dxa"/>
            <w:tcBorders>
              <w:top w:val="single" w:color="000000" w:sz="2" w:space="0"/>
              <w:bottom w:val="single" w:color="000000" w:sz="2" w:space="0"/>
            </w:tcBorders>
            <w:noWrap w:val="0"/>
            <w:vAlign w:val="center"/>
          </w:tcPr>
          <w:p w14:paraId="4616AD8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r>
              <w:rPr>
                <w:rFonts w:hint="default" w:ascii="Times New Roman" w:hAnsi="Times New Roman" w:eastAsia="黑体" w:cs="Times New Roman"/>
                <w:b w:val="0"/>
                <w:bCs w:val="0"/>
                <w:snapToGrid w:val="0"/>
                <w:color w:val="auto"/>
                <w:spacing w:val="0"/>
                <w:kern w:val="0"/>
                <w:sz w:val="24"/>
                <w:szCs w:val="24"/>
                <w:lang w:val="en-US" w:eastAsia="zh-CN"/>
              </w:rPr>
              <w:t>序号</w:t>
            </w:r>
          </w:p>
        </w:tc>
        <w:tc>
          <w:tcPr>
            <w:tcW w:w="955" w:type="dxa"/>
            <w:tcBorders>
              <w:top w:val="single" w:color="000000" w:sz="2" w:space="0"/>
              <w:bottom w:val="single" w:color="000000" w:sz="2" w:space="0"/>
            </w:tcBorders>
            <w:noWrap w:val="0"/>
            <w:vAlign w:val="center"/>
          </w:tcPr>
          <w:p w14:paraId="70EBF072">
            <w:pPr>
              <w:keepNext w:val="0"/>
              <w:keepLines w:val="0"/>
              <w:pageBreakBefore w:val="0"/>
              <w:widowControl w:val="0"/>
              <w:tabs>
                <w:tab w:val="left" w:pos="960"/>
              </w:tabs>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r>
              <w:rPr>
                <w:rFonts w:hint="default" w:ascii="Times New Roman" w:hAnsi="Times New Roman" w:eastAsia="黑体" w:cs="Times New Roman"/>
                <w:b w:val="0"/>
                <w:bCs w:val="0"/>
                <w:snapToGrid w:val="0"/>
                <w:color w:val="auto"/>
                <w:spacing w:val="0"/>
                <w:kern w:val="0"/>
                <w:sz w:val="24"/>
                <w:szCs w:val="24"/>
                <w:lang w:val="en-US" w:eastAsia="zh-CN"/>
              </w:rPr>
              <w:t>事项名称</w:t>
            </w:r>
          </w:p>
        </w:tc>
        <w:tc>
          <w:tcPr>
            <w:tcW w:w="4550" w:type="dxa"/>
            <w:tcBorders>
              <w:top w:val="single" w:color="000000" w:sz="2" w:space="0"/>
              <w:bottom w:val="single" w:color="000000" w:sz="2" w:space="0"/>
            </w:tcBorders>
            <w:noWrap w:val="0"/>
            <w:vAlign w:val="center"/>
          </w:tcPr>
          <w:p w14:paraId="2A6069A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bookmarkStart w:id="0" w:name="_GoBack"/>
            <w:bookmarkEnd w:id="0"/>
            <w:r>
              <w:rPr>
                <w:rFonts w:hint="default" w:ascii="Times New Roman" w:hAnsi="Times New Roman" w:eastAsia="黑体" w:cs="Times New Roman"/>
                <w:b w:val="0"/>
                <w:bCs w:val="0"/>
                <w:snapToGrid w:val="0"/>
                <w:color w:val="auto"/>
                <w:spacing w:val="0"/>
                <w:kern w:val="0"/>
                <w:sz w:val="24"/>
                <w:szCs w:val="24"/>
                <w:lang w:val="en-US" w:eastAsia="zh-CN"/>
              </w:rPr>
              <w:t>设定依据</w:t>
            </w:r>
          </w:p>
        </w:tc>
        <w:tc>
          <w:tcPr>
            <w:tcW w:w="1247" w:type="dxa"/>
            <w:tcBorders>
              <w:top w:val="single" w:color="000000" w:sz="2" w:space="0"/>
              <w:bottom w:val="single" w:color="000000" w:sz="2" w:space="0"/>
            </w:tcBorders>
            <w:noWrap w:val="0"/>
            <w:vAlign w:val="center"/>
          </w:tcPr>
          <w:p w14:paraId="0E1DFEE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r>
              <w:rPr>
                <w:rFonts w:hint="default" w:ascii="Times New Roman" w:hAnsi="Times New Roman" w:eastAsia="黑体" w:cs="Times New Roman"/>
                <w:b w:val="0"/>
                <w:bCs w:val="0"/>
                <w:snapToGrid w:val="0"/>
                <w:color w:val="auto"/>
                <w:spacing w:val="0"/>
                <w:kern w:val="0"/>
                <w:sz w:val="24"/>
                <w:szCs w:val="24"/>
                <w:lang w:val="en-US" w:eastAsia="zh-CN"/>
              </w:rPr>
              <w:t>免罚情形</w:t>
            </w:r>
          </w:p>
        </w:tc>
        <w:tc>
          <w:tcPr>
            <w:tcW w:w="1009" w:type="dxa"/>
            <w:tcBorders>
              <w:top w:val="single" w:color="000000" w:sz="2" w:space="0"/>
              <w:bottom w:val="single" w:color="000000" w:sz="2" w:space="0"/>
            </w:tcBorders>
            <w:noWrap w:val="0"/>
            <w:vAlign w:val="center"/>
          </w:tcPr>
          <w:p w14:paraId="3B5165E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r>
              <w:rPr>
                <w:rFonts w:hint="default" w:ascii="Times New Roman" w:hAnsi="Times New Roman" w:eastAsia="黑体" w:cs="Times New Roman"/>
                <w:b w:val="0"/>
                <w:bCs w:val="0"/>
                <w:snapToGrid w:val="0"/>
                <w:color w:val="auto"/>
                <w:spacing w:val="0"/>
                <w:kern w:val="0"/>
                <w:sz w:val="24"/>
                <w:szCs w:val="24"/>
                <w:lang w:val="en-US" w:eastAsia="zh-CN"/>
              </w:rPr>
              <w:t>适用条件</w:t>
            </w:r>
          </w:p>
        </w:tc>
        <w:tc>
          <w:tcPr>
            <w:tcW w:w="722" w:type="dxa"/>
            <w:tcBorders>
              <w:top w:val="single" w:color="000000" w:sz="2" w:space="0"/>
              <w:bottom w:val="single" w:color="000000" w:sz="2" w:space="0"/>
            </w:tcBorders>
            <w:noWrap w:val="0"/>
            <w:vAlign w:val="center"/>
          </w:tcPr>
          <w:p w14:paraId="20D51B9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黑体" w:cs="Times New Roman"/>
                <w:b w:val="0"/>
                <w:bCs w:val="0"/>
                <w:snapToGrid w:val="0"/>
                <w:color w:val="auto"/>
                <w:spacing w:val="0"/>
                <w:kern w:val="0"/>
                <w:sz w:val="24"/>
                <w:szCs w:val="24"/>
                <w:lang w:val="en-US" w:eastAsia="zh-CN"/>
              </w:rPr>
            </w:pPr>
            <w:r>
              <w:rPr>
                <w:rFonts w:hint="default" w:ascii="Times New Roman" w:hAnsi="Times New Roman" w:eastAsia="黑体" w:cs="Times New Roman"/>
                <w:b w:val="0"/>
                <w:bCs w:val="0"/>
                <w:snapToGrid w:val="0"/>
                <w:color w:val="auto"/>
                <w:spacing w:val="0"/>
                <w:kern w:val="0"/>
                <w:sz w:val="24"/>
                <w:szCs w:val="24"/>
                <w:lang w:val="en-US" w:eastAsia="zh-CN"/>
              </w:rPr>
              <w:t>配套监管措施</w:t>
            </w:r>
          </w:p>
        </w:tc>
      </w:tr>
      <w:tr w14:paraId="6A25B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342" w:hRule="atLeast"/>
          <w:jc w:val="center"/>
        </w:trPr>
        <w:tc>
          <w:tcPr>
            <w:tcW w:w="371" w:type="dxa"/>
            <w:tcBorders>
              <w:top w:val="single" w:color="000000" w:sz="2" w:space="0"/>
              <w:bottom w:val="single" w:color="000000" w:sz="2" w:space="0"/>
            </w:tcBorders>
            <w:noWrap w:val="0"/>
            <w:vAlign w:val="center"/>
          </w:tcPr>
          <w:p w14:paraId="2FFA269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1</w:t>
            </w:r>
          </w:p>
        </w:tc>
        <w:tc>
          <w:tcPr>
            <w:tcW w:w="955" w:type="dxa"/>
            <w:tcBorders>
              <w:top w:val="single" w:color="000000" w:sz="2" w:space="0"/>
              <w:bottom w:val="single" w:color="000000" w:sz="2" w:space="0"/>
            </w:tcBorders>
            <w:noWrap w:val="0"/>
            <w:vAlign w:val="center"/>
          </w:tcPr>
          <w:p w14:paraId="5782CC26">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rPr>
              <w:t>动物、动物产品的运载工具、垫料、包装物、容器等不符合国务院农业农村主管部门规定的动物防疫要求</w:t>
            </w:r>
            <w:r>
              <w:rPr>
                <w:rFonts w:hint="default" w:ascii="Times New Roman" w:hAnsi="Times New Roman" w:eastAsia="仿宋_GB2312" w:cs="Times New Roman"/>
                <w:b w:val="0"/>
                <w:bCs w:val="0"/>
                <w:snapToGrid w:val="0"/>
                <w:color w:val="auto"/>
                <w:kern w:val="0"/>
                <w:sz w:val="24"/>
                <w:szCs w:val="24"/>
                <w:lang w:eastAsia="zh-CN"/>
              </w:rPr>
              <w:t>的</w:t>
            </w:r>
            <w:r>
              <w:rPr>
                <w:rFonts w:hint="eastAsia" w:ascii="Times New Roman" w:hAnsi="Times New Roman" w:eastAsia="仿宋_GB2312" w:cs="Times New Roman"/>
                <w:b w:val="0"/>
                <w:bCs w:val="0"/>
                <w:snapToGrid w:val="0"/>
                <w:color w:val="auto"/>
                <w:kern w:val="0"/>
                <w:sz w:val="24"/>
                <w:szCs w:val="24"/>
                <w:lang w:eastAsia="zh-CN"/>
              </w:rPr>
              <w:t>。</w:t>
            </w:r>
          </w:p>
        </w:tc>
        <w:tc>
          <w:tcPr>
            <w:tcW w:w="4550" w:type="dxa"/>
            <w:tcBorders>
              <w:top w:val="single" w:color="000000" w:sz="2" w:space="0"/>
              <w:bottom w:val="single" w:color="000000" w:sz="2" w:space="0"/>
            </w:tcBorders>
            <w:noWrap w:val="0"/>
            <w:vAlign w:val="center"/>
          </w:tcPr>
          <w:p w14:paraId="7E7651F6">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《中华人民共和国动物防疫法》</w:t>
            </w:r>
          </w:p>
          <w:p w14:paraId="7E797641">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第二十七条</w:t>
            </w:r>
            <w:r>
              <w:rPr>
                <w:rFonts w:hint="default" w:ascii="Times New Roman" w:hAnsi="Times New Roman" w:eastAsia="仿宋_GB2312" w:cs="Times New Roman"/>
                <w:b w:val="0"/>
                <w:bCs w:val="0"/>
                <w:snapToGrid w:val="0"/>
                <w:color w:val="auto"/>
                <w:kern w:val="0"/>
                <w:sz w:val="24"/>
                <w:szCs w:val="24"/>
                <w:lang w:val="en-US" w:eastAsia="zh-CN"/>
              </w:rPr>
              <w:t>第一款</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动物、动物产品的运载工具、垫料、包装物、容器等应当符合国务院农业农村主管部门规定的动物防疫要求。</w:t>
            </w:r>
          </w:p>
          <w:p w14:paraId="279BDA5D">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《中华人民共和国动物防疫法》</w:t>
            </w:r>
          </w:p>
          <w:p w14:paraId="0F5F70E4">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rPr>
              <w:t>第九十四条</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tc>
        <w:tc>
          <w:tcPr>
            <w:tcW w:w="1247" w:type="dxa"/>
            <w:tcBorders>
              <w:top w:val="single" w:color="000000" w:sz="2" w:space="0"/>
              <w:bottom w:val="single" w:color="000000" w:sz="2" w:space="0"/>
            </w:tcBorders>
            <w:noWrap w:val="0"/>
            <w:vAlign w:val="center"/>
          </w:tcPr>
          <w:p w14:paraId="2807155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rPr>
              <w:t>轻微不罚</w:t>
            </w:r>
          </w:p>
        </w:tc>
        <w:tc>
          <w:tcPr>
            <w:tcW w:w="1009" w:type="dxa"/>
            <w:tcBorders>
              <w:top w:val="single" w:color="000000" w:sz="2" w:space="0"/>
              <w:bottom w:val="single" w:color="000000" w:sz="2" w:space="0"/>
            </w:tcBorders>
            <w:noWrap w:val="0"/>
            <w:vAlign w:val="center"/>
          </w:tcPr>
          <w:p w14:paraId="7AF73C43">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1.没有及时对</w:t>
            </w:r>
            <w:r>
              <w:rPr>
                <w:rFonts w:hint="default" w:ascii="Times New Roman" w:hAnsi="Times New Roman" w:eastAsia="仿宋_GB2312" w:cs="Times New Roman"/>
                <w:b w:val="0"/>
                <w:bCs w:val="0"/>
                <w:snapToGrid w:val="0"/>
                <w:color w:val="auto"/>
                <w:kern w:val="0"/>
                <w:sz w:val="24"/>
                <w:szCs w:val="24"/>
              </w:rPr>
              <w:t>动物、动物产品的运载工具、垫料、包装物、容器等</w:t>
            </w:r>
            <w:r>
              <w:rPr>
                <w:rFonts w:hint="default" w:ascii="Times New Roman" w:hAnsi="Times New Roman" w:eastAsia="仿宋_GB2312" w:cs="Times New Roman"/>
                <w:b w:val="0"/>
                <w:bCs w:val="0"/>
                <w:snapToGrid w:val="0"/>
                <w:color w:val="auto"/>
                <w:spacing w:val="0"/>
                <w:kern w:val="0"/>
                <w:sz w:val="24"/>
                <w:szCs w:val="24"/>
                <w:lang w:val="en-US" w:eastAsia="zh-CN"/>
              </w:rPr>
              <w:t>清理、消毒，随意丢弃；</w:t>
            </w:r>
          </w:p>
          <w:p w14:paraId="5D3B57AB">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2.及时改正；</w:t>
            </w:r>
          </w:p>
          <w:p w14:paraId="1CEB893D">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3.没有造成危害后果；</w:t>
            </w:r>
          </w:p>
          <w:p w14:paraId="19589CFE">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4.能够认识到危害性；</w:t>
            </w:r>
          </w:p>
          <w:p w14:paraId="64B9C78F">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5.违法行为发生地、发生时无重大动物疫情。</w:t>
            </w:r>
          </w:p>
        </w:tc>
        <w:tc>
          <w:tcPr>
            <w:tcW w:w="722" w:type="dxa"/>
            <w:tcBorders>
              <w:top w:val="single" w:color="000000" w:sz="2" w:space="0"/>
              <w:bottom w:val="single" w:color="000000" w:sz="2" w:space="0"/>
            </w:tcBorders>
            <w:noWrap w:val="0"/>
            <w:vAlign w:val="center"/>
          </w:tcPr>
          <w:p w14:paraId="15BF859E">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1EA36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558" w:hRule="atLeast"/>
          <w:jc w:val="center"/>
        </w:trPr>
        <w:tc>
          <w:tcPr>
            <w:tcW w:w="371" w:type="dxa"/>
            <w:tcBorders>
              <w:top w:val="single" w:color="000000" w:sz="2" w:space="0"/>
              <w:bottom w:val="single" w:color="000000" w:sz="2" w:space="0"/>
            </w:tcBorders>
            <w:noWrap w:val="0"/>
            <w:vAlign w:val="center"/>
          </w:tcPr>
          <w:p w14:paraId="167A4000">
            <w:pPr>
              <w:adjustRightInd w:val="0"/>
              <w:snapToGrid w:val="0"/>
              <w:spacing w:beforeLines="0" w:afterLines="0"/>
              <w:jc w:val="center"/>
              <w:rPr>
                <w:rFonts w:hint="eastAsia"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snapToGrid w:val="0"/>
                <w:color w:val="auto"/>
                <w:kern w:val="0"/>
                <w:sz w:val="24"/>
                <w:szCs w:val="24"/>
                <w:lang w:val="en-US" w:eastAsia="zh-CN"/>
              </w:rPr>
              <w:t>2</w:t>
            </w:r>
          </w:p>
        </w:tc>
        <w:tc>
          <w:tcPr>
            <w:tcW w:w="955" w:type="dxa"/>
            <w:tcBorders>
              <w:top w:val="single" w:color="000000" w:sz="2" w:space="0"/>
              <w:bottom w:val="single" w:color="000000" w:sz="2" w:space="0"/>
            </w:tcBorders>
            <w:noWrap w:val="0"/>
            <w:vAlign w:val="center"/>
          </w:tcPr>
          <w:p w14:paraId="189F843E">
            <w:pPr>
              <w:adjustRightInd w:val="0"/>
              <w:snapToGrid w:val="0"/>
              <w:spacing w:beforeLines="0" w:afterLines="0" w:line="280" w:lineRule="exact"/>
              <w:rPr>
                <w:rFonts w:hint="eastAsia" w:ascii="Times New Roman" w:hAnsi="Times New Roman" w:eastAsia="仿宋_GB2312" w:cs="Times New Roman"/>
                <w:b w:val="0"/>
                <w:bCs w:val="0"/>
                <w:snapToGrid w:val="0"/>
                <w:color w:val="auto"/>
                <w:spacing w:val="0"/>
                <w:kern w:val="0"/>
                <w:sz w:val="24"/>
                <w:szCs w:val="24"/>
                <w:lang w:val="en-US" w:eastAsia="zh-CN" w:bidi="ar-SA"/>
              </w:rPr>
            </w:pPr>
            <w:r>
              <w:rPr>
                <w:rFonts w:hint="eastAsia" w:ascii="仿宋_GB2312" w:hAnsi="Times New Roman" w:eastAsia="仿宋_GB2312"/>
                <w:snapToGrid w:val="0"/>
                <w:color w:val="auto"/>
                <w:kern w:val="0"/>
                <w:sz w:val="24"/>
                <w:szCs w:val="24"/>
              </w:rPr>
              <w:t>对宠物诊疗机构、动物园、非食品动物养殖单位、科研机构将人用药品用于动物的</w:t>
            </w:r>
            <w:r>
              <w:rPr>
                <w:rFonts w:hint="eastAsia" w:ascii="仿宋_GB2312" w:hAnsi="Times New Roman" w:eastAsia="仿宋_GB2312"/>
                <w:snapToGrid w:val="0"/>
                <w:color w:val="auto"/>
                <w:kern w:val="0"/>
                <w:sz w:val="24"/>
                <w:szCs w:val="24"/>
                <w:lang w:eastAsia="zh-CN"/>
              </w:rPr>
              <w:t>。</w:t>
            </w:r>
          </w:p>
        </w:tc>
        <w:tc>
          <w:tcPr>
            <w:tcW w:w="4550" w:type="dxa"/>
            <w:tcBorders>
              <w:top w:val="single" w:color="000000" w:sz="2" w:space="0"/>
              <w:bottom w:val="single" w:color="000000" w:sz="2" w:space="0"/>
            </w:tcBorders>
            <w:noWrap w:val="0"/>
            <w:vAlign w:val="center"/>
          </w:tcPr>
          <w:p w14:paraId="225F88E9">
            <w:pPr>
              <w:adjustRightInd w:val="0"/>
              <w:snapToGrid w:val="0"/>
              <w:spacing w:beforeLines="0" w:afterLines="0"/>
              <w:ind w:firstLine="480" w:firstLineChars="200"/>
              <w:rPr>
                <w:rFonts w:hint="default" w:ascii="Times New Roman" w:hAnsi="Times New Roman" w:eastAsia="仿宋_GB2312"/>
                <w:snapToGrid w:val="0"/>
                <w:color w:val="auto"/>
                <w:kern w:val="0"/>
                <w:sz w:val="24"/>
                <w:szCs w:val="24"/>
              </w:rPr>
            </w:pPr>
            <w:r>
              <w:rPr>
                <w:rFonts w:hint="eastAsia" w:ascii="仿宋_GB2312" w:hAnsi="Times New Roman" w:eastAsia="仿宋_GB2312"/>
                <w:snapToGrid w:val="0"/>
                <w:color w:val="auto"/>
                <w:kern w:val="0"/>
                <w:sz w:val="24"/>
                <w:szCs w:val="24"/>
              </w:rPr>
              <w:t>《兽药管理条例》</w:t>
            </w:r>
          </w:p>
          <w:p w14:paraId="05417A46">
            <w:pPr>
              <w:adjustRightInd w:val="0"/>
              <w:snapToGrid w:val="0"/>
              <w:spacing w:beforeLines="0" w:afterLines="0"/>
              <w:ind w:firstLine="480" w:firstLineChars="200"/>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eastAsia" w:ascii="仿宋_GB2312" w:hAnsi="Times New Roman" w:eastAsia="仿宋_GB2312"/>
                <w:snapToGrid w:val="0"/>
                <w:color w:val="auto"/>
                <w:kern w:val="0"/>
                <w:sz w:val="24"/>
                <w:szCs w:val="24"/>
              </w:rPr>
              <w:t>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w:t>
            </w:r>
            <w:r>
              <w:rPr>
                <w:rFonts w:hint="default" w:ascii="Times New Roman" w:hAnsi="Times New Roman" w:eastAsia="仿宋_GB2312"/>
                <w:snapToGrid w:val="0"/>
                <w:color w:val="auto"/>
                <w:kern w:val="0"/>
                <w:sz w:val="24"/>
                <w:szCs w:val="24"/>
              </w:rPr>
              <w:t>1</w:t>
            </w:r>
            <w:r>
              <w:rPr>
                <w:rFonts w:hint="eastAsia" w:ascii="仿宋_GB2312" w:hAnsi="Times New Roman" w:eastAsia="仿宋_GB2312"/>
                <w:snapToGrid w:val="0"/>
                <w:color w:val="auto"/>
                <w:kern w:val="0"/>
                <w:sz w:val="24"/>
                <w:szCs w:val="24"/>
              </w:rPr>
              <w:t>万元以上5万元以下罚款；给他人造成损失的，依法承担赔偿责任。</w:t>
            </w:r>
          </w:p>
        </w:tc>
        <w:tc>
          <w:tcPr>
            <w:tcW w:w="1247" w:type="dxa"/>
            <w:tcBorders>
              <w:top w:val="single" w:color="000000" w:sz="2" w:space="0"/>
              <w:bottom w:val="single" w:color="000000" w:sz="2" w:space="0"/>
            </w:tcBorders>
            <w:noWrap w:val="0"/>
            <w:vAlign w:val="center"/>
          </w:tcPr>
          <w:p w14:paraId="46CE668E">
            <w:pPr>
              <w:adjustRightInd w:val="0"/>
              <w:snapToGrid w:val="0"/>
              <w:spacing w:beforeLines="0" w:afterLines="0"/>
              <w:jc w:val="center"/>
              <w:rPr>
                <w:rFonts w:hint="default" w:ascii="Times New Roman" w:hAnsi="Times New Roman" w:eastAsia="仿宋_GB2312" w:cs="Times New Roman"/>
                <w:b w:val="0"/>
                <w:bCs w:val="0"/>
                <w:snapToGrid w:val="0"/>
                <w:color w:val="auto"/>
                <w:kern w:val="0"/>
                <w:sz w:val="24"/>
                <w:szCs w:val="24"/>
                <w:lang w:val="en-US" w:eastAsia="zh-CN"/>
              </w:rPr>
            </w:pPr>
            <w:r>
              <w:rPr>
                <w:rFonts w:hint="eastAsia" w:ascii="仿宋_GB2312" w:hAnsi="Times New Roman" w:eastAsia="仿宋_GB2312"/>
                <w:snapToGrid w:val="0"/>
                <w:color w:val="auto"/>
                <w:kern w:val="0"/>
                <w:sz w:val="24"/>
                <w:szCs w:val="24"/>
              </w:rPr>
              <w:t>轻微不罚</w:t>
            </w:r>
          </w:p>
        </w:tc>
        <w:tc>
          <w:tcPr>
            <w:tcW w:w="1009" w:type="dxa"/>
            <w:tcBorders>
              <w:top w:val="single" w:color="000000" w:sz="2" w:space="0"/>
              <w:bottom w:val="single" w:color="000000" w:sz="2" w:space="0"/>
            </w:tcBorders>
            <w:noWrap w:val="0"/>
            <w:vAlign w:val="center"/>
          </w:tcPr>
          <w:p w14:paraId="4C06E4A8">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1</w:t>
            </w:r>
            <w:r>
              <w:rPr>
                <w:rFonts w:hint="eastAsia" w:ascii="仿宋_GB2312" w:hAnsi="Times New Roman" w:eastAsia="仿宋_GB2312"/>
                <w:snapToGrid w:val="0"/>
                <w:color w:val="auto"/>
                <w:kern w:val="0"/>
                <w:sz w:val="24"/>
                <w:szCs w:val="24"/>
              </w:rPr>
              <w:t>宠物诊疗机构将人用药品用于伴侣动物，或者科研机构、动物园将人用药品用于科研、展示、演出、比赛等非食用性利用的动物；</w:t>
            </w:r>
          </w:p>
          <w:p w14:paraId="1B42315F">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2.</w:t>
            </w:r>
            <w:r>
              <w:rPr>
                <w:rFonts w:hint="eastAsia" w:ascii="仿宋_GB2312" w:hAnsi="Times New Roman" w:eastAsia="仿宋_GB2312"/>
                <w:snapToGrid w:val="0"/>
                <w:color w:val="auto"/>
                <w:kern w:val="0"/>
                <w:sz w:val="24"/>
                <w:szCs w:val="24"/>
              </w:rPr>
              <w:t>因为动物疾病治疗需要，在没有合法兽药的情况下使用对症治疗的人用药品；</w:t>
            </w:r>
          </w:p>
          <w:p w14:paraId="1B949B20">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3.</w:t>
            </w:r>
            <w:r>
              <w:rPr>
                <w:rFonts w:hint="eastAsia" w:ascii="仿宋_GB2312" w:hAnsi="Times New Roman" w:eastAsia="仿宋_GB2312"/>
                <w:snapToGrid w:val="0"/>
                <w:color w:val="auto"/>
                <w:kern w:val="0"/>
                <w:sz w:val="24"/>
                <w:szCs w:val="24"/>
              </w:rPr>
              <w:t>动物所有者对使用人用药品知情并同意；</w:t>
            </w:r>
          </w:p>
          <w:p w14:paraId="6B7F63B2">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4.</w:t>
            </w:r>
            <w:r>
              <w:rPr>
                <w:rFonts w:hint="eastAsia" w:ascii="仿宋_GB2312" w:hAnsi="Times New Roman" w:eastAsia="仿宋_GB2312"/>
                <w:snapToGrid w:val="0"/>
                <w:color w:val="auto"/>
                <w:kern w:val="0"/>
                <w:sz w:val="24"/>
                <w:szCs w:val="24"/>
              </w:rPr>
              <w:t>药品使用记录真实、完整；</w:t>
            </w:r>
          </w:p>
          <w:p w14:paraId="7AD85426">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5.</w:t>
            </w:r>
            <w:r>
              <w:rPr>
                <w:rFonts w:hint="eastAsia" w:ascii="仿宋_GB2312" w:hAnsi="Times New Roman" w:eastAsia="仿宋_GB2312"/>
                <w:snapToGrid w:val="0"/>
                <w:color w:val="auto"/>
                <w:kern w:val="0"/>
                <w:sz w:val="24"/>
                <w:szCs w:val="24"/>
              </w:rPr>
              <w:t>没有造成危害后果；</w:t>
            </w:r>
          </w:p>
          <w:p w14:paraId="38B54591">
            <w:pPr>
              <w:adjustRightInd w:val="0"/>
              <w:snapToGrid w:val="0"/>
              <w:spacing w:beforeLines="0" w:afterLines="0"/>
              <w:rPr>
                <w:rFonts w:hint="default" w:ascii="Times New Roman" w:hAnsi="Times New Roman" w:eastAsia="仿宋_GB2312"/>
                <w:snapToGrid w:val="0"/>
                <w:color w:val="auto"/>
                <w:kern w:val="0"/>
                <w:sz w:val="24"/>
                <w:szCs w:val="24"/>
              </w:rPr>
            </w:pPr>
            <w:r>
              <w:rPr>
                <w:rFonts w:hint="default" w:ascii="Times New Roman" w:hAnsi="Times New Roman" w:eastAsia="仿宋_GB2312"/>
                <w:snapToGrid w:val="0"/>
                <w:color w:val="auto"/>
                <w:kern w:val="0"/>
                <w:sz w:val="24"/>
                <w:szCs w:val="24"/>
              </w:rPr>
              <w:t>6.</w:t>
            </w:r>
            <w:r>
              <w:rPr>
                <w:rFonts w:hint="eastAsia" w:ascii="仿宋_GB2312" w:hAnsi="Times New Roman" w:eastAsia="仿宋_GB2312"/>
                <w:snapToGrid w:val="0"/>
                <w:color w:val="auto"/>
                <w:kern w:val="0"/>
                <w:sz w:val="24"/>
                <w:szCs w:val="24"/>
              </w:rPr>
              <w:t>及时改正。</w:t>
            </w:r>
          </w:p>
          <w:p w14:paraId="0E501E5F">
            <w:pPr>
              <w:adjustRightInd w:val="0"/>
              <w:snapToGrid w:val="0"/>
              <w:spacing w:beforeLines="0" w:afterLines="0"/>
              <w:rPr>
                <w:rFonts w:hint="default" w:ascii="Times New Roman" w:hAnsi="Times New Roman" w:eastAsia="仿宋_GB2312" w:cs="Times New Roman"/>
                <w:b w:val="0"/>
                <w:bCs w:val="0"/>
                <w:snapToGrid w:val="0"/>
                <w:color w:val="auto"/>
                <w:spacing w:val="0"/>
                <w:kern w:val="0"/>
                <w:sz w:val="24"/>
                <w:szCs w:val="24"/>
                <w:lang w:val="en-US" w:eastAsia="zh-CN" w:bidi="ar-SA"/>
              </w:rPr>
            </w:pPr>
          </w:p>
        </w:tc>
        <w:tc>
          <w:tcPr>
            <w:tcW w:w="722" w:type="dxa"/>
            <w:tcBorders>
              <w:top w:val="single" w:color="000000" w:sz="2" w:space="0"/>
              <w:bottom w:val="single" w:color="000000" w:sz="2" w:space="0"/>
            </w:tcBorders>
            <w:noWrap w:val="0"/>
            <w:vAlign w:val="center"/>
          </w:tcPr>
          <w:p w14:paraId="0E830844">
            <w:pPr>
              <w:adjustRightInd w:val="0"/>
              <w:snapToGrid w:val="0"/>
              <w:spacing w:beforeLines="0" w:afterLines="0"/>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eastAsia" w:ascii="仿宋_GB2312" w:hAnsi="Times New Roman" w:eastAsia="仿宋_GB2312"/>
                <w:snapToGrid w:val="0"/>
                <w:color w:val="auto"/>
                <w:kern w:val="0"/>
                <w:sz w:val="24"/>
                <w:szCs w:val="24"/>
              </w:rPr>
              <w:t>加强教育、劝导示范、指导约谈、及时复查整改情况、加强行政检查等方式。</w:t>
            </w:r>
          </w:p>
        </w:tc>
      </w:tr>
      <w:tr w14:paraId="152ED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2070" w:hRule="atLeast"/>
          <w:jc w:val="center"/>
        </w:trPr>
        <w:tc>
          <w:tcPr>
            <w:tcW w:w="371" w:type="dxa"/>
            <w:tcBorders>
              <w:top w:val="single" w:color="000000" w:sz="2" w:space="0"/>
              <w:bottom w:val="single" w:color="000000" w:sz="2" w:space="0"/>
            </w:tcBorders>
            <w:noWrap w:val="0"/>
            <w:vAlign w:val="center"/>
          </w:tcPr>
          <w:p w14:paraId="77B5190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3</w:t>
            </w:r>
          </w:p>
        </w:tc>
        <w:tc>
          <w:tcPr>
            <w:tcW w:w="955" w:type="dxa"/>
            <w:tcBorders>
              <w:top w:val="single" w:color="000000" w:sz="2" w:space="0"/>
              <w:bottom w:val="single" w:color="000000" w:sz="2" w:space="0"/>
            </w:tcBorders>
            <w:noWrap w:val="0"/>
            <w:vAlign w:val="center"/>
          </w:tcPr>
          <w:p w14:paraId="003D095B">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畜禽养殖场未建立养殖档案的，或者未按照规定保存养殖档案的</w:t>
            </w:r>
            <w:r>
              <w:rPr>
                <w:rFonts w:hint="eastAsia" w:ascii="Times New Roman" w:hAnsi="Times New Roman" w:eastAsia="仿宋_GB2312" w:cs="Times New Roman"/>
                <w:b w:val="0"/>
                <w:bCs w:val="0"/>
                <w:snapToGrid w:val="0"/>
                <w:color w:val="auto"/>
                <w:spacing w:val="0"/>
                <w:kern w:val="0"/>
                <w:sz w:val="24"/>
                <w:szCs w:val="24"/>
                <w:lang w:val="en-US" w:eastAsia="zh-CN"/>
              </w:rPr>
              <w:t>。</w:t>
            </w:r>
          </w:p>
        </w:tc>
        <w:tc>
          <w:tcPr>
            <w:tcW w:w="4550" w:type="dxa"/>
            <w:tcBorders>
              <w:top w:val="single" w:color="000000" w:sz="2" w:space="0"/>
              <w:bottom w:val="single" w:color="000000" w:sz="2" w:space="0"/>
            </w:tcBorders>
            <w:noWrap w:val="0"/>
            <w:vAlign w:val="center"/>
          </w:tcPr>
          <w:p w14:paraId="14698279">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《中华人民共和国畜牧法》</w:t>
            </w:r>
          </w:p>
          <w:p w14:paraId="01089805">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第四十一条</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畜禽养殖场应当建立养殖档案，载明</w:t>
            </w:r>
            <w:r>
              <w:rPr>
                <w:rFonts w:hint="default" w:ascii="Times New Roman" w:hAnsi="Times New Roman" w:eastAsia="仿宋_GB2312" w:cs="Times New Roman"/>
                <w:b w:val="0"/>
                <w:bCs w:val="0"/>
                <w:snapToGrid w:val="0"/>
                <w:color w:val="auto"/>
                <w:kern w:val="0"/>
                <w:sz w:val="24"/>
                <w:szCs w:val="24"/>
                <w:lang w:eastAsia="zh-CN"/>
              </w:rPr>
              <w:t>下列</w:t>
            </w:r>
            <w:r>
              <w:rPr>
                <w:rFonts w:hint="default" w:ascii="Times New Roman" w:hAnsi="Times New Roman" w:eastAsia="仿宋_GB2312" w:cs="Times New Roman"/>
                <w:b w:val="0"/>
                <w:bCs w:val="0"/>
                <w:snapToGrid w:val="0"/>
                <w:color w:val="auto"/>
                <w:kern w:val="0"/>
                <w:sz w:val="24"/>
                <w:szCs w:val="24"/>
              </w:rPr>
              <w:t>内容：</w:t>
            </w:r>
          </w:p>
          <w:p w14:paraId="6815FD6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　　（一）畜禽的品种、数量、繁殖记录、标识情况、来源和进出场日期；</w:t>
            </w:r>
          </w:p>
          <w:p w14:paraId="7771989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　　（二）饲料、饲料添加剂、兽药等投入品的来源、名称、使用对象、时间和用量；</w:t>
            </w:r>
          </w:p>
          <w:p w14:paraId="416259A4">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　　（三）检疫、免疫、消毒情况；</w:t>
            </w:r>
          </w:p>
          <w:p w14:paraId="37F345E8">
            <w:pPr>
              <w:keepNext w:val="0"/>
              <w:keepLines w:val="0"/>
              <w:pageBreakBefore w:val="0"/>
              <w:widowControl w:val="0"/>
              <w:kinsoku/>
              <w:wordWrap/>
              <w:overflowPunct/>
              <w:topLinePunct w:val="0"/>
              <w:autoSpaceDE/>
              <w:autoSpaceDN/>
              <w:bidi w:val="0"/>
              <w:adjustRightInd w:val="0"/>
              <w:snapToGrid w:val="0"/>
              <w:ind w:firstLine="48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（四）畜禽发病、死亡和无害化处理情况；</w:t>
            </w:r>
          </w:p>
          <w:p w14:paraId="1DB917C3">
            <w:pPr>
              <w:keepNext w:val="0"/>
              <w:keepLines w:val="0"/>
              <w:pageBreakBefore w:val="0"/>
              <w:widowControl w:val="0"/>
              <w:kinsoku/>
              <w:wordWrap/>
              <w:overflowPunct/>
              <w:topLinePunct w:val="0"/>
              <w:autoSpaceDE/>
              <w:autoSpaceDN/>
              <w:bidi w:val="0"/>
              <w:adjustRightInd w:val="0"/>
              <w:snapToGrid w:val="0"/>
              <w:ind w:firstLine="480"/>
              <w:jc w:val="both"/>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lang w:val="en-US" w:eastAsia="zh-CN"/>
              </w:rPr>
              <w:t>（五）畜禽粪污收集、储存、无害化处理和资源化利用情况；</w:t>
            </w:r>
          </w:p>
          <w:p w14:paraId="2D60B26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rPr>
              <w:t>　　（</w:t>
            </w:r>
            <w:r>
              <w:rPr>
                <w:rFonts w:hint="default" w:ascii="Times New Roman" w:hAnsi="Times New Roman" w:eastAsia="仿宋_GB2312" w:cs="Times New Roman"/>
                <w:b w:val="0"/>
                <w:bCs w:val="0"/>
                <w:snapToGrid w:val="0"/>
                <w:color w:val="auto"/>
                <w:kern w:val="0"/>
                <w:sz w:val="24"/>
                <w:szCs w:val="24"/>
                <w:lang w:eastAsia="zh-CN"/>
              </w:rPr>
              <w:t>六</w:t>
            </w:r>
            <w:r>
              <w:rPr>
                <w:rFonts w:hint="default" w:ascii="Times New Roman" w:hAnsi="Times New Roman" w:eastAsia="仿宋_GB2312" w:cs="Times New Roman"/>
                <w:b w:val="0"/>
                <w:bCs w:val="0"/>
                <w:snapToGrid w:val="0"/>
                <w:color w:val="auto"/>
                <w:kern w:val="0"/>
                <w:sz w:val="24"/>
                <w:szCs w:val="24"/>
              </w:rPr>
              <w:t>）国务院</w:t>
            </w:r>
            <w:r>
              <w:rPr>
                <w:rFonts w:hint="default" w:ascii="Times New Roman" w:hAnsi="Times New Roman" w:eastAsia="仿宋_GB2312" w:cs="Times New Roman"/>
                <w:b w:val="0"/>
                <w:bCs w:val="0"/>
                <w:snapToGrid w:val="0"/>
                <w:color w:val="auto"/>
                <w:kern w:val="0"/>
                <w:sz w:val="24"/>
                <w:szCs w:val="24"/>
                <w:lang w:eastAsia="zh-CN"/>
              </w:rPr>
              <w:t>农业农村</w:t>
            </w:r>
            <w:r>
              <w:rPr>
                <w:rFonts w:hint="default" w:ascii="Times New Roman" w:hAnsi="Times New Roman" w:eastAsia="仿宋_GB2312" w:cs="Times New Roman"/>
                <w:b w:val="0"/>
                <w:bCs w:val="0"/>
                <w:snapToGrid w:val="0"/>
                <w:color w:val="auto"/>
                <w:kern w:val="0"/>
                <w:sz w:val="24"/>
                <w:szCs w:val="24"/>
              </w:rPr>
              <w:t>主管部门规定的其他内容。</w:t>
            </w:r>
          </w:p>
          <w:p w14:paraId="740D5660">
            <w:pPr>
              <w:keepNext w:val="0"/>
              <w:keepLines w:val="0"/>
              <w:pageBreakBefore w:val="0"/>
              <w:widowControl w:val="0"/>
              <w:kinsoku/>
              <w:wordWrap/>
              <w:overflowPunct/>
              <w:topLinePunct w:val="0"/>
              <w:autoSpaceDE/>
              <w:autoSpaceDN/>
              <w:bidi w:val="0"/>
              <w:adjustRightInd w:val="0"/>
              <w:snapToGrid w:val="0"/>
              <w:ind w:firstLine="240" w:firstLineChars="1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spacing w:val="0"/>
                <w:kern w:val="0"/>
                <w:sz w:val="24"/>
                <w:szCs w:val="24"/>
                <w:lang w:val="en-US" w:eastAsia="zh-CN"/>
              </w:rPr>
              <w:t xml:space="preserve"> 《中华人民共和国畜牧法》</w:t>
            </w:r>
          </w:p>
          <w:p w14:paraId="0BC2AF9F">
            <w:pPr>
              <w:keepNext w:val="0"/>
              <w:keepLines w:val="0"/>
              <w:pageBreakBefore w:val="0"/>
              <w:widowControl w:val="0"/>
              <w:kinsoku/>
              <w:wordWrap/>
              <w:overflowPunct/>
              <w:topLinePunct w:val="0"/>
              <w:autoSpaceDE/>
              <w:autoSpaceDN/>
              <w:bidi w:val="0"/>
              <w:adjustRightInd w:val="0"/>
              <w:snapToGrid w:val="0"/>
              <w:ind w:firstLine="240" w:firstLineChars="100"/>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 xml:space="preserve">  第八十六条:违反本法规定，兴办畜禽养殖场未备案，畜禽养殖场未建立养殖档案或者未按照规定保存养殖档案的，由县级以上人民政府农业农村主管部门责令限期改正，可以处一万元以下罚款。</w:t>
            </w:r>
          </w:p>
        </w:tc>
        <w:tc>
          <w:tcPr>
            <w:tcW w:w="1247" w:type="dxa"/>
            <w:tcBorders>
              <w:top w:val="single" w:color="000000" w:sz="2" w:space="0"/>
              <w:bottom w:val="single" w:color="000000" w:sz="2" w:space="0"/>
            </w:tcBorders>
            <w:noWrap w:val="0"/>
            <w:vAlign w:val="center"/>
          </w:tcPr>
          <w:p w14:paraId="3A2099A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 w:eastAsia="zh-CN"/>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4414C833">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w:t>
            </w:r>
            <w:r>
              <w:rPr>
                <w:rFonts w:hint="eastAsia" w:ascii="Times New Roman" w:hAnsi="Times New Roman" w:eastAsia="仿宋_GB2312" w:cs="Times New Roman"/>
                <w:b w:val="0"/>
                <w:bCs w:val="0"/>
                <w:snapToGrid w:val="0"/>
                <w:color w:val="auto"/>
                <w:kern w:val="0"/>
                <w:sz w:val="24"/>
                <w:szCs w:val="24"/>
                <w:lang w:eastAsia="zh-CN"/>
              </w:rPr>
              <w:t>畜禽养殖场未按要求建立载明内容档案及未按规定保存档案属初次违法</w:t>
            </w:r>
            <w:r>
              <w:rPr>
                <w:rFonts w:hint="default" w:ascii="Times New Roman" w:hAnsi="Times New Roman" w:eastAsia="仿宋_GB2312" w:cs="Times New Roman"/>
                <w:b w:val="0"/>
                <w:bCs w:val="0"/>
                <w:snapToGrid w:val="0"/>
                <w:color w:val="auto"/>
                <w:kern w:val="0"/>
                <w:sz w:val="24"/>
                <w:szCs w:val="24"/>
              </w:rPr>
              <w:t>；</w:t>
            </w:r>
          </w:p>
          <w:p w14:paraId="55D5B56B">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60AAD16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p>
          <w:p w14:paraId="7EBE964A">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4.</w:t>
            </w:r>
            <w:r>
              <w:rPr>
                <w:rFonts w:hint="default" w:ascii="Times New Roman" w:hAnsi="Times New Roman" w:eastAsia="仿宋_GB2312" w:cs="Times New Roman"/>
                <w:b w:val="0"/>
                <w:bCs w:val="0"/>
                <w:snapToGrid w:val="0"/>
                <w:color w:val="auto"/>
                <w:kern w:val="0"/>
                <w:sz w:val="24"/>
                <w:szCs w:val="24"/>
              </w:rPr>
              <w:t>违法行为发生地、发生时无重大动物疫情</w:t>
            </w:r>
            <w:r>
              <w:rPr>
                <w:rFonts w:hint="default" w:ascii="Times New Roman" w:hAnsi="Times New Roman" w:eastAsia="仿宋_GB2312" w:cs="Times New Roman"/>
                <w:b w:val="0"/>
                <w:bCs w:val="0"/>
                <w:snapToGrid w:val="0"/>
                <w:color w:val="auto"/>
                <w:spacing w:val="0"/>
                <w:kern w:val="0"/>
                <w:sz w:val="24"/>
                <w:szCs w:val="24"/>
                <w:lang w:val="en-US" w:eastAsia="zh-CN"/>
              </w:rPr>
              <w:t>。</w:t>
            </w:r>
          </w:p>
        </w:tc>
        <w:tc>
          <w:tcPr>
            <w:tcW w:w="722" w:type="dxa"/>
            <w:tcBorders>
              <w:top w:val="single" w:color="000000" w:sz="2" w:space="0"/>
              <w:bottom w:val="single" w:color="000000" w:sz="2" w:space="0"/>
            </w:tcBorders>
            <w:noWrap w:val="0"/>
            <w:vAlign w:val="center"/>
          </w:tcPr>
          <w:p w14:paraId="4EB083FC">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2BC6F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44" w:hRule="atLeast"/>
          <w:jc w:val="center"/>
        </w:trPr>
        <w:tc>
          <w:tcPr>
            <w:tcW w:w="371" w:type="dxa"/>
            <w:tcBorders>
              <w:top w:val="single" w:color="000000" w:sz="2" w:space="0"/>
              <w:bottom w:val="single" w:color="000000" w:sz="2" w:space="0"/>
            </w:tcBorders>
            <w:noWrap w:val="0"/>
            <w:vAlign w:val="center"/>
          </w:tcPr>
          <w:p w14:paraId="485BA53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4</w:t>
            </w:r>
          </w:p>
        </w:tc>
        <w:tc>
          <w:tcPr>
            <w:tcW w:w="955" w:type="dxa"/>
            <w:tcBorders>
              <w:top w:val="single" w:color="000000" w:sz="2" w:space="0"/>
              <w:bottom w:val="single" w:color="000000" w:sz="2" w:space="0"/>
            </w:tcBorders>
            <w:noWrap w:val="0"/>
            <w:vAlign w:val="center"/>
          </w:tcPr>
          <w:p w14:paraId="0DF6A3FC">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销售、收购国务院畜牧兽医行政主管部门规定应当加施标识而没有标识的畜禽的，或者重复使用畜禽标识的</w:t>
            </w:r>
            <w:r>
              <w:rPr>
                <w:rFonts w:hint="eastAsia" w:ascii="Times New Roman" w:hAnsi="Times New Roman" w:eastAsia="仿宋_GB2312" w:cs="Times New Roman"/>
                <w:b w:val="0"/>
                <w:bCs w:val="0"/>
                <w:snapToGrid w:val="0"/>
                <w:color w:val="auto"/>
                <w:spacing w:val="0"/>
                <w:kern w:val="0"/>
                <w:sz w:val="24"/>
                <w:szCs w:val="24"/>
                <w:lang w:val="en-US" w:eastAsia="zh-CN"/>
              </w:rPr>
              <w:t>。</w:t>
            </w:r>
          </w:p>
        </w:tc>
        <w:tc>
          <w:tcPr>
            <w:tcW w:w="4550" w:type="dxa"/>
            <w:tcBorders>
              <w:top w:val="single" w:color="000000" w:sz="2" w:space="0"/>
              <w:bottom w:val="single" w:color="000000" w:sz="2" w:space="0"/>
            </w:tcBorders>
            <w:noWrap w:val="0"/>
            <w:vAlign w:val="center"/>
          </w:tcPr>
          <w:p w14:paraId="11404BB4">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 xml:space="preserve">《中华人民共和国畜牧法》           </w:t>
            </w:r>
          </w:p>
          <w:p w14:paraId="562EF39F">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第四十五条第一款：畜禽养殖者应当按照国家关于畜禽标识管理的规定，在应当加施标识的畜禽的指定部位加施标识。农业农村主管部门提供标识不得收费，所需费用列入省、自治区、直辖市政府财政预算。</w:t>
            </w:r>
          </w:p>
          <w:p w14:paraId="7E825E31">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《中华人民共和国畜牧法》</w:t>
            </w:r>
          </w:p>
          <w:p w14:paraId="716AC081">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第六十三条第一款：进行交易的畜禽必须符合农产品质量安全标准和国务院有关部门规定的技术要求。</w:t>
            </w:r>
          </w:p>
          <w:p w14:paraId="430177A9">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第二款：国务院农业农村主管部门规定应当加施标识而没有标识的畜禽，不得销售、收购。</w:t>
            </w:r>
          </w:p>
          <w:p w14:paraId="4CDABAE4">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《中华人民共和国畜牧法》</w:t>
            </w:r>
          </w:p>
          <w:p w14:paraId="5B3422E6">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第八十八条第一款：违反本法有关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tc>
        <w:tc>
          <w:tcPr>
            <w:tcW w:w="1247" w:type="dxa"/>
            <w:tcBorders>
              <w:top w:val="single" w:color="000000" w:sz="2" w:space="0"/>
              <w:bottom w:val="single" w:color="000000" w:sz="2" w:space="0"/>
            </w:tcBorders>
            <w:noWrap w:val="0"/>
            <w:vAlign w:val="center"/>
          </w:tcPr>
          <w:p w14:paraId="152DC91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33F90B2C">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w:t>
            </w:r>
            <w:r>
              <w:rPr>
                <w:rFonts w:hint="eastAsia" w:ascii="Times New Roman" w:hAnsi="Times New Roman" w:eastAsia="仿宋_GB2312" w:cs="Times New Roman"/>
                <w:b w:val="0"/>
                <w:bCs w:val="0"/>
                <w:snapToGrid w:val="0"/>
                <w:color w:val="auto"/>
                <w:kern w:val="0"/>
                <w:sz w:val="24"/>
                <w:szCs w:val="24"/>
                <w:lang w:eastAsia="zh-CN"/>
              </w:rPr>
              <w:t>畜禽离开起运地在乡镇范围内流动、交易属初次违法</w:t>
            </w:r>
            <w:r>
              <w:rPr>
                <w:rFonts w:hint="default" w:ascii="Times New Roman" w:hAnsi="Times New Roman" w:eastAsia="仿宋_GB2312" w:cs="Times New Roman"/>
                <w:b w:val="0"/>
                <w:bCs w:val="0"/>
                <w:snapToGrid w:val="0"/>
                <w:color w:val="auto"/>
                <w:kern w:val="0"/>
                <w:sz w:val="24"/>
                <w:szCs w:val="24"/>
              </w:rPr>
              <w:t>；</w:t>
            </w:r>
          </w:p>
          <w:p w14:paraId="0740C689">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06E1E5C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p>
          <w:p w14:paraId="60BEC11D">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val="en-US" w:eastAsia="zh-CN"/>
              </w:rPr>
              <w:t>4</w:t>
            </w:r>
            <w:r>
              <w:rPr>
                <w:rFonts w:hint="default" w:ascii="Times New Roman" w:hAnsi="Times New Roman" w:eastAsia="仿宋_GB2312" w:cs="Times New Roman"/>
                <w:b w:val="0"/>
                <w:bCs w:val="0"/>
                <w:snapToGrid w:val="0"/>
                <w:color w:val="auto"/>
                <w:kern w:val="0"/>
                <w:sz w:val="24"/>
                <w:szCs w:val="24"/>
              </w:rPr>
              <w:t>.违法行为发生地、发生时无重大动物疫情</w:t>
            </w:r>
            <w:r>
              <w:rPr>
                <w:rFonts w:hint="eastAsia" w:ascii="Times New Roman" w:hAnsi="Times New Roman" w:eastAsia="仿宋_GB2312" w:cs="Times New Roman"/>
                <w:b w:val="0"/>
                <w:bCs w:val="0"/>
                <w:snapToGrid w:val="0"/>
                <w:color w:val="auto"/>
                <w:kern w:val="0"/>
                <w:sz w:val="24"/>
                <w:szCs w:val="24"/>
                <w:lang w:eastAsia="zh-CN"/>
              </w:rPr>
              <w:t>。</w:t>
            </w:r>
          </w:p>
          <w:p w14:paraId="2D12590C">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p>
        </w:tc>
        <w:tc>
          <w:tcPr>
            <w:tcW w:w="722" w:type="dxa"/>
            <w:tcBorders>
              <w:top w:val="single" w:color="000000" w:sz="2" w:space="0"/>
              <w:bottom w:val="single" w:color="000000" w:sz="2" w:space="0"/>
            </w:tcBorders>
            <w:noWrap w:val="0"/>
            <w:vAlign w:val="center"/>
          </w:tcPr>
          <w:p w14:paraId="29A74C1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2D33A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454" w:hRule="atLeast"/>
          <w:jc w:val="center"/>
        </w:trPr>
        <w:tc>
          <w:tcPr>
            <w:tcW w:w="371" w:type="dxa"/>
            <w:tcBorders>
              <w:top w:val="single" w:color="000000" w:sz="2" w:space="0"/>
              <w:bottom w:val="single" w:color="000000" w:sz="2" w:space="0"/>
            </w:tcBorders>
            <w:noWrap w:val="0"/>
            <w:vAlign w:val="center"/>
          </w:tcPr>
          <w:p w14:paraId="02BA18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b w:val="0"/>
                <w:bCs w:val="0"/>
                <w:snapToGrid w:val="0"/>
                <w:color w:val="auto"/>
                <w:spacing w:val="0"/>
                <w:kern w:val="0"/>
                <w:sz w:val="24"/>
                <w:szCs w:val="24"/>
                <w:lang w:val="en-US" w:eastAsia="zh-CN" w:bidi="ar-SA"/>
              </w:rPr>
            </w:pPr>
            <w:r>
              <w:rPr>
                <w:rFonts w:hint="eastAsia" w:ascii="Times New Roman" w:hAnsi="Times New Roman" w:eastAsia="仿宋_GB2312" w:cs="Times New Roman"/>
                <w:b w:val="0"/>
                <w:bCs w:val="0"/>
                <w:snapToGrid w:val="0"/>
                <w:color w:val="auto"/>
                <w:spacing w:val="0"/>
                <w:kern w:val="0"/>
                <w:sz w:val="24"/>
                <w:szCs w:val="24"/>
                <w:lang w:val="en-US" w:eastAsia="zh-CN"/>
              </w:rPr>
              <w:t>5</w:t>
            </w:r>
          </w:p>
        </w:tc>
        <w:tc>
          <w:tcPr>
            <w:tcW w:w="955" w:type="dxa"/>
            <w:tcBorders>
              <w:top w:val="single" w:color="000000" w:sz="2" w:space="0"/>
              <w:bottom w:val="single" w:color="000000" w:sz="2" w:space="0"/>
            </w:tcBorders>
            <w:noWrap w:val="0"/>
            <w:vAlign w:val="center"/>
          </w:tcPr>
          <w:p w14:paraId="3633C047">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kern w:val="0"/>
                <w:sz w:val="24"/>
                <w:szCs w:val="24"/>
              </w:rPr>
              <w:t>不如实提供与动物防疫有关的资料</w:t>
            </w:r>
            <w:r>
              <w:rPr>
                <w:rFonts w:hint="default" w:ascii="Times New Roman" w:hAnsi="Times New Roman" w:eastAsia="仿宋_GB2312" w:cs="Times New Roman"/>
                <w:b w:val="0"/>
                <w:bCs w:val="0"/>
                <w:snapToGrid w:val="0"/>
                <w:color w:val="auto"/>
                <w:kern w:val="0"/>
                <w:sz w:val="24"/>
                <w:szCs w:val="24"/>
                <w:lang w:eastAsia="zh-CN"/>
              </w:rPr>
              <w:t>的</w:t>
            </w:r>
            <w:r>
              <w:rPr>
                <w:rFonts w:hint="eastAsia" w:ascii="Times New Roman" w:hAnsi="Times New Roman" w:eastAsia="仿宋_GB2312" w:cs="Times New Roman"/>
                <w:b w:val="0"/>
                <w:bCs w:val="0"/>
                <w:snapToGrid w:val="0"/>
                <w:color w:val="auto"/>
                <w:kern w:val="0"/>
                <w:sz w:val="24"/>
                <w:szCs w:val="24"/>
                <w:lang w:eastAsia="zh-CN"/>
              </w:rPr>
              <w:t>。</w:t>
            </w:r>
          </w:p>
        </w:tc>
        <w:tc>
          <w:tcPr>
            <w:tcW w:w="4550" w:type="dxa"/>
            <w:tcBorders>
              <w:top w:val="single" w:color="000000" w:sz="2" w:space="0"/>
              <w:bottom w:val="single" w:color="000000" w:sz="2" w:space="0"/>
            </w:tcBorders>
            <w:noWrap w:val="0"/>
            <w:vAlign w:val="center"/>
          </w:tcPr>
          <w:p w14:paraId="1E839469">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lang w:val="en-US" w:eastAsia="zh-CN"/>
              </w:rPr>
              <w:t xml:space="preserve">   </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中华人民共和国动物防疫法》</w:t>
            </w:r>
          </w:p>
          <w:p w14:paraId="7BDF1B84">
            <w:pPr>
              <w:keepNext w:val="0"/>
              <w:keepLines w:val="0"/>
              <w:pageBreakBefore w:val="0"/>
              <w:widowControl w:val="0"/>
              <w:kinsoku/>
              <w:wordWrap/>
              <w:overflowPunct/>
              <w:topLinePunct w:val="0"/>
              <w:autoSpaceDE/>
              <w:autoSpaceDN/>
              <w:bidi w:val="0"/>
              <w:adjustRightInd w:val="0"/>
              <w:snapToGrid w:val="0"/>
              <w:ind w:firstLine="48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rPr>
              <w:t>第一百零八条</w:t>
            </w:r>
            <w:r>
              <w:rPr>
                <w:rFonts w:hint="default" w:ascii="Times New Roman" w:hAnsi="Times New Roman" w:eastAsia="仿宋_GB2312" w:cs="Times New Roman"/>
                <w:b w:val="0"/>
                <w:bCs w:val="0"/>
                <w:snapToGrid w:val="0"/>
                <w:color w:val="auto"/>
                <w:kern w:val="0"/>
                <w:sz w:val="24"/>
                <w:szCs w:val="24"/>
                <w:lang w:val="en-US" w:eastAsia="zh-CN"/>
              </w:rPr>
              <w:t>第（二）项</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w:t>
            </w:r>
            <w:r>
              <w:rPr>
                <w:rFonts w:hint="default" w:ascii="Times New Roman" w:hAnsi="Times New Roman" w:eastAsia="仿宋_GB2312" w:cs="Times New Roman"/>
                <w:b w:val="0"/>
                <w:bCs w:val="0"/>
                <w:snapToGrid w:val="0"/>
                <w:color w:val="auto"/>
                <w:kern w:val="0"/>
                <w:sz w:val="24"/>
                <w:szCs w:val="24"/>
                <w:lang w:eastAsia="zh-CN"/>
              </w:rPr>
              <w:t>：</w:t>
            </w:r>
          </w:p>
          <w:p w14:paraId="4E82B1C9">
            <w:pPr>
              <w:keepNext w:val="0"/>
              <w:keepLines w:val="0"/>
              <w:pageBreakBefore w:val="0"/>
              <w:widowControl w:val="0"/>
              <w:kinsoku/>
              <w:wordWrap/>
              <w:overflowPunct/>
              <w:topLinePunct w:val="0"/>
              <w:autoSpaceDE/>
              <w:autoSpaceDN/>
              <w:bidi w:val="0"/>
              <w:adjustRightInd w:val="0"/>
              <w:snapToGrid w:val="0"/>
              <w:ind w:firstLine="480" w:firstLineChars="0"/>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kern w:val="0"/>
                <w:sz w:val="24"/>
                <w:szCs w:val="24"/>
              </w:rPr>
              <w:t>（二）不如实提供与动物防疫有关的资料的</w:t>
            </w:r>
            <w:r>
              <w:rPr>
                <w:rFonts w:hint="default" w:ascii="Times New Roman" w:hAnsi="Times New Roman" w:eastAsia="仿宋_GB2312" w:cs="Times New Roman"/>
                <w:b w:val="0"/>
                <w:bCs w:val="0"/>
                <w:snapToGrid w:val="0"/>
                <w:color w:val="auto"/>
                <w:kern w:val="0"/>
                <w:sz w:val="24"/>
                <w:szCs w:val="24"/>
                <w:lang w:eastAsia="zh-CN"/>
              </w:rPr>
              <w:t>。</w:t>
            </w:r>
          </w:p>
        </w:tc>
        <w:tc>
          <w:tcPr>
            <w:tcW w:w="1247" w:type="dxa"/>
            <w:tcBorders>
              <w:top w:val="single" w:color="000000" w:sz="2" w:space="0"/>
              <w:bottom w:val="single" w:color="000000" w:sz="2" w:space="0"/>
            </w:tcBorders>
            <w:noWrap w:val="0"/>
            <w:vAlign w:val="center"/>
          </w:tcPr>
          <w:p w14:paraId="0529C94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70590B13">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1.初次违法；</w:t>
            </w:r>
          </w:p>
          <w:p w14:paraId="33E4A7BA">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65A12FC5">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r>
              <w:rPr>
                <w:rFonts w:hint="default" w:ascii="Times New Roman" w:hAnsi="Times New Roman" w:eastAsia="仿宋_GB2312" w:cs="Times New Roman"/>
                <w:b w:val="0"/>
                <w:bCs w:val="0"/>
                <w:snapToGrid w:val="0"/>
                <w:color w:val="auto"/>
                <w:kern w:val="0"/>
                <w:sz w:val="24"/>
                <w:szCs w:val="24"/>
                <w:lang w:val="en-US" w:eastAsia="zh-CN"/>
              </w:rPr>
              <w:t>4.违法行为发生地、发生时无重大动物疫情。</w:t>
            </w:r>
          </w:p>
          <w:p w14:paraId="65B48AD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p>
        </w:tc>
        <w:tc>
          <w:tcPr>
            <w:tcW w:w="722" w:type="dxa"/>
            <w:tcBorders>
              <w:top w:val="single" w:color="000000" w:sz="2" w:space="0"/>
              <w:bottom w:val="single" w:color="000000" w:sz="2" w:space="0"/>
            </w:tcBorders>
            <w:noWrap w:val="0"/>
            <w:vAlign w:val="center"/>
          </w:tcPr>
          <w:p w14:paraId="4949382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4649B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464" w:hRule="atLeast"/>
          <w:jc w:val="center"/>
        </w:trPr>
        <w:tc>
          <w:tcPr>
            <w:tcW w:w="371" w:type="dxa"/>
            <w:tcBorders>
              <w:top w:val="single" w:color="000000" w:sz="2" w:space="0"/>
              <w:bottom w:val="single" w:color="000000" w:sz="2" w:space="0"/>
            </w:tcBorders>
            <w:noWrap w:val="0"/>
            <w:vAlign w:val="center"/>
          </w:tcPr>
          <w:p w14:paraId="2D35F7B9">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6</w:t>
            </w:r>
          </w:p>
        </w:tc>
        <w:tc>
          <w:tcPr>
            <w:tcW w:w="955" w:type="dxa"/>
            <w:tcBorders>
              <w:top w:val="single" w:color="000000" w:sz="2" w:space="0"/>
              <w:bottom w:val="single" w:color="000000" w:sz="2" w:space="0"/>
            </w:tcBorders>
            <w:noWrap w:val="0"/>
            <w:vAlign w:val="center"/>
          </w:tcPr>
          <w:p w14:paraId="43238ABE">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对饲养的动物未按照动物疫病强制免疫计划或者免疫技术规范实施免疫接种等</w:t>
            </w:r>
            <w:r>
              <w:rPr>
                <w:rFonts w:hint="eastAsia"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lang w:eastAsia="zh-CN"/>
              </w:rPr>
              <w:t xml:space="preserve"> </w:t>
            </w:r>
          </w:p>
        </w:tc>
        <w:tc>
          <w:tcPr>
            <w:tcW w:w="4550" w:type="dxa"/>
            <w:tcBorders>
              <w:top w:val="single" w:color="000000" w:sz="2" w:space="0"/>
              <w:bottom w:val="single" w:color="000000" w:sz="2" w:space="0"/>
            </w:tcBorders>
            <w:noWrap w:val="0"/>
            <w:vAlign w:val="center"/>
          </w:tcPr>
          <w:p w14:paraId="238B2D1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val="en-US" w:eastAsia="zh-CN"/>
              </w:rPr>
              <w:t xml:space="preserve">   </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中华人民共和国动物防疫法》</w:t>
            </w:r>
          </w:p>
          <w:p w14:paraId="70B4BD1D">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第九十二条第（一）项：违反本条例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p>
          <w:p w14:paraId="1F90E92C">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lang w:eastAsia="zh-CN"/>
              </w:rPr>
              <w:t>（一）对饲养的动物未按照动物疫病强制免疫计划或者免疫技术规范实施免疫接种的。</w:t>
            </w:r>
          </w:p>
        </w:tc>
        <w:tc>
          <w:tcPr>
            <w:tcW w:w="1247" w:type="dxa"/>
            <w:tcBorders>
              <w:top w:val="single" w:color="000000" w:sz="2" w:space="0"/>
              <w:bottom w:val="single" w:color="000000" w:sz="2" w:space="0"/>
            </w:tcBorders>
            <w:noWrap w:val="0"/>
            <w:vAlign w:val="center"/>
          </w:tcPr>
          <w:p w14:paraId="63DF193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13C7F621">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1.初次违法；</w:t>
            </w:r>
          </w:p>
          <w:p w14:paraId="6951BE51">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16ADD24F">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p>
          <w:p w14:paraId="128CE3D6">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4.违法行为发生地、发生时无重大动物疫情。</w:t>
            </w:r>
          </w:p>
          <w:p w14:paraId="29D68A98">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p>
        </w:tc>
        <w:tc>
          <w:tcPr>
            <w:tcW w:w="722" w:type="dxa"/>
            <w:tcBorders>
              <w:top w:val="single" w:color="000000" w:sz="2" w:space="0"/>
              <w:bottom w:val="single" w:color="000000" w:sz="2" w:space="0"/>
            </w:tcBorders>
            <w:noWrap w:val="0"/>
            <w:vAlign w:val="center"/>
          </w:tcPr>
          <w:p w14:paraId="16A177C4">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14FE2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77" w:hRule="atLeast"/>
          <w:jc w:val="center"/>
        </w:trPr>
        <w:tc>
          <w:tcPr>
            <w:tcW w:w="371" w:type="dxa"/>
            <w:tcBorders>
              <w:top w:val="single" w:color="000000" w:sz="2" w:space="0"/>
              <w:bottom w:val="single" w:color="000000" w:sz="2" w:space="0"/>
            </w:tcBorders>
            <w:noWrap w:val="0"/>
            <w:vAlign w:val="center"/>
          </w:tcPr>
          <w:p w14:paraId="2145ABB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7</w:t>
            </w:r>
          </w:p>
        </w:tc>
        <w:tc>
          <w:tcPr>
            <w:tcW w:w="955" w:type="dxa"/>
            <w:tcBorders>
              <w:top w:val="single" w:color="000000" w:sz="2" w:space="0"/>
              <w:bottom w:val="single" w:color="000000" w:sz="2" w:space="0"/>
            </w:tcBorders>
            <w:noWrap w:val="0"/>
            <w:vAlign w:val="center"/>
          </w:tcPr>
          <w:p w14:paraId="770FEFB2">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对用药记录不完整真实的</w:t>
            </w:r>
            <w:r>
              <w:rPr>
                <w:rFonts w:hint="eastAsia"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lang w:eastAsia="zh-CN"/>
              </w:rPr>
              <w:t xml:space="preserve"> </w:t>
            </w:r>
          </w:p>
        </w:tc>
        <w:tc>
          <w:tcPr>
            <w:tcW w:w="4550" w:type="dxa"/>
            <w:tcBorders>
              <w:top w:val="single" w:color="000000" w:sz="2" w:space="0"/>
              <w:bottom w:val="single" w:color="000000" w:sz="2" w:space="0"/>
            </w:tcBorders>
            <w:noWrap w:val="0"/>
            <w:vAlign w:val="center"/>
          </w:tcPr>
          <w:p w14:paraId="15BD81EA">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《兽药管理条例》</w:t>
            </w:r>
          </w:p>
          <w:p w14:paraId="4FACB862">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lang w:eastAsia="zh-CN"/>
              </w:rPr>
              <w:t>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w:t>
            </w:r>
            <w:r>
              <w:rPr>
                <w:rFonts w:hint="default" w:ascii="Times New Roman" w:hAnsi="Times New Roman" w:eastAsia="仿宋_GB2312" w:cs="Times New Roman"/>
                <w:b w:val="0"/>
                <w:bCs w:val="0"/>
                <w:snapToGrid w:val="0"/>
                <w:color w:val="auto"/>
                <w:kern w:val="0"/>
                <w:sz w:val="24"/>
                <w:szCs w:val="24"/>
                <w:lang w:val="en-US" w:eastAsia="zh-CN"/>
              </w:rPr>
              <w:t>1万元以上5万元以下罚款；给他人造成损失的，依法承担赔偿责任。</w:t>
            </w:r>
          </w:p>
        </w:tc>
        <w:tc>
          <w:tcPr>
            <w:tcW w:w="1247" w:type="dxa"/>
            <w:tcBorders>
              <w:top w:val="single" w:color="000000" w:sz="2" w:space="0"/>
              <w:bottom w:val="single" w:color="000000" w:sz="2" w:space="0"/>
            </w:tcBorders>
            <w:noWrap w:val="0"/>
            <w:vAlign w:val="center"/>
          </w:tcPr>
          <w:p w14:paraId="6D28ADF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5CF046B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1.初次违法；</w:t>
            </w:r>
          </w:p>
          <w:p w14:paraId="16103130">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1E4A0863">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p>
          <w:p w14:paraId="36DAE5F6">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p>
        </w:tc>
        <w:tc>
          <w:tcPr>
            <w:tcW w:w="722" w:type="dxa"/>
            <w:tcBorders>
              <w:top w:val="single" w:color="000000" w:sz="2" w:space="0"/>
              <w:bottom w:val="single" w:color="000000" w:sz="2" w:space="0"/>
            </w:tcBorders>
            <w:noWrap w:val="0"/>
            <w:vAlign w:val="center"/>
          </w:tcPr>
          <w:p w14:paraId="4DBF9864">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279A6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961" w:hRule="atLeast"/>
          <w:jc w:val="center"/>
        </w:trPr>
        <w:tc>
          <w:tcPr>
            <w:tcW w:w="371" w:type="dxa"/>
            <w:tcBorders>
              <w:top w:val="single" w:color="000000" w:sz="2" w:space="0"/>
              <w:bottom w:val="single" w:color="000000" w:sz="2" w:space="0"/>
            </w:tcBorders>
            <w:noWrap w:val="0"/>
            <w:vAlign w:val="center"/>
          </w:tcPr>
          <w:p w14:paraId="3FF245B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8</w:t>
            </w:r>
          </w:p>
        </w:tc>
        <w:tc>
          <w:tcPr>
            <w:tcW w:w="955" w:type="dxa"/>
            <w:tcBorders>
              <w:top w:val="single" w:color="000000" w:sz="2" w:space="0"/>
              <w:bottom w:val="single" w:color="000000" w:sz="2" w:space="0"/>
            </w:tcBorders>
            <w:noWrap w:val="0"/>
            <w:vAlign w:val="center"/>
          </w:tcPr>
          <w:p w14:paraId="337F7FB6">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lang w:eastAsia="zh-CN"/>
              </w:rPr>
              <w:t>对饲料、饲料添加剂生产企业不依照规定实行采购、生产、销售记录制度或者产品留样观察制度的</w:t>
            </w:r>
            <w:r>
              <w:rPr>
                <w:rFonts w:hint="eastAsia" w:ascii="Times New Roman" w:hAnsi="Times New Roman" w:eastAsia="仿宋_GB2312" w:cs="Times New Roman"/>
                <w:b w:val="0"/>
                <w:bCs w:val="0"/>
                <w:snapToGrid w:val="0"/>
                <w:color w:val="auto"/>
                <w:kern w:val="0"/>
                <w:sz w:val="24"/>
                <w:szCs w:val="24"/>
                <w:lang w:eastAsia="zh-CN"/>
              </w:rPr>
              <w:t>。</w:t>
            </w:r>
          </w:p>
        </w:tc>
        <w:tc>
          <w:tcPr>
            <w:tcW w:w="4550" w:type="dxa"/>
            <w:tcBorders>
              <w:top w:val="single" w:color="000000" w:sz="2" w:space="0"/>
              <w:bottom w:val="single" w:color="000000" w:sz="2" w:space="0"/>
            </w:tcBorders>
            <w:noWrap w:val="0"/>
            <w:vAlign w:val="center"/>
          </w:tcPr>
          <w:p w14:paraId="16ADB11F">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《饲料和饲料添加剂管理条例》</w:t>
            </w:r>
          </w:p>
          <w:p w14:paraId="0CE2744B">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第十七条第三款：饲料、饲料添加剂生产企业应当如实记录采购的饲料原料、单一饲料、饲料添加剂、药物饲料添加剂、添加剂预混合饲料和用于饲料添加剂生产的原料的名称、产地、数量、保质期、许可证明文件编号、质量检验信息、生产企业名称或者供货者名称及其联系方式、进货日期等。记录保存期限不得少于2年。</w:t>
            </w:r>
          </w:p>
          <w:p w14:paraId="74A9D3C7">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eastAsia="zh-CN"/>
              </w:rPr>
            </w:pPr>
            <w:r>
              <w:rPr>
                <w:rFonts w:hint="default" w:ascii="Times New Roman" w:hAnsi="Times New Roman" w:eastAsia="仿宋_GB2312" w:cs="Times New Roman"/>
                <w:b w:val="0"/>
                <w:bCs w:val="0"/>
                <w:snapToGrid w:val="0"/>
                <w:color w:val="auto"/>
                <w:kern w:val="0"/>
                <w:sz w:val="24"/>
                <w:szCs w:val="24"/>
                <w:lang w:eastAsia="zh-CN"/>
              </w:rPr>
              <w:t>第十八条：饲料、饲料添加剂生产企业，应当按照产品质量标准以及国务院农业行政主管部门制定的饲料、饲料添加剂质量安全管理规范和饲料添加剂安全使用规范组织生产，对生产过程实施有效控制并实行生产记录和产品留样观察制度。</w:t>
            </w:r>
          </w:p>
          <w:p w14:paraId="63F02134">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lang w:eastAsia="zh-CN"/>
              </w:rPr>
              <w:t>第十九条第二款：饲料、饲料添加剂生产企业应当如实记录出厂销售的饲料、饲料添加剂的名称、数量、生产日期、生产批次、质量检验信息、购货者名称及其联系方式、销售日期等。记录保存期限不得少于2年。</w:t>
            </w:r>
            <w:r>
              <w:rPr>
                <w:rFonts w:hint="default" w:ascii="Times New Roman" w:hAnsi="Times New Roman" w:eastAsia="仿宋_GB2312" w:cs="Times New Roman"/>
                <w:b w:val="0"/>
                <w:bCs w:val="0"/>
                <w:snapToGrid w:val="0"/>
                <w:color w:val="auto"/>
                <w:kern w:val="0"/>
                <w:sz w:val="24"/>
                <w:szCs w:val="24"/>
                <w:lang w:val="en-US" w:eastAsia="zh-CN"/>
              </w:rPr>
              <w:t xml:space="preserve">     </w:t>
            </w:r>
          </w:p>
          <w:p w14:paraId="2184472E">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val="en-US" w:eastAsia="zh-CN"/>
              </w:rPr>
            </w:pPr>
            <w:r>
              <w:rPr>
                <w:rFonts w:hint="default" w:ascii="Times New Roman" w:hAnsi="Times New Roman" w:eastAsia="仿宋_GB2312" w:cs="Times New Roman"/>
                <w:b w:val="0"/>
                <w:bCs w:val="0"/>
                <w:snapToGrid w:val="0"/>
                <w:color w:val="auto"/>
                <w:kern w:val="0"/>
                <w:sz w:val="24"/>
                <w:szCs w:val="24"/>
                <w:lang w:eastAsia="zh-CN"/>
              </w:rPr>
              <w:t>第四十一条第一款：饲料、饲料添加剂生产企业不依照本条例规定实行采购、生产、销售记录制度或者产品留样观察制度的，由县级以上地方人民政府饲料管理部门责令改正，处</w:t>
            </w:r>
            <w:r>
              <w:rPr>
                <w:rFonts w:hint="default" w:ascii="Times New Roman" w:hAnsi="Times New Roman" w:eastAsia="仿宋_GB2312" w:cs="Times New Roman"/>
                <w:b w:val="0"/>
                <w:bCs w:val="0"/>
                <w:snapToGrid w:val="0"/>
                <w:color w:val="auto"/>
                <w:kern w:val="0"/>
                <w:sz w:val="24"/>
                <w:szCs w:val="24"/>
                <w:lang w:val="en-US" w:eastAsia="zh-CN"/>
              </w:rPr>
              <w:t>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tc>
        <w:tc>
          <w:tcPr>
            <w:tcW w:w="1247" w:type="dxa"/>
            <w:tcBorders>
              <w:top w:val="single" w:color="000000" w:sz="2" w:space="0"/>
              <w:bottom w:val="single" w:color="000000" w:sz="2" w:space="0"/>
            </w:tcBorders>
            <w:noWrap w:val="0"/>
            <w:vAlign w:val="center"/>
          </w:tcPr>
          <w:p w14:paraId="66927C7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1CE1D6ED">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1.初次违法；</w:t>
            </w:r>
          </w:p>
          <w:p w14:paraId="28341EB7">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trike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2.危害后果轻微</w:t>
            </w:r>
            <w:r>
              <w:rPr>
                <w:rFonts w:hint="default" w:ascii="Times New Roman" w:hAnsi="Times New Roman" w:eastAsia="仿宋_GB2312" w:cs="Times New Roman"/>
                <w:b w:val="0"/>
                <w:bCs w:val="0"/>
                <w:strike w:val="0"/>
                <w:dstrike w:val="0"/>
                <w:snapToGrid w:val="0"/>
                <w:color w:val="auto"/>
                <w:spacing w:val="0"/>
                <w:kern w:val="0"/>
                <w:sz w:val="24"/>
                <w:szCs w:val="24"/>
                <w:lang w:val="en-US" w:eastAsia="zh-CN"/>
              </w:rPr>
              <w:t>；</w:t>
            </w:r>
          </w:p>
          <w:p w14:paraId="75C8DF4D">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3.责令改正后及时改正的；</w:t>
            </w:r>
          </w:p>
          <w:p w14:paraId="2D5D780C">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4.</w:t>
            </w:r>
            <w:r>
              <w:rPr>
                <w:rFonts w:hint="default" w:ascii="Times New Roman" w:hAnsi="Times New Roman" w:eastAsia="仿宋_GB2312" w:cs="Times New Roman"/>
                <w:b w:val="0"/>
                <w:bCs w:val="0"/>
                <w:snapToGrid w:val="0"/>
                <w:color w:val="auto"/>
                <w:kern w:val="0"/>
                <w:sz w:val="24"/>
                <w:szCs w:val="24"/>
                <w:lang w:eastAsia="zh-CN"/>
              </w:rPr>
              <w:t>饲料、饲料添加剂</w:t>
            </w:r>
            <w:r>
              <w:rPr>
                <w:rFonts w:hint="default" w:ascii="Times New Roman" w:hAnsi="Times New Roman" w:eastAsia="仿宋_GB2312" w:cs="Times New Roman"/>
                <w:b w:val="0"/>
                <w:bCs w:val="0"/>
                <w:snapToGrid w:val="0"/>
                <w:color w:val="auto"/>
                <w:spacing w:val="0"/>
                <w:kern w:val="0"/>
                <w:sz w:val="24"/>
                <w:szCs w:val="24"/>
                <w:lang w:val="en-US" w:eastAsia="zh-CN"/>
              </w:rPr>
              <w:t>生产企业的采购、生产、销售活动规范实施，并留存样品。</w:t>
            </w:r>
          </w:p>
          <w:p w14:paraId="20724DE3">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p>
        </w:tc>
        <w:tc>
          <w:tcPr>
            <w:tcW w:w="722" w:type="dxa"/>
            <w:tcBorders>
              <w:top w:val="single" w:color="000000" w:sz="2" w:space="0"/>
              <w:bottom w:val="single" w:color="000000" w:sz="2" w:space="0"/>
            </w:tcBorders>
            <w:noWrap w:val="0"/>
            <w:vAlign w:val="center"/>
          </w:tcPr>
          <w:p w14:paraId="27A06434">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r w14:paraId="2D411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0795" w:hRule="atLeast"/>
          <w:jc w:val="center"/>
        </w:trPr>
        <w:tc>
          <w:tcPr>
            <w:tcW w:w="371" w:type="dxa"/>
            <w:tcBorders>
              <w:top w:val="single" w:color="000000" w:sz="2" w:space="0"/>
              <w:bottom w:val="single" w:color="000000" w:sz="2" w:space="0"/>
            </w:tcBorders>
            <w:noWrap w:val="0"/>
            <w:vAlign w:val="center"/>
          </w:tcPr>
          <w:p w14:paraId="451E6D1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eastAsia" w:ascii="Times New Roman" w:hAnsi="Times New Roman" w:eastAsia="仿宋_GB2312" w:cs="Times New Roman"/>
                <w:b w:val="0"/>
                <w:bCs w:val="0"/>
                <w:snapToGrid w:val="0"/>
                <w:color w:val="auto"/>
                <w:spacing w:val="0"/>
                <w:kern w:val="0"/>
                <w:sz w:val="24"/>
                <w:szCs w:val="24"/>
                <w:lang w:val="en-US" w:eastAsia="zh-CN"/>
              </w:rPr>
              <w:t>9</w:t>
            </w:r>
          </w:p>
        </w:tc>
        <w:tc>
          <w:tcPr>
            <w:tcW w:w="955" w:type="dxa"/>
            <w:tcBorders>
              <w:top w:val="single" w:color="000000" w:sz="2" w:space="0"/>
              <w:bottom w:val="single" w:color="000000" w:sz="2" w:space="0"/>
            </w:tcBorders>
            <w:noWrap w:val="0"/>
            <w:vAlign w:val="center"/>
          </w:tcPr>
          <w:p w14:paraId="145A0E83">
            <w:pPr>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 w:val="0"/>
                <w:bCs w:val="0"/>
                <w:snapToGrid w:val="0"/>
                <w:color w:val="auto"/>
                <w:kern w:val="0"/>
                <w:sz w:val="24"/>
                <w:szCs w:val="24"/>
                <w:lang w:val="en" w:eastAsia="zh-CN" w:bidi="ar-SA"/>
              </w:rPr>
            </w:pPr>
            <w:r>
              <w:rPr>
                <w:rFonts w:hint="default" w:ascii="Times New Roman" w:hAnsi="Times New Roman" w:eastAsia="仿宋_GB2312" w:cs="Times New Roman"/>
                <w:b w:val="0"/>
                <w:bCs w:val="0"/>
                <w:snapToGrid w:val="0"/>
                <w:color w:val="auto"/>
                <w:kern w:val="0"/>
                <w:sz w:val="24"/>
                <w:szCs w:val="24"/>
              </w:rPr>
              <w:t>农业投入品使用者（仅限个人）未按照规定及时回收肥料等农业投入品的包装废弃物或者农用薄膜，或者未按照规定及时回收农药包装废弃物交由专门的机构或者组织进行无害化处理的</w:t>
            </w:r>
            <w:r>
              <w:rPr>
                <w:rFonts w:hint="eastAsia" w:ascii="Times New Roman" w:hAnsi="Times New Roman" w:eastAsia="仿宋_GB2312" w:cs="Times New Roman"/>
                <w:b w:val="0"/>
                <w:bCs w:val="0"/>
                <w:snapToGrid w:val="0"/>
                <w:color w:val="auto"/>
                <w:kern w:val="0"/>
                <w:sz w:val="24"/>
                <w:szCs w:val="24"/>
                <w:lang w:eastAsia="zh-CN"/>
              </w:rPr>
              <w:t>。</w:t>
            </w:r>
          </w:p>
        </w:tc>
        <w:tc>
          <w:tcPr>
            <w:tcW w:w="4550" w:type="dxa"/>
            <w:tcBorders>
              <w:top w:val="single" w:color="000000" w:sz="2" w:space="0"/>
              <w:bottom w:val="single" w:color="000000" w:sz="2" w:space="0"/>
            </w:tcBorders>
            <w:noWrap w:val="0"/>
            <w:vAlign w:val="center"/>
          </w:tcPr>
          <w:p w14:paraId="2715E15C">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《中华人民共和国土壤污染防治法》</w:t>
            </w:r>
          </w:p>
          <w:p w14:paraId="01059CB2">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第三十条</w:t>
            </w:r>
            <w:r>
              <w:rPr>
                <w:rFonts w:hint="default" w:ascii="Times New Roman" w:hAnsi="Times New Roman" w:eastAsia="仿宋_GB2312" w:cs="Times New Roman"/>
                <w:b w:val="0"/>
                <w:bCs w:val="0"/>
                <w:snapToGrid w:val="0"/>
                <w:color w:val="auto"/>
                <w:kern w:val="0"/>
                <w:sz w:val="24"/>
                <w:szCs w:val="24"/>
                <w:lang w:val="en-US" w:eastAsia="zh-CN"/>
              </w:rPr>
              <w:t>第二款</w:t>
            </w:r>
            <w:r>
              <w:rPr>
                <w:rFonts w:hint="default" w:ascii="Times New Roman" w:hAnsi="Times New Roman" w:eastAsia="仿宋_GB2312" w:cs="Times New Roman"/>
                <w:b w:val="0"/>
                <w:bCs w:val="0"/>
                <w:snapToGrid w:val="0"/>
                <w:color w:val="auto"/>
                <w:kern w:val="0"/>
                <w:sz w:val="24"/>
                <w:szCs w:val="24"/>
                <w:lang w:eastAsia="zh-CN"/>
              </w:rPr>
              <w:t>：</w:t>
            </w:r>
            <w:r>
              <w:rPr>
                <w:rFonts w:hint="default" w:ascii="Times New Roman" w:hAnsi="Times New Roman" w:eastAsia="仿宋_GB2312" w:cs="Times New Roman"/>
                <w:b w:val="0"/>
                <w:bCs w:val="0"/>
                <w:snapToGrid w:val="0"/>
                <w:color w:val="auto"/>
                <w:kern w:val="0"/>
                <w:sz w:val="24"/>
                <w:szCs w:val="24"/>
              </w:rPr>
              <w:t>农业投入品生产者、销售者和使用者应当及时回收农药、肥料等农业投入品的包装废弃物和农用薄膜，并将农药包装废弃物交由专门的机构或者组织进行无害化处理。</w:t>
            </w:r>
          </w:p>
          <w:p w14:paraId="617B1687">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rPr>
            </w:pPr>
            <w:r>
              <w:rPr>
                <w:rFonts w:hint="default" w:ascii="Times New Roman" w:hAnsi="Times New Roman" w:eastAsia="仿宋_GB2312" w:cs="Times New Roman"/>
                <w:b w:val="0"/>
                <w:bCs w:val="0"/>
                <w:snapToGrid w:val="0"/>
                <w:color w:val="auto"/>
                <w:kern w:val="0"/>
                <w:sz w:val="24"/>
                <w:szCs w:val="24"/>
              </w:rPr>
              <w:t>《中华人民共和国土壤污染防治法》</w:t>
            </w:r>
          </w:p>
          <w:p w14:paraId="74096397">
            <w:pPr>
              <w:keepNext w:val="0"/>
              <w:keepLines w:val="0"/>
              <w:pageBreakBefore w:val="0"/>
              <w:widowControl w:val="0"/>
              <w:kinsoku/>
              <w:wordWrap/>
              <w:overflowPunct/>
              <w:topLinePunct w:val="0"/>
              <w:autoSpaceDE/>
              <w:autoSpaceDN/>
              <w:bidi w:val="0"/>
              <w:adjustRightInd w:val="0"/>
              <w:snapToGrid w:val="0"/>
              <w:ind w:firstLine="480" w:firstLineChars="200"/>
              <w:jc w:val="both"/>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default" w:ascii="Times New Roman" w:hAnsi="Times New Roman" w:eastAsia="仿宋_GB2312" w:cs="Times New Roman"/>
                <w:b w:val="0"/>
                <w:bCs w:val="0"/>
                <w:snapToGrid w:val="0"/>
                <w:color w:val="auto"/>
                <w:kern w:val="0"/>
                <w:sz w:val="24"/>
                <w:szCs w:val="24"/>
              </w:rPr>
              <w:t>第八十八条：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tc>
        <w:tc>
          <w:tcPr>
            <w:tcW w:w="1247" w:type="dxa"/>
            <w:tcBorders>
              <w:top w:val="single" w:color="000000" w:sz="2" w:space="0"/>
              <w:bottom w:val="single" w:color="000000" w:sz="2" w:space="0"/>
            </w:tcBorders>
            <w:noWrap w:val="0"/>
            <w:vAlign w:val="center"/>
          </w:tcPr>
          <w:p w14:paraId="3DFFFA7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b w:val="0"/>
                <w:bCs w:val="0"/>
                <w:snapToGrid w:val="0"/>
                <w:color w:val="auto"/>
                <w:kern w:val="0"/>
                <w:sz w:val="24"/>
                <w:szCs w:val="24"/>
                <w:lang w:val="en-US" w:eastAsia="zh-CN" w:bidi="ar-SA"/>
              </w:rPr>
            </w:pPr>
            <w:r>
              <w:rPr>
                <w:rFonts w:hint="eastAsia" w:ascii="Times New Roman" w:hAnsi="Times New Roman" w:eastAsia="仿宋_GB2312" w:cs="Times New Roman"/>
                <w:b w:val="0"/>
                <w:bCs w:val="0"/>
                <w:snapToGrid w:val="0"/>
                <w:color w:val="auto"/>
                <w:kern w:val="0"/>
                <w:sz w:val="24"/>
                <w:szCs w:val="24"/>
                <w:lang w:eastAsia="zh-CN"/>
              </w:rPr>
              <w:t>首违免罚</w:t>
            </w:r>
          </w:p>
        </w:tc>
        <w:tc>
          <w:tcPr>
            <w:tcW w:w="1009" w:type="dxa"/>
            <w:tcBorders>
              <w:top w:val="single" w:color="000000" w:sz="2" w:space="0"/>
              <w:bottom w:val="single" w:color="000000" w:sz="2" w:space="0"/>
            </w:tcBorders>
            <w:noWrap w:val="0"/>
            <w:vAlign w:val="center"/>
          </w:tcPr>
          <w:p w14:paraId="2223DE7F">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1.初次违法；</w:t>
            </w:r>
          </w:p>
          <w:p w14:paraId="0DAC7E71">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rPr>
            </w:pPr>
            <w:r>
              <w:rPr>
                <w:rFonts w:hint="default" w:ascii="Times New Roman" w:hAnsi="Times New Roman" w:eastAsia="仿宋_GB2312" w:cs="Times New Roman"/>
                <w:b w:val="0"/>
                <w:bCs w:val="0"/>
                <w:snapToGrid w:val="0"/>
                <w:color w:val="auto"/>
                <w:spacing w:val="0"/>
                <w:kern w:val="0"/>
                <w:sz w:val="24"/>
                <w:szCs w:val="24"/>
                <w:lang w:val="en-US" w:eastAsia="zh-CN"/>
              </w:rPr>
              <w:t>2.责令改正后及时改正的；</w:t>
            </w:r>
          </w:p>
          <w:p w14:paraId="4BE7C2BA">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3.违法当事人为农业投入品使用者，且为个人的。</w:t>
            </w:r>
          </w:p>
        </w:tc>
        <w:tc>
          <w:tcPr>
            <w:tcW w:w="722" w:type="dxa"/>
            <w:tcBorders>
              <w:top w:val="single" w:color="000000" w:sz="2" w:space="0"/>
              <w:bottom w:val="single" w:color="000000" w:sz="2" w:space="0"/>
            </w:tcBorders>
            <w:noWrap w:val="0"/>
            <w:vAlign w:val="center"/>
          </w:tcPr>
          <w:p w14:paraId="44E27BD9">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仿宋_GB2312" w:cs="Times New Roman"/>
                <w:b w:val="0"/>
                <w:bCs w:val="0"/>
                <w:snapToGrid w:val="0"/>
                <w:color w:val="auto"/>
                <w:spacing w:val="0"/>
                <w:kern w:val="0"/>
                <w:sz w:val="24"/>
                <w:szCs w:val="24"/>
                <w:lang w:val="en-US" w:eastAsia="zh-CN" w:bidi="ar-SA"/>
              </w:rPr>
            </w:pPr>
            <w:r>
              <w:rPr>
                <w:rFonts w:hint="default" w:ascii="Times New Roman" w:hAnsi="Times New Roman" w:eastAsia="仿宋_GB2312" w:cs="Times New Roman"/>
                <w:b w:val="0"/>
                <w:bCs w:val="0"/>
                <w:snapToGrid w:val="0"/>
                <w:color w:val="auto"/>
                <w:spacing w:val="0"/>
                <w:kern w:val="0"/>
                <w:sz w:val="24"/>
                <w:szCs w:val="24"/>
                <w:lang w:val="en-US" w:eastAsia="zh-CN"/>
              </w:rPr>
              <w:t>加强教育、劝导示范、指导约谈、及时复查整改情况、加强行政检查等方式。</w:t>
            </w:r>
          </w:p>
        </w:tc>
      </w:tr>
    </w:tbl>
    <w:p w14:paraId="28ADB324">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both"/>
        <w:textAlignment w:val="auto"/>
        <w:rPr>
          <w:rFonts w:hint="default" w:ascii="Times New Roman" w:hAnsi="Times New Roman" w:eastAsia="仿宋_GB2312" w:cs="Times New Roman"/>
          <w:b w:val="0"/>
          <w:bCs w:val="0"/>
          <w:snapToGrid w:val="0"/>
          <w:color w:val="auto"/>
          <w:spacing w:val="0"/>
          <w:kern w:val="0"/>
          <w:sz w:val="28"/>
          <w:szCs w:val="28"/>
          <w:lang w:val="en-US" w:eastAsia="zh-CN"/>
        </w:rPr>
        <w:sectPr>
          <w:footerReference r:id="rId3" w:type="default"/>
          <w:pgSz w:w="11906" w:h="16838"/>
          <w:pgMar w:top="2098" w:right="1531" w:bottom="1300" w:left="1531" w:header="851" w:footer="992" w:gutter="0"/>
          <w:pgNumType w:fmt="numberInDash"/>
          <w:cols w:space="720" w:num="1"/>
          <w:docGrid w:type="lines" w:linePitch="312" w:charSpace="0"/>
        </w:sectPr>
      </w:pPr>
      <w:r>
        <w:rPr>
          <w:rFonts w:hint="default" w:ascii="Times New Roman" w:hAnsi="Times New Roman" w:eastAsia="黑体" w:cs="Times New Roman"/>
          <w:b w:val="0"/>
          <w:bCs w:val="0"/>
          <w:snapToGrid w:val="0"/>
          <w:color w:val="auto"/>
          <w:spacing w:val="0"/>
          <w:kern w:val="0"/>
          <w:sz w:val="28"/>
          <w:szCs w:val="28"/>
          <w:lang w:val="en-US" w:eastAsia="zh-CN"/>
        </w:rPr>
        <w:t>注：</w:t>
      </w:r>
      <w:r>
        <w:rPr>
          <w:rFonts w:hint="default" w:ascii="Times New Roman" w:hAnsi="Times New Roman" w:eastAsia="仿宋_GB2312" w:cs="Times New Roman"/>
          <w:b w:val="0"/>
          <w:bCs w:val="0"/>
          <w:snapToGrid w:val="0"/>
          <w:color w:val="auto"/>
          <w:spacing w:val="0"/>
          <w:kern w:val="0"/>
          <w:sz w:val="28"/>
          <w:szCs w:val="28"/>
          <w:lang w:val="en-US" w:eastAsia="zh-CN"/>
        </w:rPr>
        <w:t>执行中相关法律规定调整的，依照调整后的法律规定执行</w:t>
      </w:r>
      <w:r>
        <w:rPr>
          <w:rFonts w:hint="eastAsia" w:ascii="Times New Roman" w:hAnsi="Times New Roman" w:eastAsia="仿宋_GB2312" w:cs="Times New Roman"/>
          <w:b w:val="0"/>
          <w:bCs w:val="0"/>
          <w:snapToGrid w:val="0"/>
          <w:color w:val="auto"/>
          <w:spacing w:val="0"/>
          <w:kern w:val="0"/>
          <w:sz w:val="28"/>
          <w:szCs w:val="28"/>
          <w:lang w:val="en-US" w:eastAsia="zh-CN"/>
        </w:rPr>
        <w:t>。</w:t>
      </w:r>
    </w:p>
    <w:p w14:paraId="0332CDA5">
      <w:pPr>
        <w:keepNext w:val="0"/>
        <w:keepLines w:val="0"/>
        <w:pageBreakBefore w:val="0"/>
        <w:widowControl w:val="0"/>
        <w:kinsoku/>
        <w:wordWrap/>
        <w:overflowPunct/>
        <w:topLinePunct w:val="0"/>
        <w:autoSpaceDE/>
        <w:autoSpaceDN/>
        <w:bidi w:val="0"/>
        <w:adjustRightInd/>
        <w:snapToGrid/>
        <w:spacing w:line="560" w:lineRule="exact"/>
        <w:ind w:left="0" w:firstLine="0" w:firstLineChars="0"/>
        <w:jc w:val="left"/>
        <w:textAlignment w:val="auto"/>
        <w:rPr>
          <w:rFonts w:hint="default" w:ascii="Nimbus Roman No9 L" w:hAnsi="Nimbus Roman No9 L" w:eastAsia="宋体" w:cs="Nimbus Roman No9 L"/>
          <w:color w:val="auto"/>
          <w:sz w:val="32"/>
          <w:szCs w:val="32"/>
          <w:lang w:val="en-US" w:eastAsia="zh-CN"/>
        </w:rPr>
      </w:pPr>
      <w:r>
        <w:rPr>
          <w:rFonts w:hint="default" w:ascii="Nimbus Roman No9 L" w:hAnsi="Nimbus Roman No9 L" w:eastAsia="方正黑体_GBK" w:cs="Nimbus Roman No9 L"/>
          <w:color w:val="auto"/>
          <w:sz w:val="32"/>
          <w:szCs w:val="32"/>
        </w:rPr>
        <w:t>附件</w:t>
      </w:r>
      <w:r>
        <w:rPr>
          <w:rFonts w:hint="default" w:ascii="Nimbus Roman No9 L" w:hAnsi="Nimbus Roman No9 L" w:eastAsia="宋体" w:cs="Nimbus Roman No9 L"/>
          <w:color w:val="auto"/>
          <w:sz w:val="32"/>
          <w:szCs w:val="32"/>
          <w:lang w:val="en-US" w:eastAsia="zh-CN"/>
        </w:rPr>
        <w:t>2</w:t>
      </w:r>
    </w:p>
    <w:p w14:paraId="261212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Nimbus Roman No9 L" w:hAnsi="Nimbus Roman No9 L" w:eastAsia="方正小标宋简体" w:cs="Nimbus Roman No9 L"/>
          <w:color w:val="auto"/>
          <w:sz w:val="32"/>
          <w:szCs w:val="32"/>
          <w:lang w:val="en-US" w:eastAsia="zh-CN"/>
        </w:rPr>
      </w:pPr>
      <w:r>
        <w:rPr>
          <w:rFonts w:hint="eastAsia" w:ascii="Nimbus Roman No9 L" w:hAnsi="Nimbus Roman No9 L" w:eastAsia="方正小标宋简体" w:cs="Nimbus Roman No9 L"/>
          <w:color w:val="auto"/>
          <w:sz w:val="44"/>
          <w:szCs w:val="44"/>
          <w:lang w:val="en-US" w:eastAsia="zh-CN"/>
        </w:rPr>
        <w:t>新疆维吾尔自治区</w:t>
      </w:r>
      <w:r>
        <w:rPr>
          <w:rFonts w:hint="default" w:ascii="Nimbus Roman No9 L" w:hAnsi="Nimbus Roman No9 L" w:eastAsia="方正小标宋简体" w:cs="Nimbus Roman No9 L"/>
          <w:color w:val="auto"/>
          <w:sz w:val="44"/>
          <w:szCs w:val="44"/>
          <w:lang w:val="en-US" w:eastAsia="zh-CN"/>
        </w:rPr>
        <w:t>农业农村领域</w:t>
      </w:r>
      <w:r>
        <w:rPr>
          <w:rFonts w:hint="eastAsia" w:ascii="Nimbus Roman No9 L" w:hAnsi="Nimbus Roman No9 L" w:eastAsia="方正小标宋简体" w:cs="Nimbus Roman No9 L"/>
          <w:color w:val="auto"/>
          <w:sz w:val="44"/>
          <w:szCs w:val="44"/>
          <w:lang w:val="en-US" w:eastAsia="zh-CN"/>
        </w:rPr>
        <w:t>包容免罚</w:t>
      </w:r>
      <w:r>
        <w:rPr>
          <w:rFonts w:hint="default" w:ascii="Nimbus Roman No9 L" w:hAnsi="Nimbus Roman No9 L" w:eastAsia="方正小标宋简体" w:cs="Nimbus Roman No9 L"/>
          <w:color w:val="auto"/>
          <w:sz w:val="44"/>
          <w:szCs w:val="44"/>
          <w:lang w:val="en-US" w:eastAsia="zh-CN"/>
        </w:rPr>
        <w:t>告知</w:t>
      </w:r>
      <w:r>
        <w:rPr>
          <w:rFonts w:hint="default" w:ascii="Nimbus Roman No9 L" w:hAnsi="Nimbus Roman No9 L" w:eastAsia="方正小标宋简体" w:cs="Nimbus Roman No9 L"/>
          <w:color w:val="auto"/>
          <w:spacing w:val="30"/>
          <w:sz w:val="44"/>
          <w:szCs w:val="44"/>
          <w:lang w:val="en-US" w:eastAsia="zh-CN"/>
        </w:rPr>
        <w:t>承诺书</w:t>
      </w:r>
    </w:p>
    <w:tbl>
      <w:tblPr>
        <w:tblStyle w:val="4"/>
        <w:tblpPr w:leftFromText="180" w:rightFromText="180" w:vertAnchor="text" w:horzAnchor="page" w:tblpX="1495" w:tblpY="316"/>
        <w:tblOverlap w:val="neve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6"/>
        <w:gridCol w:w="1075"/>
        <w:gridCol w:w="3324"/>
        <w:gridCol w:w="1243"/>
        <w:gridCol w:w="2539"/>
      </w:tblGrid>
      <w:tr w14:paraId="2C61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716" w:type="dxa"/>
            <w:vMerge w:val="restart"/>
            <w:noWrap w:val="0"/>
            <w:vAlign w:val="center"/>
          </w:tcPr>
          <w:p w14:paraId="3FE54F7C">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当事人情况</w:t>
            </w:r>
          </w:p>
        </w:tc>
        <w:tc>
          <w:tcPr>
            <w:tcW w:w="1075" w:type="dxa"/>
            <w:noWrap w:val="0"/>
            <w:vAlign w:val="center"/>
          </w:tcPr>
          <w:p w14:paraId="7BBF21B0">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姓名/名称</w:t>
            </w:r>
          </w:p>
        </w:tc>
        <w:tc>
          <w:tcPr>
            <w:tcW w:w="3324" w:type="dxa"/>
            <w:noWrap w:val="0"/>
            <w:vAlign w:val="center"/>
          </w:tcPr>
          <w:p w14:paraId="637F4D67">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p>
        </w:tc>
        <w:tc>
          <w:tcPr>
            <w:tcW w:w="1243" w:type="dxa"/>
            <w:noWrap w:val="0"/>
            <w:vAlign w:val="center"/>
          </w:tcPr>
          <w:p w14:paraId="698A3E40">
            <w:pPr>
              <w:keepNext w:val="0"/>
              <w:keepLines w:val="0"/>
              <w:pageBreakBefore w:val="0"/>
              <w:widowControl w:val="0"/>
              <w:kinsoku/>
              <w:wordWrap/>
              <w:overflowPunct/>
              <w:topLinePunct w:val="0"/>
              <w:autoSpaceDE/>
              <w:autoSpaceDN/>
              <w:bidi w:val="0"/>
              <w:adjustRightInd/>
              <w:snapToGrid w:val="0"/>
              <w:spacing w:before="100" w:beforeAutospacing="1" w:after="100" w:afterAutospacing="1"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身份证件号/信用代码</w:t>
            </w:r>
          </w:p>
        </w:tc>
        <w:tc>
          <w:tcPr>
            <w:tcW w:w="2539" w:type="dxa"/>
            <w:noWrap w:val="0"/>
            <w:vAlign w:val="center"/>
          </w:tcPr>
          <w:p w14:paraId="23021B3D">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p>
        </w:tc>
      </w:tr>
      <w:tr w14:paraId="4DBA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trPr>
        <w:tc>
          <w:tcPr>
            <w:tcW w:w="716" w:type="dxa"/>
            <w:vMerge w:val="continue"/>
            <w:noWrap w:val="0"/>
            <w:vAlign w:val="center"/>
          </w:tcPr>
          <w:p w14:paraId="5BBB9BB9">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p>
        </w:tc>
        <w:tc>
          <w:tcPr>
            <w:tcW w:w="1075" w:type="dxa"/>
            <w:noWrap w:val="0"/>
            <w:vAlign w:val="center"/>
          </w:tcPr>
          <w:p w14:paraId="5977571A">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地址</w:t>
            </w:r>
          </w:p>
        </w:tc>
        <w:tc>
          <w:tcPr>
            <w:tcW w:w="3324" w:type="dxa"/>
            <w:noWrap w:val="0"/>
            <w:vAlign w:val="center"/>
          </w:tcPr>
          <w:p w14:paraId="48ECC0B2">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p>
        </w:tc>
        <w:tc>
          <w:tcPr>
            <w:tcW w:w="1243" w:type="dxa"/>
            <w:noWrap w:val="0"/>
            <w:vAlign w:val="center"/>
          </w:tcPr>
          <w:p w14:paraId="7E1537AC">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联系电话</w:t>
            </w:r>
          </w:p>
        </w:tc>
        <w:tc>
          <w:tcPr>
            <w:tcW w:w="2539" w:type="dxa"/>
            <w:noWrap w:val="0"/>
            <w:vAlign w:val="center"/>
          </w:tcPr>
          <w:p w14:paraId="13333D11">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p>
        </w:tc>
      </w:tr>
      <w:tr w14:paraId="49CE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36" w:hRule="atLeast"/>
        </w:trPr>
        <w:tc>
          <w:tcPr>
            <w:tcW w:w="716" w:type="dxa"/>
            <w:noWrap w:val="0"/>
            <w:vAlign w:val="center"/>
          </w:tcPr>
          <w:p w14:paraId="3EFE3BC6">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违法行为告知</w:t>
            </w:r>
          </w:p>
        </w:tc>
        <w:tc>
          <w:tcPr>
            <w:tcW w:w="8181" w:type="dxa"/>
            <w:gridSpan w:val="4"/>
            <w:noWrap w:val="0"/>
            <w:vAlign w:val="center"/>
          </w:tcPr>
          <w:p w14:paraId="5E2E7E67">
            <w:pPr>
              <w:keepNext w:val="0"/>
              <w:keepLines w:val="0"/>
              <w:pageBreakBefore w:val="0"/>
              <w:widowControl w:val="0"/>
              <w:kinsoku/>
              <w:wordWrap/>
              <w:overflowPunct/>
              <w:topLinePunct w:val="0"/>
              <w:autoSpaceDE/>
              <w:autoSpaceDN/>
              <w:bidi w:val="0"/>
              <w:adjustRightInd/>
              <w:spacing w:line="300" w:lineRule="exact"/>
              <w:ind w:left="0" w:leftChars="0" w:firstLine="480" w:firstLineChars="200"/>
              <w:jc w:val="left"/>
              <w:textAlignment w:val="auto"/>
              <w:rPr>
                <w:rFonts w:hint="default" w:ascii="Nimbus Roman No9 L" w:hAnsi="Nimbus Roman No9 L" w:eastAsia="方正仿宋_GBK" w:cs="Nimbus Roman No9 L"/>
                <w:color w:val="auto"/>
                <w:sz w:val="24"/>
                <w:u w:val="none"/>
                <w:lang w:val="en-US" w:eastAsia="zh-CN"/>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年</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月</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日，执法人员</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rPr>
              <w:t>、</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rPr>
              <w:t>，在</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p>
          <w:p w14:paraId="2092AE4F">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u w:val="single"/>
                <w:lang w:val="en-US" w:eastAsia="zh-CN"/>
              </w:rPr>
            </w:pP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（检查的地点或其他案件线索来源），发现当事人存在</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的违法行为</w:t>
            </w:r>
            <w:r>
              <w:rPr>
                <w:rFonts w:hint="default" w:ascii="Nimbus Roman No9 L" w:hAnsi="Nimbus Roman No9 L" w:eastAsia="方正仿宋_GBK" w:cs="Nimbus Roman No9 L"/>
                <w:color w:val="auto"/>
                <w:sz w:val="24"/>
                <w:lang w:eastAsia="zh-CN"/>
              </w:rPr>
              <w:t>，</w:t>
            </w:r>
            <w:r>
              <w:rPr>
                <w:rFonts w:hint="default" w:ascii="Nimbus Roman No9 L" w:hAnsi="Nimbus Roman No9 L" w:eastAsia="方正仿宋_GBK" w:cs="Nimbus Roman No9 L"/>
                <w:color w:val="auto"/>
                <w:spacing w:val="10"/>
                <w:sz w:val="24"/>
              </w:rPr>
              <w:t>根据</w:t>
            </w:r>
            <w:r>
              <w:rPr>
                <w:rFonts w:hint="default" w:ascii="Nimbus Roman No9 L" w:hAnsi="Nimbus Roman No9 L" w:eastAsia="方正仿宋_GBK" w:cs="Nimbus Roman No9 L"/>
                <w:color w:val="auto"/>
                <w:spacing w:val="10"/>
                <w:sz w:val="24"/>
                <w:lang w:eastAsia="zh-CN"/>
              </w:rPr>
              <w:t>《</w:t>
            </w:r>
            <w:r>
              <w:rPr>
                <w:rFonts w:hint="default" w:ascii="Nimbus Roman No9 L" w:hAnsi="Nimbus Roman No9 L" w:eastAsia="方正仿宋_GBK" w:cs="Nimbus Roman No9 L"/>
                <w:color w:val="auto"/>
                <w:spacing w:val="10"/>
                <w:sz w:val="24"/>
                <w:lang w:val="en-US" w:eastAsia="zh-CN"/>
              </w:rPr>
              <w:t xml:space="preserve">      </w:t>
            </w:r>
            <w:r>
              <w:rPr>
                <w:rFonts w:hint="default" w:ascii="Nimbus Roman No9 L" w:hAnsi="Nimbus Roman No9 L" w:eastAsia="方正仿宋_GBK" w:cs="Nimbus Roman No9 L"/>
                <w:color w:val="auto"/>
                <w:spacing w:val="10"/>
                <w:sz w:val="24"/>
                <w:lang w:eastAsia="zh-CN"/>
              </w:rPr>
              <w:t>》</w:t>
            </w:r>
            <w:r>
              <w:rPr>
                <w:rFonts w:hint="default" w:ascii="Nimbus Roman No9 L" w:hAnsi="Nimbus Roman No9 L" w:eastAsia="方正仿宋_GBK" w:cs="Nimbus Roman No9 L"/>
                <w:color w:val="auto"/>
                <w:spacing w:val="10"/>
                <w:sz w:val="24"/>
              </w:rPr>
              <w:t>第</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pacing w:val="10"/>
                <w:sz w:val="24"/>
              </w:rPr>
              <w:t>条第</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pacing w:val="10"/>
                <w:sz w:val="24"/>
              </w:rPr>
              <w:t>款第</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pacing w:val="10"/>
                <w:sz w:val="24"/>
              </w:rPr>
              <w:t>项的规定，</w:t>
            </w:r>
            <w:r>
              <w:rPr>
                <w:rFonts w:hint="default" w:ascii="Nimbus Roman No9 L" w:hAnsi="Nimbus Roman No9 L" w:eastAsia="方正仿宋_GBK" w:cs="Nimbus Roman No9 L"/>
                <w:color w:val="auto"/>
                <w:spacing w:val="10"/>
                <w:sz w:val="24"/>
                <w:lang w:eastAsia="zh-CN"/>
              </w:rPr>
              <w:t>应当处以</w:t>
            </w:r>
            <w:r>
              <w:rPr>
                <w:rFonts w:hint="default" w:ascii="Nimbus Roman No9 L" w:hAnsi="Nimbus Roman No9 L" w:eastAsia="方正仿宋_GBK" w:cs="Nimbus Roman No9 L"/>
                <w:color w:val="auto"/>
                <w:sz w:val="24"/>
                <w:u w:val="single"/>
                <w:lang w:val="en-US" w:eastAsia="zh-CN"/>
              </w:rPr>
              <w:t xml:space="preserve">     </w:t>
            </w:r>
          </w:p>
          <w:p w14:paraId="7B5E12EE">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u w:val="single"/>
                <w:lang w:val="en-US" w:eastAsia="zh-CN"/>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u w:val="none"/>
                <w:lang w:val="en-US" w:eastAsia="zh-CN"/>
              </w:rPr>
              <w:t>（处罚内容）。</w:t>
            </w:r>
            <w:r>
              <w:rPr>
                <w:rFonts w:hint="default" w:ascii="Nimbus Roman No9 L" w:hAnsi="Nimbus Roman No9 L" w:eastAsia="方正仿宋_GBK" w:cs="Nimbus Roman No9 L"/>
                <w:color w:val="auto"/>
                <w:sz w:val="24"/>
              </w:rPr>
              <w:t>经查，当事人的违法行为符合</w:t>
            </w:r>
            <w:r>
              <w:rPr>
                <w:rFonts w:hint="default" w:ascii="Nimbus Roman No9 L" w:hAnsi="Nimbus Roman No9 L" w:eastAsia="方正仿宋_GBK" w:cs="Nimbus Roman No9 L"/>
                <w:color w:val="auto"/>
                <w:sz w:val="24"/>
                <w:lang w:eastAsia="zh-CN"/>
              </w:rPr>
              <w:t>包容免罚</w:t>
            </w:r>
            <w:r>
              <w:rPr>
                <w:rFonts w:hint="default" w:ascii="Nimbus Roman No9 L" w:hAnsi="Nimbus Roman No9 L" w:eastAsia="方正仿宋_GBK" w:cs="Nimbus Roman No9 L"/>
                <w:color w:val="auto"/>
                <w:sz w:val="24"/>
              </w:rPr>
              <w:t>的适用条件。执法人员已向当事人宣传了相关法律法规规章的规定</w:t>
            </w:r>
            <w:r>
              <w:rPr>
                <w:rFonts w:hint="default" w:ascii="Nimbus Roman No9 L" w:hAnsi="Nimbus Roman No9 L" w:eastAsia="方正仿宋_GBK" w:cs="Nimbus Roman No9 L"/>
                <w:color w:val="auto"/>
                <w:sz w:val="24"/>
                <w:lang w:eastAsia="zh-CN"/>
              </w:rPr>
              <w:t>，</w:t>
            </w:r>
            <w:r>
              <w:rPr>
                <w:rFonts w:hint="default" w:ascii="Nimbus Roman No9 L" w:hAnsi="Nimbus Roman No9 L" w:eastAsia="方正仿宋_GBK" w:cs="Nimbus Roman No9 L"/>
                <w:color w:val="auto"/>
                <w:spacing w:val="10"/>
                <w:sz w:val="24"/>
              </w:rPr>
              <w:t>现责令</w:t>
            </w:r>
            <w:r>
              <w:rPr>
                <w:rFonts w:hint="default" w:ascii="Nimbus Roman No9 L" w:hAnsi="Nimbus Roman No9 L" w:eastAsia="方正仿宋_GBK" w:cs="Nimbus Roman No9 L"/>
                <w:color w:val="auto"/>
                <w:sz w:val="24"/>
              </w:rPr>
              <w:t>当事人</w:t>
            </w:r>
            <w:r>
              <w:rPr>
                <w:rFonts w:hint="default" w:ascii="Nimbus Roman No9 L" w:hAnsi="Nimbus Roman No9 L" w:eastAsia="方正仿宋_GBK" w:cs="Nimbus Roman No9 L"/>
                <w:color w:val="auto"/>
                <w:spacing w:val="-4"/>
                <w:sz w:val="24"/>
              </w:rPr>
              <w:t>立即改正</w:t>
            </w:r>
            <w:r>
              <w:rPr>
                <w:rFonts w:hint="default" w:ascii="Nimbus Roman No9 L" w:hAnsi="Nimbus Roman No9 L" w:eastAsia="方正仿宋_GBK" w:cs="Nimbus Roman No9 L"/>
                <w:color w:val="auto"/>
                <w:spacing w:val="-4"/>
                <w:sz w:val="24"/>
              </w:rPr>
              <w:sym w:font="Wingdings" w:char="00A8"/>
            </w:r>
            <w:r>
              <w:rPr>
                <w:rFonts w:hint="default" w:ascii="Nimbus Roman No9 L" w:hAnsi="Nimbus Roman No9 L" w:eastAsia="方正仿宋_GBK" w:cs="Nimbus Roman No9 L"/>
                <w:color w:val="auto"/>
                <w:spacing w:val="-4"/>
                <w:sz w:val="24"/>
              </w:rPr>
              <w:t>/</w:t>
            </w:r>
            <w:r>
              <w:rPr>
                <w:rFonts w:hint="default" w:ascii="Nimbus Roman No9 L" w:hAnsi="Nimbus Roman No9 L" w:eastAsia="方正仿宋_GBK" w:cs="Nimbus Roman No9 L"/>
                <w:color w:val="auto"/>
                <w:sz w:val="24"/>
              </w:rPr>
              <w:t>于</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年</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月</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日前整改完毕，改正要求如下：</w:t>
            </w:r>
            <w:r>
              <w:rPr>
                <w:rFonts w:hint="default" w:ascii="Nimbus Roman No9 L" w:hAnsi="Nimbus Roman No9 L" w:eastAsia="方正仿宋_GBK" w:cs="Nimbus Roman No9 L"/>
                <w:color w:val="auto"/>
                <w:sz w:val="24"/>
                <w:u w:val="single"/>
                <w:lang w:val="en-US" w:eastAsia="zh-CN"/>
              </w:rPr>
              <w:t xml:space="preserve">                                               </w:t>
            </w:r>
          </w:p>
          <w:p w14:paraId="0D1F2EB6">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u w:val="single"/>
                <w:lang w:val="en-US" w:eastAsia="zh-CN"/>
              </w:rPr>
            </w:pPr>
            <w:r>
              <w:rPr>
                <w:rFonts w:hint="default" w:ascii="Nimbus Roman No9 L" w:hAnsi="Nimbus Roman No9 L" w:eastAsia="方正仿宋_GBK" w:cs="Nimbus Roman No9 L"/>
                <w:color w:val="auto"/>
                <w:sz w:val="24"/>
                <w:u w:val="single"/>
                <w:lang w:val="en-US" w:eastAsia="zh-CN"/>
              </w:rPr>
              <w:t xml:space="preserve">                                                                        </w:t>
            </w:r>
          </w:p>
          <w:p w14:paraId="7DEBE969">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lang w:val="en-US" w:eastAsia="zh-CN"/>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p>
          <w:p w14:paraId="0854C721">
            <w:pPr>
              <w:keepNext w:val="0"/>
              <w:keepLines w:val="0"/>
              <w:pageBreakBefore w:val="0"/>
              <w:widowControl w:val="0"/>
              <w:kinsoku/>
              <w:wordWrap/>
              <w:overflowPunct/>
              <w:topLinePunct w:val="0"/>
              <w:autoSpaceDE/>
              <w:autoSpaceDN/>
              <w:bidi w:val="0"/>
              <w:adjustRightInd/>
              <w:spacing w:line="300" w:lineRule="exact"/>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lang w:val="en-US" w:eastAsia="zh-CN"/>
              </w:rPr>
              <w:t xml:space="preserve">   </w:t>
            </w:r>
          </w:p>
          <w:p w14:paraId="4FA04E93">
            <w:pPr>
              <w:keepNext w:val="0"/>
              <w:keepLines w:val="0"/>
              <w:pageBreakBefore w:val="0"/>
              <w:widowControl w:val="0"/>
              <w:kinsoku/>
              <w:wordWrap/>
              <w:overflowPunct/>
              <w:topLinePunct w:val="0"/>
              <w:autoSpaceDE/>
              <w:autoSpaceDN/>
              <w:bidi w:val="0"/>
              <w:adjustRightInd/>
              <w:snapToGrid w:val="0"/>
              <w:spacing w:line="300" w:lineRule="exact"/>
              <w:ind w:firstLine="3120" w:firstLineChars="1300"/>
              <w:textAlignment w:val="auto"/>
              <w:rPr>
                <w:rFonts w:hint="default" w:ascii="Nimbus Roman No9 L" w:hAnsi="Nimbus Roman No9 L" w:eastAsia="方正仿宋_GBK" w:cs="Nimbus Roman No9 L"/>
                <w:color w:val="auto"/>
                <w:sz w:val="24"/>
                <w:lang w:eastAsia="zh-CN"/>
              </w:rPr>
            </w:pPr>
            <w:r>
              <w:rPr>
                <w:rFonts w:hint="default" w:ascii="Nimbus Roman No9 L" w:hAnsi="Nimbus Roman No9 L" w:eastAsia="方正仿宋_GBK" w:cs="Nimbus Roman No9 L"/>
                <w:color w:val="auto"/>
                <w:sz w:val="24"/>
              </w:rPr>
              <w:t>执法人员签名：</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执法证号</w:t>
            </w:r>
            <w:r>
              <w:rPr>
                <w:rFonts w:hint="default" w:ascii="Nimbus Roman No9 L" w:hAnsi="Nimbus Roman No9 L" w:eastAsia="方正仿宋_GBK" w:cs="Nimbus Roman No9 L"/>
                <w:color w:val="auto"/>
                <w:sz w:val="24"/>
                <w:lang w:eastAsia="zh-CN"/>
              </w:rPr>
              <w:t>：</w:t>
            </w:r>
            <w:r>
              <w:rPr>
                <w:rFonts w:hint="default" w:ascii="Nimbus Roman No9 L" w:hAnsi="Nimbus Roman No9 L" w:eastAsia="方正仿宋_GBK" w:cs="Nimbus Roman No9 L"/>
                <w:color w:val="auto"/>
                <w:sz w:val="24"/>
                <w:u w:val="single"/>
                <w:lang w:val="en-US" w:eastAsia="zh-CN"/>
              </w:rPr>
              <w:t xml:space="preserve">       </w:t>
            </w:r>
          </w:p>
          <w:p w14:paraId="068EB29F">
            <w:pPr>
              <w:keepNext w:val="0"/>
              <w:keepLines w:val="0"/>
              <w:pageBreakBefore w:val="0"/>
              <w:widowControl w:val="0"/>
              <w:kinsoku/>
              <w:wordWrap/>
              <w:overflowPunct/>
              <w:topLinePunct w:val="0"/>
              <w:autoSpaceDE/>
              <w:autoSpaceDN/>
              <w:bidi w:val="0"/>
              <w:adjustRightInd/>
              <w:snapToGrid w:val="0"/>
              <w:spacing w:line="300" w:lineRule="exact"/>
              <w:ind w:firstLine="3120" w:firstLineChars="1300"/>
              <w:textAlignment w:val="auto"/>
              <w:rPr>
                <w:rFonts w:hint="default" w:ascii="Nimbus Roman No9 L" w:hAnsi="Nimbus Roman No9 L" w:eastAsia="方正仿宋_GBK" w:cs="Nimbus Roman No9 L"/>
                <w:color w:val="auto"/>
                <w:sz w:val="24"/>
                <w:lang w:eastAsia="zh-CN"/>
              </w:rPr>
            </w:pPr>
            <w:r>
              <w:rPr>
                <w:rFonts w:hint="default" w:ascii="Nimbus Roman No9 L" w:hAnsi="Nimbus Roman No9 L" w:eastAsia="方正仿宋_GBK" w:cs="Nimbus Roman No9 L"/>
                <w:color w:val="auto"/>
                <w:sz w:val="24"/>
              </w:rPr>
              <w:t>执法人员签名</w:t>
            </w:r>
            <w:r>
              <w:rPr>
                <w:rFonts w:hint="default" w:ascii="Nimbus Roman No9 L" w:hAnsi="Nimbus Roman No9 L" w:eastAsia="方正仿宋_GBK" w:cs="Nimbus Roman No9 L"/>
                <w:color w:val="auto"/>
                <w:sz w:val="24"/>
                <w:lang w:eastAsia="zh-CN"/>
              </w:rPr>
              <w:t>：</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执法证号</w:t>
            </w:r>
            <w:r>
              <w:rPr>
                <w:rFonts w:hint="default" w:ascii="Nimbus Roman No9 L" w:hAnsi="Nimbus Roman No9 L" w:eastAsia="方正仿宋_GBK" w:cs="Nimbus Roman No9 L"/>
                <w:color w:val="auto"/>
                <w:sz w:val="24"/>
                <w:lang w:eastAsia="zh-CN"/>
              </w:rPr>
              <w:t>：</w:t>
            </w:r>
            <w:r>
              <w:rPr>
                <w:rFonts w:hint="default" w:ascii="Nimbus Roman No9 L" w:hAnsi="Nimbus Roman No9 L" w:eastAsia="方正仿宋_GBK" w:cs="Nimbus Roman No9 L"/>
                <w:color w:val="auto"/>
                <w:sz w:val="24"/>
                <w:u w:val="single"/>
                <w:lang w:val="en-US" w:eastAsia="zh-CN"/>
              </w:rPr>
              <w:t xml:space="preserve">       </w:t>
            </w:r>
          </w:p>
          <w:p w14:paraId="5CF4176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 xml:space="preserve">                                         </w:t>
            </w: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年</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月</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日</w:t>
            </w:r>
          </w:p>
        </w:tc>
      </w:tr>
      <w:tr w14:paraId="756F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3" w:hRule="atLeast"/>
        </w:trPr>
        <w:tc>
          <w:tcPr>
            <w:tcW w:w="716" w:type="dxa"/>
            <w:noWrap w:val="0"/>
            <w:vAlign w:val="center"/>
          </w:tcPr>
          <w:p w14:paraId="278247B1">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当事人承诺</w:t>
            </w:r>
          </w:p>
        </w:tc>
        <w:tc>
          <w:tcPr>
            <w:tcW w:w="8181" w:type="dxa"/>
            <w:gridSpan w:val="4"/>
            <w:noWrap w:val="0"/>
            <w:vAlign w:val="center"/>
          </w:tcPr>
          <w:p w14:paraId="482A1062">
            <w:pPr>
              <w:keepNext w:val="0"/>
              <w:keepLines w:val="0"/>
              <w:pageBreakBefore w:val="0"/>
              <w:widowControl w:val="0"/>
              <w:kinsoku/>
              <w:wordWrap/>
              <w:overflowPunct/>
              <w:topLinePunct w:val="0"/>
              <w:autoSpaceDE/>
              <w:autoSpaceDN/>
              <w:bidi w:val="0"/>
              <w:adjustRightInd/>
              <w:spacing w:line="300" w:lineRule="exact"/>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（执法单位全称）：</w:t>
            </w:r>
          </w:p>
          <w:p w14:paraId="04FEB81D">
            <w:pPr>
              <w:keepNext w:val="0"/>
              <w:keepLines w:val="0"/>
              <w:pageBreakBefore w:val="0"/>
              <w:widowControl w:val="0"/>
              <w:kinsoku/>
              <w:wordWrap/>
              <w:overflowPunct/>
              <w:topLinePunct w:val="0"/>
              <w:autoSpaceDE/>
              <w:autoSpaceDN/>
              <w:bidi w:val="0"/>
              <w:adjustRightInd/>
              <w:spacing w:line="300" w:lineRule="exact"/>
              <w:ind w:firstLine="480" w:firstLineChars="200"/>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执法人员已向本人（单位）进行了相关告知和</w:t>
            </w:r>
            <w:r>
              <w:rPr>
                <w:rFonts w:hint="eastAsia" w:ascii="Nimbus Roman No9 L" w:hAnsi="Nimbus Roman No9 L" w:eastAsia="方正仿宋_GBK" w:cs="Nimbus Roman No9 L"/>
                <w:color w:val="auto"/>
                <w:sz w:val="24"/>
                <w:lang w:eastAsia="zh-CN"/>
              </w:rPr>
              <w:t>法治宣传教育</w:t>
            </w:r>
            <w:r>
              <w:rPr>
                <w:rFonts w:hint="default" w:ascii="Nimbus Roman No9 L" w:hAnsi="Nimbus Roman No9 L" w:eastAsia="方正仿宋_GBK" w:cs="Nimbus Roman No9 L"/>
                <w:color w:val="auto"/>
                <w:sz w:val="24"/>
              </w:rPr>
              <w:t>，并要求予以改正。</w:t>
            </w:r>
          </w:p>
          <w:p w14:paraId="200830B3">
            <w:pPr>
              <w:keepNext w:val="0"/>
              <w:keepLines w:val="0"/>
              <w:pageBreakBefore w:val="0"/>
              <w:widowControl w:val="0"/>
              <w:kinsoku/>
              <w:wordWrap/>
              <w:overflowPunct/>
              <w:topLinePunct w:val="0"/>
              <w:autoSpaceDE/>
              <w:autoSpaceDN/>
              <w:bidi w:val="0"/>
              <w:adjustRightInd/>
              <w:spacing w:line="300" w:lineRule="exact"/>
              <w:ind w:firstLine="480" w:firstLineChars="200"/>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本人（单位）对以上情况确认无误，并自愿承诺：</w:t>
            </w:r>
          </w:p>
          <w:p w14:paraId="2BC37CD3">
            <w:pPr>
              <w:keepNext w:val="0"/>
              <w:keepLines w:val="0"/>
              <w:pageBreakBefore w:val="0"/>
              <w:widowControl w:val="0"/>
              <w:kinsoku/>
              <w:wordWrap/>
              <w:overflowPunct/>
              <w:topLinePunct w:val="0"/>
              <w:autoSpaceDE/>
              <w:autoSpaceDN/>
              <w:bidi w:val="0"/>
              <w:adjustRightInd/>
              <w:spacing w:line="300" w:lineRule="exact"/>
              <w:ind w:firstLine="480" w:firstLineChars="200"/>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w:t>
            </w:r>
            <w:r>
              <w:rPr>
                <w:rFonts w:hint="default" w:ascii="Nimbus Roman No9 L" w:hAnsi="Nimbus Roman No9 L" w:eastAsia="方正仿宋_GBK" w:cs="Nimbus Roman No9 L"/>
                <w:color w:val="auto"/>
                <w:sz w:val="24"/>
                <w:lang w:val="en-US" w:eastAsia="zh-CN"/>
              </w:rPr>
              <w:t>1</w:t>
            </w:r>
            <w:r>
              <w:rPr>
                <w:rFonts w:hint="default" w:ascii="Nimbus Roman No9 L" w:hAnsi="Nimbus Roman No9 L" w:eastAsia="方正仿宋_GBK" w:cs="Nimbus Roman No9 L"/>
                <w:color w:val="auto"/>
                <w:sz w:val="24"/>
              </w:rPr>
              <w:t>.在</w:t>
            </w:r>
            <w:r>
              <w:rPr>
                <w:rFonts w:hint="default" w:ascii="Nimbus Roman No9 L" w:hAnsi="Nimbus Roman No9 L" w:eastAsia="方正仿宋_GBK" w:cs="Nimbus Roman No9 L"/>
                <w:color w:val="auto"/>
                <w:sz w:val="24"/>
                <w:lang w:val="en-US" w:eastAsia="zh-CN"/>
              </w:rPr>
              <w:t>XXX</w:t>
            </w:r>
            <w:r>
              <w:rPr>
                <w:rFonts w:hint="default" w:ascii="Nimbus Roman No9 L" w:hAnsi="Nimbus Roman No9 L" w:eastAsia="方正仿宋_GBK" w:cs="Nimbus Roman No9 L"/>
                <w:color w:val="auto"/>
                <w:sz w:val="24"/>
              </w:rPr>
              <w:t xml:space="preserve">X年X月X日前改正； </w:t>
            </w:r>
          </w:p>
          <w:p w14:paraId="4CB3DB3F">
            <w:pPr>
              <w:keepNext w:val="0"/>
              <w:keepLines w:val="0"/>
              <w:pageBreakBefore w:val="0"/>
              <w:widowControl w:val="0"/>
              <w:kinsoku/>
              <w:wordWrap/>
              <w:overflowPunct/>
              <w:topLinePunct w:val="0"/>
              <w:autoSpaceDE/>
              <w:autoSpaceDN/>
              <w:bidi w:val="0"/>
              <w:adjustRightInd/>
              <w:spacing w:line="300" w:lineRule="exact"/>
              <w:ind w:firstLine="480" w:firstLineChars="200"/>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w:t>
            </w:r>
            <w:r>
              <w:rPr>
                <w:rFonts w:hint="default" w:ascii="Nimbus Roman No9 L" w:hAnsi="Nimbus Roman No9 L" w:eastAsia="方正仿宋_GBK" w:cs="Nimbus Roman No9 L"/>
                <w:color w:val="auto"/>
                <w:sz w:val="24"/>
                <w:lang w:val="en-US" w:eastAsia="zh-CN"/>
              </w:rPr>
              <w:t>2</w:t>
            </w:r>
            <w:r>
              <w:rPr>
                <w:rFonts w:hint="default" w:ascii="Nimbus Roman No9 L" w:hAnsi="Nimbus Roman No9 L" w:eastAsia="方正仿宋_GBK" w:cs="Nimbus Roman No9 L"/>
                <w:color w:val="auto"/>
                <w:sz w:val="24"/>
              </w:rPr>
              <w:t>.遵守</w:t>
            </w:r>
            <w:r>
              <w:rPr>
                <w:rFonts w:hint="default" w:ascii="Nimbus Roman No9 L" w:hAnsi="Nimbus Roman No9 L" w:eastAsia="方正仿宋_GBK" w:cs="Nimbus Roman No9 L"/>
                <w:color w:val="auto"/>
                <w:sz w:val="24"/>
                <w:lang w:val="en-US" w:eastAsia="zh-CN"/>
              </w:rPr>
              <w:t>XX</w:t>
            </w:r>
            <w:r>
              <w:rPr>
                <w:rFonts w:hint="default" w:ascii="Nimbus Roman No9 L" w:hAnsi="Nimbus Roman No9 L" w:eastAsia="方正仿宋_GBK" w:cs="Nimbus Roman No9 L"/>
                <w:color w:val="auto"/>
                <w:sz w:val="24"/>
              </w:rPr>
              <w:t>法律法规规章的规定。</w:t>
            </w:r>
          </w:p>
          <w:p w14:paraId="625D1579">
            <w:pPr>
              <w:keepNext w:val="0"/>
              <w:keepLines w:val="0"/>
              <w:pageBreakBefore w:val="0"/>
              <w:widowControl w:val="0"/>
              <w:kinsoku/>
              <w:wordWrap/>
              <w:overflowPunct/>
              <w:topLinePunct w:val="0"/>
              <w:autoSpaceDE/>
              <w:autoSpaceDN/>
              <w:bidi w:val="0"/>
              <w:adjustRightInd/>
              <w:spacing w:line="300" w:lineRule="exact"/>
              <w:ind w:firstLine="480" w:firstLineChars="200"/>
              <w:jc w:val="lef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若本人（单位）未履行上述承诺的，愿依法承担相应的法律责任。</w:t>
            </w:r>
          </w:p>
          <w:p w14:paraId="1AB61EEB">
            <w:pPr>
              <w:keepNext w:val="0"/>
              <w:keepLines w:val="0"/>
              <w:pageBreakBefore w:val="0"/>
              <w:widowControl w:val="0"/>
              <w:kinsoku/>
              <w:wordWrap/>
              <w:overflowPunct/>
              <w:topLinePunct w:val="0"/>
              <w:autoSpaceDE/>
              <w:autoSpaceDN/>
              <w:bidi w:val="0"/>
              <w:adjustRightInd/>
              <w:snapToGrid w:val="0"/>
              <w:spacing w:line="300" w:lineRule="exact"/>
              <w:ind w:right="1440"/>
              <w:jc w:val="both"/>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 xml:space="preserve">                    </w:t>
            </w:r>
          </w:p>
          <w:p w14:paraId="08E8E082">
            <w:pPr>
              <w:keepNext w:val="0"/>
              <w:keepLines w:val="0"/>
              <w:pageBreakBefore w:val="0"/>
              <w:widowControl w:val="0"/>
              <w:kinsoku/>
              <w:wordWrap/>
              <w:overflowPunct/>
              <w:topLinePunct w:val="0"/>
              <w:autoSpaceDE/>
              <w:autoSpaceDN/>
              <w:bidi w:val="0"/>
              <w:adjustRightInd/>
              <w:snapToGrid w:val="0"/>
              <w:spacing w:line="300" w:lineRule="exact"/>
              <w:ind w:right="1440" w:firstLine="0" w:firstLineChars="0"/>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rPr>
              <w:t>签名或盖章：</w:t>
            </w:r>
          </w:p>
          <w:p w14:paraId="004D5B85">
            <w:pPr>
              <w:keepNext w:val="0"/>
              <w:keepLines w:val="0"/>
              <w:pageBreakBefore w:val="0"/>
              <w:widowControl w:val="0"/>
              <w:kinsoku/>
              <w:wordWrap/>
              <w:overflowPunct/>
              <w:topLinePunct w:val="0"/>
              <w:autoSpaceDE/>
              <w:autoSpaceDN/>
              <w:bidi w:val="0"/>
              <w:adjustRightInd/>
              <w:snapToGrid w:val="0"/>
              <w:spacing w:line="300" w:lineRule="exact"/>
              <w:ind w:firstLine="5520" w:firstLineChars="2300"/>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年</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月</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日</w:t>
            </w:r>
          </w:p>
        </w:tc>
      </w:tr>
      <w:tr w14:paraId="6F81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0" w:hRule="atLeast"/>
        </w:trPr>
        <w:tc>
          <w:tcPr>
            <w:tcW w:w="716" w:type="dxa"/>
            <w:noWrap w:val="0"/>
            <w:vAlign w:val="center"/>
          </w:tcPr>
          <w:p w14:paraId="50548028">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备注</w:t>
            </w:r>
          </w:p>
        </w:tc>
        <w:tc>
          <w:tcPr>
            <w:tcW w:w="8181" w:type="dxa"/>
            <w:gridSpan w:val="4"/>
            <w:noWrap w:val="0"/>
            <w:vAlign w:val="center"/>
          </w:tcPr>
          <w:p w14:paraId="6614EBE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（注明当事人的改正情况并核查后，执法人员签名）</w:t>
            </w:r>
          </w:p>
          <w:p w14:paraId="22ACFA70">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u w:val="single"/>
                <w:lang w:val="en-US" w:eastAsia="zh-CN"/>
              </w:rPr>
            </w:pPr>
            <w:r>
              <w:rPr>
                <w:rFonts w:hint="default" w:ascii="Nimbus Roman No9 L" w:hAnsi="Nimbus Roman No9 L" w:eastAsia="方正仿宋_GBK" w:cs="Nimbus Roman No9 L"/>
                <w:color w:val="auto"/>
                <w:sz w:val="24"/>
                <w:u w:val="single"/>
                <w:lang w:val="en-US" w:eastAsia="zh-CN"/>
              </w:rPr>
              <w:t xml:space="preserve">                                                                        </w:t>
            </w:r>
          </w:p>
          <w:p w14:paraId="49D0CB67">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left"/>
              <w:textAlignment w:val="auto"/>
              <w:rPr>
                <w:rFonts w:hint="default" w:ascii="Nimbus Roman No9 L" w:hAnsi="Nimbus Roman No9 L" w:eastAsia="方正仿宋_GBK" w:cs="Nimbus Roman No9 L"/>
                <w:color w:val="auto"/>
                <w:sz w:val="24"/>
                <w:lang w:val="en-US" w:eastAsia="zh-CN"/>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p>
          <w:p w14:paraId="7EDF73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lang w:val="en-US" w:eastAsia="zh-CN"/>
              </w:rPr>
              <w:t xml:space="preserve">                                                                   </w:t>
            </w:r>
          </w:p>
          <w:p w14:paraId="5E77EA99">
            <w:pPr>
              <w:keepNext w:val="0"/>
              <w:keepLines w:val="0"/>
              <w:pageBreakBefore w:val="0"/>
              <w:widowControl w:val="0"/>
              <w:kinsoku/>
              <w:wordWrap/>
              <w:overflowPunct/>
              <w:topLinePunct w:val="0"/>
              <w:autoSpaceDE/>
              <w:autoSpaceDN/>
              <w:bidi w:val="0"/>
              <w:adjustRightInd/>
              <w:snapToGrid w:val="0"/>
              <w:spacing w:line="300" w:lineRule="exact"/>
              <w:ind w:firstLine="2400" w:firstLineChars="1000"/>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执法人员签名：</w:t>
            </w:r>
          </w:p>
          <w:p w14:paraId="0078FC6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Nimbus Roman No9 L" w:hAnsi="Nimbus Roman No9 L" w:eastAsia="方正仿宋_GBK" w:cs="Nimbus Roman No9 L"/>
                <w:color w:val="auto"/>
                <w:sz w:val="24"/>
              </w:rPr>
            </w:pPr>
            <w:r>
              <w:rPr>
                <w:rFonts w:hint="default" w:ascii="Nimbus Roman No9 L" w:hAnsi="Nimbus Roman No9 L" w:eastAsia="方正仿宋_GBK" w:cs="Nimbus Roman No9 L"/>
                <w:color w:val="auto"/>
                <w:sz w:val="24"/>
              </w:rPr>
              <w:t xml:space="preserve">                                            </w:t>
            </w:r>
            <w:r>
              <w:rPr>
                <w:rFonts w:hint="default" w:ascii="Nimbus Roman No9 L" w:hAnsi="Nimbus Roman No9 L" w:eastAsia="方正仿宋_GBK" w:cs="Nimbus Roman No9 L"/>
                <w:color w:val="auto"/>
                <w:sz w:val="24"/>
                <w:lang w:val="en-US" w:eastAsia="zh-CN"/>
              </w:rPr>
              <w:t xml:space="preserve">   </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年</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月</w:t>
            </w:r>
            <w:r>
              <w:rPr>
                <w:rFonts w:hint="default" w:ascii="Nimbus Roman No9 L" w:hAnsi="Nimbus Roman No9 L" w:eastAsia="方正仿宋_GBK" w:cs="Nimbus Roman No9 L"/>
                <w:color w:val="auto"/>
                <w:sz w:val="24"/>
                <w:u w:val="single"/>
                <w:lang w:val="en-US" w:eastAsia="zh-CN"/>
              </w:rPr>
              <w:t xml:space="preserve">   </w:t>
            </w:r>
            <w:r>
              <w:rPr>
                <w:rFonts w:hint="default" w:ascii="Nimbus Roman No9 L" w:hAnsi="Nimbus Roman No9 L" w:eastAsia="方正仿宋_GBK" w:cs="Nimbus Roman No9 L"/>
                <w:color w:val="auto"/>
                <w:sz w:val="24"/>
              </w:rPr>
              <w:t>日</w:t>
            </w:r>
          </w:p>
        </w:tc>
      </w:tr>
    </w:tbl>
    <w:p w14:paraId="1724DC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Nimbus Roman No9 L">
    <w:altName w:val="微软雅黑"/>
    <w:panose1 w:val="00000000000000000000"/>
    <w:charset w:val="00"/>
    <w:family w:val="auto"/>
    <w:pitch w:val="default"/>
    <w:sig w:usb0="00000000" w:usb1="00000000" w:usb2="00000000" w:usb3="00000000" w:csb0="00040001"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3C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ACFC99">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2ACFC99">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A5501"/>
    <w:rsid w:val="023A5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2025-04-25T10:18:00Z</dcterms:created>
  <dc:creator>Mr.Gump</dc:creator>
  <cp:lastModifiedBy>Mr.Gump</cp:lastModifiedBy>
  <dcterms:modified xsi:type="dcterms:W3CDTF">2025-04-25T10:22:47Z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69EE6A4FB9FF4644A8EC87461FF687B0_11</vt:lpwstr>
  </property>
</Properties>
</file>