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760" w:firstLineChars="400"/>
        <w:jc w:val="both"/>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伊犁哈萨克自治州农业农村局</w:t>
      </w:r>
    </w:p>
    <w:p>
      <w:pPr>
        <w:pStyle w:val="2"/>
        <w:jc w:val="center"/>
        <w:rPr>
          <w:rFonts w:hint="default"/>
          <w:lang w:val="en-US" w:eastAsia="zh-CN"/>
        </w:rPr>
      </w:pPr>
      <w:r>
        <w:rPr>
          <w:rFonts w:hint="eastAsia" w:ascii="方正小标宋_GBK" w:hAnsi="方正小标宋_GBK" w:eastAsia="方正小标宋_GBK" w:cs="方正小标宋_GBK"/>
          <w:sz w:val="44"/>
          <w:szCs w:val="44"/>
          <w:lang w:val="en-US" w:eastAsia="zh-CN"/>
        </w:rPr>
        <w:t>文件</w:t>
      </w:r>
    </w:p>
    <w:p>
      <w:pPr>
        <w:pStyle w:val="3"/>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伊犁哈萨克自治州 财 政  局</w:t>
      </w:r>
    </w:p>
    <w:p>
      <w:pPr>
        <w:spacing w:line="560" w:lineRule="exact"/>
        <w:jc w:val="both"/>
        <w:rPr>
          <w:rFonts w:hint="default"/>
          <w:lang w:val="en-US" w:eastAsia="zh-CN"/>
        </w:rPr>
      </w:pPr>
      <w:r>
        <w:rPr>
          <w:rFonts w:hint="eastAsia"/>
          <w:u w:val="thick"/>
          <w:lang w:val="en-US" w:eastAsia="zh-CN"/>
        </w:rPr>
        <w:t xml:space="preserve">                                   </w:t>
      </w:r>
      <w:r>
        <w:rPr>
          <w:rFonts w:hint="eastAsia"/>
          <w:sz w:val="32"/>
          <w:szCs w:val="32"/>
          <w:u w:val="thick"/>
          <w:lang w:val="en-US" w:eastAsia="zh-CN"/>
        </w:rPr>
        <w:t xml:space="preserve"> 伊州农业字【2021】45号 </w:t>
      </w:r>
      <w:r>
        <w:rPr>
          <w:rFonts w:hint="eastAsia"/>
          <w:u w:val="thick"/>
          <w:lang w:val="en-US" w:eastAsia="zh-CN"/>
        </w:rPr>
        <w:t xml:space="preserve">                                   </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文星简小标宋" w:eastAsia="文星简小标宋"/>
          <w:sz w:val="36"/>
          <w:szCs w:val="36"/>
        </w:rPr>
      </w:pPr>
      <w:r>
        <w:rPr>
          <w:rFonts w:hint="eastAsia" w:ascii="方正小标宋_GBK" w:hAnsi="方正小标宋_GBK" w:eastAsia="方正小标宋_GBK" w:cs="方正小标宋_GBK"/>
          <w:sz w:val="36"/>
          <w:szCs w:val="36"/>
        </w:rPr>
        <w:t>关于印发《</w:t>
      </w:r>
      <w:r>
        <w:rPr>
          <w:rFonts w:hint="eastAsia" w:ascii="方正小标宋_GBK" w:hAnsi="方正小标宋_GBK" w:eastAsia="方正小标宋_GBK" w:cs="方正小标宋_GBK"/>
          <w:sz w:val="36"/>
          <w:szCs w:val="36"/>
          <w:lang w:eastAsia="zh-CN"/>
        </w:rPr>
        <w:t>伊犁州</w:t>
      </w:r>
      <w:r>
        <w:rPr>
          <w:rFonts w:hint="eastAsia" w:ascii="方正小标宋_GBK" w:hAnsi="方正小标宋_GBK" w:eastAsia="方正小标宋_GBK" w:cs="方正小标宋_GBK"/>
          <w:sz w:val="36"/>
          <w:szCs w:val="36"/>
        </w:rPr>
        <w:t>2021-2023年农业机械购置补贴实施方案》的通知</w:t>
      </w:r>
    </w:p>
    <w:p>
      <w:pPr>
        <w:pStyle w:val="2"/>
        <w:spacing w:after="0" w:line="520" w:lineRule="exact"/>
        <w:ind w:left="0" w:leftChars="0" w:firstLine="640"/>
        <w:rPr>
          <w:rFonts w:ascii="Times New Roman" w:hAnsi="Times New Roman" w:eastAsia="仿宋_GB2312"/>
          <w:color w:val="000000"/>
          <w:sz w:val="36"/>
          <w:szCs w:val="36"/>
        </w:rPr>
      </w:pPr>
    </w:p>
    <w:p>
      <w:pPr>
        <w:pStyle w:val="2"/>
        <w:spacing w:after="0" w:line="600" w:lineRule="exact"/>
        <w:ind w:left="0" w:leftChars="0" w:firstLine="0" w:firstLineChars="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各</w:t>
      </w:r>
      <w:r>
        <w:rPr>
          <w:rFonts w:hint="eastAsia" w:ascii="Times New Roman" w:hAnsi="Times New Roman" w:eastAsia="仿宋_GB2312"/>
          <w:color w:val="000000"/>
          <w:sz w:val="32"/>
          <w:szCs w:val="32"/>
          <w:lang w:eastAsia="zh-CN"/>
        </w:rPr>
        <w:t>县</w:t>
      </w:r>
      <w:r>
        <w:rPr>
          <w:rFonts w:hint="eastAsia" w:ascii="Times New Roman" w:hAnsi="Times New Roman" w:eastAsia="仿宋_GB2312"/>
          <w:color w:val="000000"/>
          <w:sz w:val="32"/>
          <w:szCs w:val="32"/>
        </w:rPr>
        <w:t>市农业农村局、财政局：</w:t>
      </w:r>
    </w:p>
    <w:p>
      <w:pPr>
        <w:pStyle w:val="2"/>
        <w:spacing w:after="0" w:line="600" w:lineRule="exact"/>
        <w:ind w:left="0" w:leftChars="0"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为指导各</w:t>
      </w:r>
      <w:r>
        <w:rPr>
          <w:rFonts w:hint="eastAsia" w:ascii="Times New Roman" w:hAnsi="Times New Roman" w:eastAsia="仿宋_GB2312"/>
          <w:color w:val="000000"/>
          <w:sz w:val="32"/>
          <w:szCs w:val="32"/>
          <w:lang w:val="en-US" w:eastAsia="zh-CN"/>
        </w:rPr>
        <w:t>县市</w:t>
      </w:r>
      <w:r>
        <w:rPr>
          <w:rFonts w:ascii="Times New Roman" w:hAnsi="Times New Roman" w:eastAsia="仿宋_GB2312"/>
          <w:color w:val="000000"/>
          <w:sz w:val="32"/>
          <w:szCs w:val="32"/>
        </w:rPr>
        <w:t>规范实施农机购置补贴政策，充分发挥政策效益，推动农业机械化向全程全面高质高效转型升级，助力全面</w:t>
      </w:r>
      <w:r>
        <w:rPr>
          <w:rFonts w:hint="eastAsia" w:ascii="Times New Roman" w:hAnsi="Times New Roman" w:eastAsia="仿宋_GB2312"/>
          <w:color w:val="000000"/>
          <w:sz w:val="32"/>
          <w:szCs w:val="32"/>
        </w:rPr>
        <w:t>推进</w:t>
      </w:r>
      <w:r>
        <w:rPr>
          <w:rFonts w:ascii="Times New Roman" w:hAnsi="Times New Roman" w:eastAsia="仿宋_GB2312"/>
          <w:color w:val="000000"/>
          <w:sz w:val="32"/>
          <w:szCs w:val="32"/>
        </w:rPr>
        <w:t>乡村振兴和加快农业农村现代化，</w:t>
      </w:r>
      <w:r>
        <w:rPr>
          <w:rFonts w:hint="eastAsia" w:ascii="Times New Roman" w:hAnsi="Times New Roman" w:eastAsia="仿宋_GB2312"/>
          <w:color w:val="000000"/>
          <w:sz w:val="32"/>
          <w:szCs w:val="32"/>
          <w:lang w:eastAsia="zh-CN"/>
        </w:rPr>
        <w:t>根据自治区</w:t>
      </w:r>
      <w:r>
        <w:rPr>
          <w:rFonts w:ascii="Times New Roman" w:hAnsi="Times New Roman" w:eastAsia="仿宋_GB2312"/>
          <w:color w:val="000000"/>
          <w:sz w:val="32"/>
          <w:szCs w:val="32"/>
        </w:rPr>
        <w:t>农业农村厅、财政厅《新疆维吾尔自治区2021-2023年农业机械购置补贴实施方案》</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新</w:t>
      </w:r>
      <w:r>
        <w:rPr>
          <w:rFonts w:ascii="Times New Roman" w:hAnsi="Times New Roman" w:eastAsia="仿宋_GB2312"/>
          <w:color w:val="auto"/>
          <w:sz w:val="32"/>
          <w:szCs w:val="32"/>
        </w:rPr>
        <w:t>农</w:t>
      </w:r>
      <w:r>
        <w:rPr>
          <w:rFonts w:hint="eastAsia" w:ascii="Times New Roman" w:hAnsi="Times New Roman" w:eastAsia="仿宋_GB2312"/>
          <w:color w:val="auto"/>
          <w:sz w:val="32"/>
          <w:szCs w:val="32"/>
          <w:lang w:eastAsia="zh-CN"/>
        </w:rPr>
        <w:t>机</w:t>
      </w:r>
      <w:r>
        <w:rPr>
          <w:rFonts w:ascii="Times New Roman" w:hAnsi="Times New Roman" w:eastAsia="仿宋_GB2312"/>
          <w:color w:val="auto"/>
          <w:sz w:val="32"/>
          <w:szCs w:val="32"/>
        </w:rPr>
        <w:t>〔2021〕</w:t>
      </w:r>
      <w:r>
        <w:rPr>
          <w:rFonts w:hint="eastAsia" w:ascii="Times New Roman" w:hAnsi="Times New Roman" w:eastAsia="仿宋_GB2312"/>
          <w:color w:val="auto"/>
          <w:sz w:val="32"/>
          <w:szCs w:val="32"/>
          <w:lang w:val="en-US" w:eastAsia="zh-CN"/>
        </w:rPr>
        <w:t>94</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精神</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组织制定了</w:t>
      </w:r>
      <w:r>
        <w:rPr>
          <w:rFonts w:hint="eastAsia" w:ascii="Times New Roman" w:hAnsi="Times New Roman" w:eastAsia="仿宋_GB2312"/>
          <w:color w:val="000000"/>
          <w:sz w:val="32"/>
          <w:szCs w:val="32"/>
        </w:rPr>
        <w:t>《伊犁州2021-2023年农业机械购置补贴实施方案》</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印发</w:t>
      </w:r>
      <w:r>
        <w:rPr>
          <w:rFonts w:hint="eastAsia" w:ascii="Times New Roman" w:hAnsi="Times New Roman" w:eastAsia="仿宋_GB2312"/>
          <w:color w:val="000000"/>
          <w:sz w:val="32"/>
          <w:szCs w:val="32"/>
          <w:lang w:eastAsia="zh-CN"/>
        </w:rPr>
        <w:t>给</w:t>
      </w:r>
      <w:r>
        <w:rPr>
          <w:rFonts w:hint="eastAsia" w:ascii="Times New Roman" w:hAnsi="Times New Roman" w:eastAsia="仿宋_GB2312"/>
          <w:color w:val="000000"/>
          <w:sz w:val="32"/>
          <w:szCs w:val="32"/>
        </w:rPr>
        <w:t>你们，请遵照执行。</w:t>
      </w: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2"/>
        <w:spacing w:after="0" w:line="600" w:lineRule="exact"/>
        <w:ind w:left="0" w:leftChars="0" w:firstLine="64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附件：1.</w:t>
      </w:r>
      <w:r>
        <w:rPr>
          <w:rFonts w:hint="eastAsia" w:ascii="Times New Roman" w:hAnsi="Times New Roman" w:eastAsia="仿宋_GB2312"/>
          <w:color w:val="000000"/>
          <w:spacing w:val="-20"/>
          <w:sz w:val="32"/>
          <w:szCs w:val="32"/>
          <w:lang w:eastAsia="zh-CN"/>
        </w:rPr>
        <w:t>伊犁州</w:t>
      </w:r>
      <w:r>
        <w:rPr>
          <w:rFonts w:hint="eastAsia" w:ascii="Times New Roman" w:hAnsi="Times New Roman" w:eastAsia="仿宋_GB2312"/>
          <w:color w:val="000000"/>
          <w:spacing w:val="-20"/>
          <w:sz w:val="32"/>
          <w:szCs w:val="32"/>
        </w:rPr>
        <w:t>2021-2023年农业机械购置补贴实施方案</w:t>
      </w:r>
    </w:p>
    <w:p>
      <w:pPr>
        <w:pStyle w:val="2"/>
        <w:spacing w:after="0" w:line="600" w:lineRule="exact"/>
        <w:ind w:left="0" w:leftChars="0" w:firstLine="64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2.</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2023年</w:t>
      </w:r>
      <w:r>
        <w:rPr>
          <w:rFonts w:hint="eastAsia" w:ascii="Times New Roman" w:hAnsi="Times New Roman" w:eastAsia="仿宋_GB2312"/>
          <w:color w:val="000000"/>
          <w:sz w:val="32"/>
          <w:szCs w:val="32"/>
        </w:rPr>
        <w:t>新疆维吾尔自治区农机购置补贴机具</w:t>
      </w:r>
    </w:p>
    <w:p>
      <w:pPr>
        <w:pStyle w:val="2"/>
        <w:spacing w:after="0" w:line="600" w:lineRule="exact"/>
        <w:ind w:left="0" w:leftChars="0" w:firstLine="64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种类范围</w:t>
      </w:r>
    </w:p>
    <w:p>
      <w:pPr>
        <w:ind w:firstLine="960" w:firstLineChars="300"/>
        <w:jc w:val="both"/>
        <w:rPr>
          <w:rFonts w:hint="default" w:eastAsiaTheme="minorEastAsia"/>
          <w:sz w:val="28"/>
          <w:szCs w:val="28"/>
          <w:lang w:val="en-US" w:eastAsia="zh-CN"/>
        </w:rPr>
      </w:pPr>
      <w:r>
        <w:rPr>
          <w:rFonts w:hint="eastAsia" w:ascii="Times New Roman" w:hAnsi="Times New Roman" w:eastAsia="仿宋_GB2312"/>
          <w:color w:val="000000"/>
          <w:sz w:val="32"/>
          <w:szCs w:val="32"/>
          <w:lang w:val="en-US" w:eastAsia="zh-CN"/>
        </w:rPr>
        <w:t xml:space="preserve">     3.</w:t>
      </w:r>
      <w:r>
        <w:rPr>
          <w:rFonts w:hint="eastAsia" w:ascii="仿宋" w:hAnsi="仿宋" w:eastAsia="仿宋" w:cs="仿宋"/>
          <w:b w:val="0"/>
          <w:bCs w:val="0"/>
          <w:sz w:val="32"/>
          <w:szCs w:val="32"/>
          <w:lang w:val="en-US" w:eastAsia="zh-CN"/>
        </w:rPr>
        <w:t>2021年农机购置补贴资金分配方案</w:t>
      </w:r>
      <w:r>
        <w:rPr>
          <w:rFonts w:hint="eastAsia" w:ascii="仿宋" w:hAnsi="仿宋" w:eastAsia="仿宋" w:cs="仿宋"/>
          <w:b w:val="0"/>
          <w:bCs w:val="0"/>
          <w:sz w:val="32"/>
          <w:szCs w:val="32"/>
          <w:lang w:eastAsia="zh-CN"/>
        </w:rPr>
        <w:tab/>
      </w:r>
    </w:p>
    <w:p>
      <w:pPr>
        <w:pStyle w:val="3"/>
        <w:rPr>
          <w:rFonts w:hint="default" w:eastAsia="仿宋_GB2312"/>
          <w:lang w:val="en-US" w:eastAsia="zh-CN"/>
        </w:rPr>
      </w:pPr>
    </w:p>
    <w:p>
      <w:pPr>
        <w:pStyle w:val="7"/>
        <w:widowControl w:val="0"/>
        <w:snapToGrid w:val="0"/>
        <w:spacing w:before="0" w:beforeAutospacing="0" w:after="0" w:afterAutospacing="0" w:line="560" w:lineRule="exact"/>
        <w:ind w:firstLine="880"/>
        <w:jc w:val="both"/>
        <w:rPr>
          <w:rFonts w:hint="eastAsia"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ind w:firstLine="880"/>
        <w:jc w:val="both"/>
        <w:rPr>
          <w:rFonts w:hint="eastAsia"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2"/>
        <w:spacing w:after="0" w:line="600" w:lineRule="exact"/>
        <w:ind w:left="0" w:leftChars="0" w:firstLine="640"/>
        <w:jc w:val="center"/>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伊犁州</w:t>
      </w:r>
      <w:r>
        <w:rPr>
          <w:rFonts w:hint="eastAsia" w:ascii="Times New Roman" w:hAnsi="Times New Roman" w:eastAsia="仿宋_GB2312"/>
          <w:color w:val="000000"/>
          <w:sz w:val="32"/>
          <w:szCs w:val="32"/>
        </w:rPr>
        <w:t>农业农村</w:t>
      </w:r>
      <w:r>
        <w:rPr>
          <w:rFonts w:hint="eastAsia" w:ascii="Times New Roman" w:hAnsi="Times New Roman" w:eastAsia="仿宋_GB2312"/>
          <w:color w:val="000000"/>
          <w:sz w:val="32"/>
          <w:szCs w:val="32"/>
          <w:lang w:eastAsia="zh-CN"/>
        </w:rPr>
        <w:t>局</w:t>
      </w:r>
      <w:r>
        <w:rPr>
          <w:rFonts w:hint="eastAsia"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eastAsia="zh-CN"/>
        </w:rPr>
        <w:t>伊犁州财政局</w:t>
      </w:r>
    </w:p>
    <w:p>
      <w:pPr>
        <w:pStyle w:val="2"/>
        <w:spacing w:after="0" w:line="600" w:lineRule="exact"/>
        <w:ind w:left="0" w:leftChars="0" w:firstLine="640"/>
        <w:jc w:val="cente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2021年</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 xml:space="preserve">9 </w:t>
      </w:r>
      <w:r>
        <w:rPr>
          <w:rFonts w:hint="eastAsia" w:ascii="Times New Roman" w:hAnsi="Times New Roman" w:eastAsia="仿宋_GB2312"/>
          <w:color w:val="000000"/>
          <w:sz w:val="32"/>
          <w:szCs w:val="32"/>
        </w:rPr>
        <w:t>日</w:t>
      </w: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40" w:lineRule="exact"/>
        <w:jc w:val="both"/>
        <w:rPr>
          <w:rFonts w:hint="eastAsia" w:ascii="黑体" w:hAnsi="黑体" w:eastAsia="黑体"/>
          <w:color w:val="000000"/>
          <w:sz w:val="36"/>
          <w:szCs w:val="36"/>
          <w:lang w:bidi="ar"/>
        </w:rPr>
      </w:pPr>
      <w:r>
        <w:rPr>
          <w:rFonts w:hint="eastAsia" w:ascii="仿宋" w:hAnsi="仿宋" w:eastAsia="仿宋" w:cs="仿宋"/>
          <w:color w:val="000000"/>
          <w:sz w:val="32"/>
          <w:szCs w:val="32"/>
          <w:lang w:bidi="ar"/>
        </w:rPr>
        <w:t>附件</w:t>
      </w:r>
      <w:r>
        <w:rPr>
          <w:rFonts w:hint="eastAsia" w:ascii="黑体" w:hAnsi="黑体" w:eastAsia="黑体"/>
          <w:color w:val="000000"/>
          <w:sz w:val="36"/>
          <w:szCs w:val="36"/>
          <w:lang w:bidi="ar"/>
        </w:rPr>
        <w:t>1</w:t>
      </w: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lang w:eastAsia="zh-CN"/>
        </w:rPr>
        <w:t>伊犁州</w:t>
      </w:r>
      <w:r>
        <w:rPr>
          <w:rFonts w:ascii="Times New Roman" w:hAnsi="Times New Roman" w:eastAsia="方正小标宋简体" w:cs="Times New Roman"/>
          <w:color w:val="000000"/>
          <w:sz w:val="36"/>
          <w:szCs w:val="36"/>
        </w:rPr>
        <w:t>2021</w:t>
      </w:r>
      <w:r>
        <w:rPr>
          <w:rFonts w:hint="eastAsia" w:ascii="Times New Roman" w:hAnsi="Times New Roman" w:eastAsia="方正小标宋简体" w:cs="Times New Roman"/>
          <w:color w:val="000000"/>
          <w:sz w:val="36"/>
          <w:szCs w:val="36"/>
        </w:rPr>
        <w:t>-</w:t>
      </w:r>
      <w:r>
        <w:rPr>
          <w:rFonts w:ascii="Times New Roman" w:hAnsi="Times New Roman" w:eastAsia="方正小标宋简体" w:cs="Times New Roman"/>
          <w:color w:val="000000"/>
          <w:sz w:val="36"/>
          <w:szCs w:val="36"/>
        </w:rPr>
        <w:t>2023年农业机械购置</w:t>
      </w: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补贴实施方案</w:t>
      </w:r>
    </w:p>
    <w:p>
      <w:pPr>
        <w:pStyle w:val="7"/>
        <w:widowControl w:val="0"/>
        <w:snapToGrid w:val="0"/>
        <w:spacing w:before="0" w:beforeAutospacing="0" w:after="0" w:afterAutospacing="0" w:line="560" w:lineRule="exact"/>
        <w:jc w:val="center"/>
        <w:rPr>
          <w:rFonts w:ascii="Times New Roman" w:hAnsi="Times New Roman" w:eastAsia="方正小标宋简体" w:cs="Times New Roman"/>
          <w:color w:val="000000"/>
          <w:sz w:val="44"/>
          <w:szCs w:val="44"/>
        </w:rPr>
      </w:pPr>
    </w:p>
    <w:p>
      <w:pPr>
        <w:pStyle w:val="7"/>
        <w:widowControl w:val="0"/>
        <w:snapToGrid w:val="0"/>
        <w:spacing w:before="0" w:beforeAutospacing="0" w:after="0" w:afterAutospacing="0" w:line="560" w:lineRule="exact"/>
        <w:ind w:firstLine="640" w:firstLineChars="200"/>
        <w:rPr>
          <w:rFonts w:ascii="Times New Roman" w:hAnsi="Times New Roman" w:eastAsia="黑体" w:cs="Times New Roman"/>
          <w:color w:val="000000"/>
          <w:sz w:val="32"/>
          <w:szCs w:val="32"/>
        </w:rPr>
      </w:pPr>
    </w:p>
    <w:p>
      <w:pPr>
        <w:pStyle w:val="7"/>
        <w:widowControl w:val="0"/>
        <w:snapToGrid w:val="0"/>
        <w:spacing w:before="0" w:beforeAutospacing="0" w:after="0" w:afterAutospacing="0"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一、总体要求</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w:t>
      </w:r>
    </w:p>
    <w:p>
      <w:pPr>
        <w:pStyle w:val="7"/>
        <w:widowControl w:val="0"/>
        <w:snapToGrid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二、补贴范围和补贴机具</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享受中央财政补贴的机具种类范围为15大类4</w:t>
      </w:r>
      <w:r>
        <w:rPr>
          <w:rFonts w:ascii="Times New Roman" w:hAnsi="Times New Roman" w:eastAsia="仿宋_GB2312" w:cs="Times New Roman"/>
          <w:color w:val="000000"/>
          <w:sz w:val="32"/>
          <w:szCs w:val="32"/>
          <w:lang w:val="en"/>
        </w:rPr>
        <w:t>2</w:t>
      </w:r>
      <w:r>
        <w:rPr>
          <w:rFonts w:ascii="Times New Roman" w:hAnsi="Times New Roman" w:eastAsia="仿宋_GB2312" w:cs="Times New Roman"/>
          <w:color w:val="000000"/>
          <w:sz w:val="32"/>
          <w:szCs w:val="32"/>
        </w:rPr>
        <w:t>个小类1</w:t>
      </w:r>
      <w:r>
        <w:rPr>
          <w:rFonts w:ascii="Times New Roman" w:hAnsi="Times New Roman" w:eastAsia="仿宋_GB2312" w:cs="Times New Roman"/>
          <w:color w:val="000000"/>
          <w:sz w:val="32"/>
          <w:szCs w:val="32"/>
          <w:lang w:val="en"/>
        </w:rPr>
        <w:t>55</w:t>
      </w:r>
      <w:r>
        <w:rPr>
          <w:rFonts w:ascii="Times New Roman" w:hAnsi="Times New Roman" w:eastAsia="仿宋_GB2312" w:cs="Times New Roman"/>
          <w:color w:val="000000"/>
          <w:sz w:val="32"/>
          <w:szCs w:val="32"/>
        </w:rPr>
        <w:t>个品目（详见附件</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可以根据农业生产需要和资金供需实际，从自治区补贴范围中选取本区域补贴机具品目，优先保障粮棉、林果、畜牧养殖、设施、特色等重要农产品生产以及支持残膜回收、翻堆肥</w:t>
      </w:r>
      <w:r>
        <w:rPr>
          <w:rFonts w:hint="eastAsia" w:ascii="Times New Roman" w:hAnsi="Times New Roman" w:eastAsia="仿宋_GB2312" w:cs="Times New Roman"/>
          <w:color w:val="000000"/>
          <w:sz w:val="32"/>
          <w:szCs w:val="32"/>
        </w:rPr>
        <w:t>、国产北斗智能终端设备</w:t>
      </w:r>
      <w:r>
        <w:rPr>
          <w:rFonts w:ascii="Times New Roman" w:hAnsi="Times New Roman" w:eastAsia="仿宋_GB2312" w:cs="Times New Roman"/>
          <w:color w:val="000000"/>
          <w:sz w:val="32"/>
          <w:szCs w:val="32"/>
        </w:rPr>
        <w:t>等农业绿色发展和数字化发展所需机具的补贴需要，</w:t>
      </w:r>
      <w:r>
        <w:rPr>
          <w:rFonts w:hint="eastAsia" w:ascii="Times New Roman" w:hAnsi="Times New Roman" w:eastAsia="仿宋_GB2312" w:cs="Times New Roman"/>
          <w:color w:val="000000"/>
          <w:sz w:val="32"/>
          <w:szCs w:val="32"/>
        </w:rPr>
        <w:t>推动更多应用“北斗+”和“+北斗”模式，确保农业生产数据安全，</w:t>
      </w:r>
      <w:r>
        <w:rPr>
          <w:rFonts w:ascii="Times New Roman" w:hAnsi="Times New Roman" w:eastAsia="仿宋_GB2312" w:cs="Times New Roman"/>
          <w:color w:val="000000"/>
          <w:sz w:val="32"/>
          <w:szCs w:val="32"/>
        </w:rPr>
        <w:t>将更多符合条件的高端、复式、智能产品纳入补贴，提高补贴标准，加大补贴力度。</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特色农业发展所需和小区域适用性强的机具，可列入</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级财政安排资金的补贴范围，具体补贴机具品目和补贴标准由</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自定，不得占用中央财政补贴资金。</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大力支持农机创新产品列入补贴范围。全面贯彻落实新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w:t>
      </w:r>
      <w:r>
        <w:rPr>
          <w:rFonts w:hint="eastAsia" w:ascii="Times New Roman" w:hAnsi="Times New Roman" w:eastAsia="仿宋_GB2312" w:cs="Times New Roman"/>
          <w:color w:val="000000"/>
          <w:sz w:val="32"/>
          <w:szCs w:val="32"/>
        </w:rPr>
        <w:t>蔬菜</w:t>
      </w:r>
      <w:r>
        <w:rPr>
          <w:rFonts w:ascii="Times New Roman" w:hAnsi="Times New Roman" w:eastAsia="仿宋_GB2312" w:cs="Times New Roman"/>
          <w:color w:val="000000"/>
          <w:sz w:val="32"/>
          <w:szCs w:val="32"/>
        </w:rPr>
        <w:t>初加工成套设备、</w:t>
      </w:r>
      <w:r>
        <w:rPr>
          <w:rFonts w:hint="eastAsia" w:ascii="Times New Roman" w:hAnsi="Times New Roman" w:eastAsia="仿宋_GB2312" w:cs="Times New Roman"/>
          <w:color w:val="000000"/>
          <w:sz w:val="32"/>
          <w:szCs w:val="32"/>
        </w:rPr>
        <w:t>林果初加工成套设备、</w:t>
      </w:r>
      <w:r>
        <w:rPr>
          <w:rFonts w:ascii="Times New Roman" w:hAnsi="Times New Roman" w:eastAsia="仿宋_GB2312" w:cs="Times New Roman"/>
          <w:color w:val="000000"/>
          <w:sz w:val="32"/>
          <w:szCs w:val="32"/>
        </w:rPr>
        <w:t>蜜蜂养殖及蜂产品初加工成套设施装备等。植保无人驾驶航空器购置补贴操作办法另行通知，在此之前，继续按有关规定实施引导植保无人飞机规范应用试点。</w:t>
      </w:r>
    </w:p>
    <w:p>
      <w:pPr>
        <w:pStyle w:val="7"/>
        <w:widowControl w:val="0"/>
        <w:snapToGrid w:val="0"/>
        <w:spacing w:before="0" w:beforeAutospacing="0" w:after="0" w:afterAutospacing="0" w:line="540" w:lineRule="exact"/>
        <w:ind w:firstLine="640"/>
        <w:jc w:val="both"/>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三、补贴对象和补贴标准</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中央财政农机购置补贴实行定额补贴，即同一种类、同一档次农业机械实行统一的补贴标准。其中，通用类机具补贴额不超过农业农村部发布的最高补贴额。</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棉花收获机单机、成套设施装备单套补贴限额不超过60万元。</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围绕粮食生产薄弱环节以及高端、复式、智能农机产品的推广应用，选择不超过10个品目的产品提高补贴额，其补贴额测算比例可提高至35%。</w:t>
      </w:r>
      <w:r>
        <w:rPr>
          <w:rFonts w:hint="eastAsia" w:ascii="Times New Roman" w:hAnsi="Times New Roman" w:eastAsia="仿宋_GB2312" w:cs="Times New Roman"/>
          <w:color w:val="000000"/>
          <w:sz w:val="32"/>
          <w:szCs w:val="32"/>
          <w:lang w:eastAsia="zh-CN"/>
        </w:rPr>
        <w:t>根据自治区新农机【</w:t>
      </w:r>
      <w:r>
        <w:rPr>
          <w:rFonts w:hint="eastAsia" w:ascii="Times New Roman" w:hAnsi="Times New Roman" w:eastAsia="仿宋_GB2312" w:cs="Times New Roman"/>
          <w:color w:val="000000"/>
          <w:sz w:val="32"/>
          <w:szCs w:val="32"/>
          <w:lang w:val="en-US" w:eastAsia="zh-CN"/>
        </w:rPr>
        <w:t>2021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94号文件要求，</w:t>
      </w:r>
      <w:r>
        <w:rPr>
          <w:rFonts w:ascii="Times New Roman" w:hAnsi="Times New Roman" w:eastAsia="仿宋_GB2312" w:cs="Times New Roman"/>
          <w:color w:val="000000"/>
          <w:sz w:val="32"/>
          <w:szCs w:val="32"/>
        </w:rPr>
        <w:t>2021年起，对区域内保有量明显过多、技术相对落后的轮式拖拉机等机具品目或档次降低补贴标准，确保到2023年将其补贴机具补贴额测算比例降低至15%及以下。</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保持补贴额总体稳定，全面公开农机购置补贴机具分类分档与补贴额一览表，加强宣传，引导购机者根据各档次的补贴定额自主议价，不再对外公布具体产品的补贴额。</w:t>
      </w:r>
    </w:p>
    <w:p>
      <w:pPr>
        <w:pStyle w:val="7"/>
        <w:widowControl w:val="0"/>
        <w:snapToGrid w:val="0"/>
        <w:spacing w:before="0" w:beforeAutospacing="0" w:after="0" w:afterAutospacing="0" w:line="540" w:lineRule="exact"/>
        <w:ind w:firstLine="6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在政策实施过程中发现具体产品或档次的中央财政资金实际补贴比例超过50%的，应及时上报或组织调查，对有违规情节的，按相关规定处理；对无违规情节的补贴申请，可按原规定兑付补贴资金。自治区农业农村厅组织对相关产品及其所属档次补贴额进行评估，视情况及时调整。</w:t>
      </w:r>
    </w:p>
    <w:p>
      <w:pPr>
        <w:pStyle w:val="7"/>
        <w:widowControl w:val="0"/>
        <w:snapToGrid w:val="0"/>
        <w:spacing w:before="0" w:beforeAutospacing="0" w:after="0" w:afterAutospacing="0" w:line="540" w:lineRule="exact"/>
        <w:ind w:firstLine="6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对每一类补贴对象年度内享受补贴购置农机具的台（套）数量或补贴资金总额应设置上限，由各县市结合实际自行确定。</w:t>
      </w:r>
    </w:p>
    <w:p>
      <w:pPr>
        <w:pStyle w:val="7"/>
        <w:widowControl w:val="0"/>
        <w:snapToGrid w:val="0"/>
        <w:spacing w:before="0" w:beforeAutospacing="0" w:after="0" w:afterAutospacing="0" w:line="54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开展农机专项鉴定产品购置补贴、农机新产品购置补贴试点以及确定提高补贴额产品品目的相关具体工作要求另行通知。</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四、资金分配与使用</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农机购置补贴支出主要用于支持购置先进适用农业机械，以及开展有关试点和农机报废更新等方面。各</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农业农村部门会同财政部门采用因素法测算分配资金，不突破县级需求上限分配补贴资金，调减资金结转量大、政策实施风险高、资金使用效益低</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的预算规模。财政部门会同农业农村部门加强资金使用情况监测，定期调度和发布各县（市）资金使用进度，督促相关县（市）优先使用结转资金，督促预算执行较慢地区加快使用，并按需组织开展县（市）际余缺调剂，重点将实施进度低于序时进度县（市）的补贴资金调增给已出现供需缺口的县（市），确保不发生资金大量结转，促进资金使用实现两年动态紧平衡。对于上年超录部分的优先使用下年年度资金进行兑付，兑付标准按照上年标准执行。</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进一步加快推进农机报废更新补贴工作。县市农业农村部门依据《新疆维吾尔自治区农业机械化促进条例》第三章第二十三条之规定，以及《新疆维吾尔自治区农业机械报废更新补贴实施方案》（新农机〔2020〕151号）规定的申报公布流程，对提交报废农机回收资质认定申请的农机合作社或其他企业，予以现场核查、公示，对符合要求的颁发《新疆维吾尔自治区报废农机回收企业认定书》，准予从事报废农机回收。依据《新疆维吾尔自治区农业机械化促进条例》第四十三条规定及《新疆维吾尔自治区农业机械报废更新补贴实施方案》相关规定，加强对报废农机回收企业的依法监督管理。</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农机购置补贴</w:t>
      </w:r>
      <w:r>
        <w:rPr>
          <w:rFonts w:hint="eastAsia" w:ascii="Times New Roman" w:hAnsi="Times New Roman" w:eastAsia="仿宋_GB2312" w:cs="Times New Roman"/>
          <w:color w:val="000000"/>
          <w:sz w:val="32"/>
          <w:szCs w:val="32"/>
          <w:lang w:val="en-US" w:eastAsia="zh-CN"/>
        </w:rPr>
        <w:t>属约束性任务</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资金</w:t>
      </w:r>
      <w:r>
        <w:rPr>
          <w:rFonts w:ascii="Times New Roman" w:hAnsi="Times New Roman" w:eastAsia="仿宋_GB2312" w:cs="Times New Roman"/>
          <w:color w:val="000000"/>
          <w:sz w:val="32"/>
          <w:szCs w:val="32"/>
        </w:rPr>
        <w:t>必须足额保障，不得用于其他任务支出。对于挪用专项资金现象，将严格按照相关财经纪律进行处理，并相应调减来年资金分配数量。各级财政部门要保障补贴工作实施必要的组织管理经费。</w:t>
      </w:r>
    </w:p>
    <w:p>
      <w:pPr>
        <w:pStyle w:val="7"/>
        <w:widowControl w:val="0"/>
        <w:snapToGrid w:val="0"/>
        <w:spacing w:before="0" w:beforeAutospacing="0" w:after="0" w:afterAutospacing="0" w:line="540" w:lineRule="exact"/>
        <w:ind w:firstLine="64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五、操作流程</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各地农机购置补贴政策实施工作按以下流程操作。</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（一）发布实施规定。</w:t>
      </w:r>
      <w:r>
        <w:rPr>
          <w:rFonts w:ascii="Times New Roman" w:hAnsi="Times New Roman" w:eastAsia="仿宋_GB2312" w:cs="Times New Roman"/>
          <w:color w:val="000000"/>
          <w:sz w:val="32"/>
          <w:szCs w:val="32"/>
        </w:rPr>
        <w:t>各级农业农村、财政管理部门按职责分工和有关规定发布本地区农机购置补贴实施方案、操作程序、补贴额一览表、补贴机具信息表、咨询投诉举报电话等信息。</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（二）组织机具投档。</w:t>
      </w:r>
      <w:r>
        <w:rPr>
          <w:rFonts w:ascii="Times New Roman" w:hAnsi="Times New Roman" w:eastAsia="仿宋_GB2312" w:cs="Times New Roman"/>
          <w:color w:val="000000"/>
          <w:sz w:val="32"/>
          <w:szCs w:val="32"/>
        </w:rPr>
        <w:t>自治区农业农村部门按照《农机购置补贴机具投档工作规范（试行）》等要求，全面运用农机购置补贴机具自主投档平台，常年受理企业投档，组织开展形式审核，公示公布投档结果，并导入办理服务系统。</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（三）受理补贴申请。</w:t>
      </w:r>
      <w:r>
        <w:rPr>
          <w:rFonts w:ascii="Times New Roman" w:hAnsi="Times New Roman" w:eastAsia="仿宋_GB2312" w:cs="Times New Roman"/>
          <w:color w:val="000000"/>
          <w:sz w:val="32"/>
          <w:szCs w:val="32"/>
        </w:rPr>
        <w:t>县级农业农村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相关县应及时发布公告，停止受理补贴申请。</w:t>
      </w:r>
    </w:p>
    <w:p>
      <w:pPr>
        <w:pStyle w:val="7"/>
        <w:widowControl w:val="0"/>
        <w:snapToGrid w:val="0"/>
        <w:spacing w:before="0" w:beforeAutospacing="0" w:after="0" w:afterAutospacing="0" w:line="540" w:lineRule="exact"/>
        <w:ind w:firstLine="64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（四）审验公示信息。</w:t>
      </w:r>
      <w:r>
        <w:rPr>
          <w:rFonts w:ascii="Times New Roman" w:hAnsi="Times New Roman" w:eastAsia="仿宋_GB2312" w:cs="Times New Roman"/>
          <w:color w:val="000000"/>
          <w:sz w:val="32"/>
          <w:szCs w:val="32"/>
        </w:rPr>
        <w:t>县级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7"/>
        <w:widowControl w:val="0"/>
        <w:snapToGrid w:val="0"/>
        <w:spacing w:before="0" w:beforeAutospacing="0" w:after="0" w:afterAutospacing="0" w:line="540" w:lineRule="exact"/>
        <w:ind w:firstLine="64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（五）兑付补贴资金。</w:t>
      </w:r>
      <w:r>
        <w:rPr>
          <w:rFonts w:ascii="Times New Roman" w:hAnsi="Times New Roman" w:eastAsia="仿宋_GB2312" w:cs="Times New Roman"/>
          <w:color w:val="000000"/>
          <w:sz w:val="32"/>
          <w:szCs w:val="32"/>
        </w:rPr>
        <w:t>县级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pStyle w:val="7"/>
        <w:widowControl w:val="0"/>
        <w:snapToGrid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7"/>
        <w:widowControl w:val="0"/>
        <w:snapToGrid w:val="0"/>
        <w:spacing w:before="0" w:beforeAutospacing="0" w:after="0" w:afterAutospacing="0" w:line="540" w:lineRule="exact"/>
        <w:ind w:firstLine="640"/>
        <w:jc w:val="both"/>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六、工作要求</w:t>
      </w:r>
    </w:p>
    <w:p>
      <w:pPr>
        <w:widowControl/>
        <w:spacing w:line="540" w:lineRule="exact"/>
        <w:ind w:firstLine="640" w:firstLineChars="200"/>
        <w:jc w:val="left"/>
        <w:rPr>
          <w:rFonts w:eastAsia="仿宋_GB2312"/>
          <w:color w:val="000000"/>
          <w:kern w:val="0"/>
          <w:sz w:val="32"/>
          <w:szCs w:val="32"/>
        </w:rPr>
      </w:pPr>
      <w:r>
        <w:rPr>
          <w:rFonts w:eastAsia="楷体"/>
          <w:color w:val="000000"/>
          <w:sz w:val="32"/>
          <w:szCs w:val="32"/>
        </w:rPr>
        <w:t>（一）加强领导，明确分工。</w:t>
      </w:r>
      <w:r>
        <w:rPr>
          <w:rFonts w:eastAsia="仿宋_GB2312"/>
          <w:color w:val="000000"/>
          <w:kern w:val="0"/>
          <w:sz w:val="32"/>
          <w:szCs w:val="32"/>
        </w:rPr>
        <w:t>各级农业农村、财政部门要建立健全政府领导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级及以下农业农村部门组织实施、审核和监管责任和财政部门资金兑付、资金监管责任。要加强绩效管理，强化闭环管理，切实提升政策实施管理工作能力水平。</w:t>
      </w:r>
    </w:p>
    <w:p>
      <w:pPr>
        <w:pStyle w:val="7"/>
        <w:widowControl w:val="0"/>
        <w:snapToGrid w:val="0"/>
        <w:spacing w:before="0" w:beforeAutospacing="0" w:after="0" w:afterAutospacing="0" w:line="540" w:lineRule="exact"/>
        <w:ind w:firstLine="665"/>
        <w:jc w:val="both"/>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（二）优化服务，提升效能。</w:t>
      </w:r>
      <w:r>
        <w:rPr>
          <w:rFonts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要依托农机购置补贴申请办理服务系统（以下简称“办理服务系统”），动态分析基层农业农村和财政部门办理补贴申请具体时限，及时预警和定期通报超时办理行为，督促各</w:t>
      </w:r>
      <w:r>
        <w:rPr>
          <w:rFonts w:hint="eastAsia" w:ascii="Times New Roman" w:hAnsi="Times New Roman" w:eastAsia="仿宋_GB2312" w:cs="Times New Roman"/>
          <w:color w:val="000000"/>
          <w:sz w:val="32"/>
          <w:szCs w:val="32"/>
          <w:lang w:eastAsia="zh-CN"/>
        </w:rPr>
        <w:t>乡镇</w:t>
      </w:r>
      <w:r>
        <w:rPr>
          <w:rFonts w:ascii="Times New Roman" w:hAnsi="Times New Roman" w:eastAsia="仿宋_GB2312" w:cs="Times New Roman"/>
          <w:color w:val="000000"/>
          <w:sz w:val="32"/>
          <w:szCs w:val="32"/>
        </w:rPr>
        <w:t>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pPr>
        <w:pStyle w:val="7"/>
        <w:widowControl w:val="0"/>
        <w:snapToGrid w:val="0"/>
        <w:spacing w:before="0" w:beforeAutospacing="0" w:after="0" w:afterAutospacing="0" w:line="540" w:lineRule="exact"/>
        <w:ind w:firstLine="665"/>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进农机深松、植保等作业数据信息上传工作，实现作业机具与新疆农机作业综合管理服务平台的数据对接，促进机械化和信息化的融合发展。积极推动农机购置补贴机具二维码应用试点工作，推广应用手机App、人脸识别、补贴机具二维码管理和物联网监控等技术集成应用，加快推进补贴全流程线上办理，实现“手机办补贴，农户少跑腿、信息化监督”的管理目标，解决机具核验难题。</w:t>
      </w:r>
    </w:p>
    <w:p>
      <w:pPr>
        <w:pStyle w:val="7"/>
        <w:widowControl w:val="0"/>
        <w:snapToGrid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（三）公开信息，接受监督。</w:t>
      </w:r>
      <w:r>
        <w:rPr>
          <w:rFonts w:ascii="Times New Roman" w:hAnsi="Times New Roman" w:eastAsia="仿宋_GB2312" w:cs="Times New Roman"/>
          <w:color w:val="000000"/>
          <w:sz w:val="32"/>
          <w:szCs w:val="32"/>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户信息，公开违规查处结果等信息，主动接受社会监督。</w:t>
      </w:r>
    </w:p>
    <w:p>
      <w:pPr>
        <w:widowControl/>
        <w:spacing w:line="540" w:lineRule="exact"/>
        <w:jc w:val="left"/>
        <w:rPr>
          <w:rFonts w:eastAsia="仿宋_GB2312"/>
          <w:color w:val="000000"/>
          <w:kern w:val="0"/>
          <w:sz w:val="32"/>
          <w:szCs w:val="32"/>
        </w:rPr>
      </w:pPr>
      <w:r>
        <w:rPr>
          <w:rFonts w:eastAsia="楷体"/>
          <w:color w:val="000000"/>
          <w:sz w:val="32"/>
          <w:szCs w:val="32"/>
        </w:rPr>
        <w:t xml:space="preserve">   （四）严肃纪律，防控风险。</w:t>
      </w:r>
      <w:r>
        <w:rPr>
          <w:rFonts w:eastAsia="仿宋_GB2312"/>
          <w:color w:val="000000"/>
          <w:kern w:val="0"/>
          <w:sz w:val="32"/>
          <w:szCs w:val="32"/>
        </w:rPr>
        <w:t>各</w:t>
      </w:r>
      <w:r>
        <w:rPr>
          <w:rFonts w:hint="eastAsia" w:eastAsia="仿宋_GB2312"/>
          <w:color w:val="000000"/>
          <w:kern w:val="0"/>
          <w:sz w:val="32"/>
          <w:szCs w:val="32"/>
          <w:lang w:eastAsia="zh-CN"/>
        </w:rPr>
        <w:t>县市</w:t>
      </w:r>
      <w:r>
        <w:rPr>
          <w:rFonts w:eastAsia="仿宋_GB2312"/>
          <w:color w:val="000000"/>
          <w:kern w:val="0"/>
          <w:sz w:val="32"/>
          <w:szCs w:val="32"/>
        </w:rPr>
        <w:t>要强化对农业农村和财政部门及其所属事业单位参与农机购置补贴关键重点工作人员的廉政教育和业务培训，提高补贴工作人员业务素质和风险防控能力。严禁有关人员以各种形式直接或间接进行补贴机具经营活动。各级农业农村、财政部门要以农机购置补贴实施操作流程为主线，逐项工作、逐一环节梳理查找风险点，有针对性地制定防控措施，切实提升补贴政策实施规范性，有效保障补贴资金安全。</w:t>
      </w:r>
    </w:p>
    <w:p>
      <w:pPr>
        <w:pStyle w:val="7"/>
        <w:widowControl w:val="0"/>
        <w:snapToGrid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（五）加强监管，严惩违规。</w:t>
      </w:r>
      <w:r>
        <w:rPr>
          <w:rFonts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要全面贯彻本</w:t>
      </w:r>
      <w:r>
        <w:rPr>
          <w:rFonts w:hint="eastAsia" w:ascii="Times New Roman" w:hAnsi="Times New Roman" w:eastAsia="仿宋_GB2312" w:cs="Times New Roman"/>
          <w:color w:val="000000"/>
          <w:sz w:val="32"/>
          <w:szCs w:val="32"/>
        </w:rPr>
        <w:t>方案</w:t>
      </w:r>
      <w:r>
        <w:rPr>
          <w:rFonts w:ascii="Times New Roman" w:hAnsi="Times New Roman" w:eastAsia="仿宋_GB2312" w:cs="Times New Roman"/>
          <w:color w:val="000000"/>
          <w:sz w:val="32"/>
          <w:szCs w:val="32"/>
        </w:rPr>
        <w:t>和《农业农村部办公厅、财政部办公厅关于进一步加强农机购置补贴政策监管强化纪律约束的通知》（农办机〔2019〕6号）《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w:t>
      </w:r>
      <w:r>
        <w:rPr>
          <w:rFonts w:hint="eastAsia" w:ascii="Times New Roman" w:hAnsi="Times New Roman" w:eastAsia="仿宋_GB2312" w:cs="Times New Roman"/>
          <w:color w:val="000000"/>
          <w:sz w:val="32"/>
          <w:szCs w:val="32"/>
        </w:rPr>
        <w:t>跨区</w:t>
      </w:r>
      <w:r>
        <w:rPr>
          <w:rFonts w:ascii="Times New Roman" w:hAnsi="Times New Roman" w:eastAsia="仿宋_GB2312" w:cs="Times New Roman"/>
          <w:color w:val="000000"/>
          <w:sz w:val="32"/>
          <w:szCs w:val="32"/>
        </w:rPr>
        <w:t>联动处理，从严整治突出违规行为，有效维护政策实施良好秩序。</w:t>
      </w:r>
    </w:p>
    <w:p>
      <w:pPr>
        <w:pStyle w:val="7"/>
        <w:widowControl w:val="0"/>
        <w:snapToGrid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eastAsia="zh-CN"/>
        </w:rPr>
        <w:t>县市</w:t>
      </w:r>
      <w:r>
        <w:rPr>
          <w:rFonts w:ascii="Times New Roman" w:hAnsi="Times New Roman" w:eastAsia="仿宋_GB2312" w:cs="Times New Roman"/>
          <w:color w:val="000000"/>
          <w:sz w:val="32"/>
          <w:szCs w:val="32"/>
        </w:rPr>
        <w:t>农业农村、财政部门要根据本实施方案，结合实际制定印发本地2021-2023年实施方案，并抄报</w:t>
      </w:r>
      <w:r>
        <w:rPr>
          <w:rFonts w:hint="eastAsia" w:ascii="Times New Roman" w:hAnsi="Times New Roman" w:eastAsia="仿宋_GB2312" w:cs="Times New Roman"/>
          <w:color w:val="000000"/>
          <w:sz w:val="32"/>
          <w:szCs w:val="32"/>
          <w:lang w:eastAsia="zh-CN"/>
        </w:rPr>
        <w:t>州</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color w:val="000000"/>
          <w:sz w:val="32"/>
          <w:szCs w:val="32"/>
        </w:rPr>
        <w:t>、财政</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color w:val="000000"/>
          <w:sz w:val="32"/>
          <w:szCs w:val="32"/>
        </w:rPr>
        <w:t>。每年12月1</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日前，要将全年中央财政农机购置补贴政策实施（含试点工作开展情况）总结报告报送</w:t>
      </w:r>
      <w:r>
        <w:rPr>
          <w:rFonts w:hint="eastAsia" w:ascii="Times New Roman" w:hAnsi="Times New Roman" w:eastAsia="仿宋_GB2312" w:cs="Times New Roman"/>
          <w:color w:val="000000"/>
          <w:sz w:val="32"/>
          <w:szCs w:val="32"/>
          <w:lang w:eastAsia="zh-CN"/>
        </w:rPr>
        <w:t>州</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color w:val="000000"/>
          <w:sz w:val="32"/>
          <w:szCs w:val="32"/>
        </w:rPr>
        <w:t>、财政</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color w:val="000000"/>
          <w:sz w:val="32"/>
          <w:szCs w:val="32"/>
        </w:rPr>
        <w:t>。</w:t>
      </w:r>
    </w:p>
    <w:p>
      <w:pPr>
        <w:pStyle w:val="7"/>
        <w:widowControl w:val="0"/>
        <w:snapToGrid w:val="0"/>
        <w:spacing w:before="0" w:beforeAutospacing="0" w:after="0" w:afterAutospacing="0" w:line="540" w:lineRule="exact"/>
        <w:jc w:val="both"/>
        <w:rPr>
          <w:rFonts w:hint="eastAsia" w:ascii="黑体" w:hAnsi="黑体" w:eastAsia="黑体"/>
          <w:color w:val="000000"/>
          <w:sz w:val="32"/>
          <w:szCs w:val="32"/>
          <w:lang w:bidi="ar"/>
        </w:rPr>
      </w:pPr>
      <w:r>
        <w:rPr>
          <w:rFonts w:hint="eastAsia" w:ascii="黑体" w:hAnsi="黑体" w:eastAsia="黑体"/>
          <w:color w:val="000000"/>
          <w:sz w:val="32"/>
          <w:szCs w:val="32"/>
          <w:lang w:bidi="ar"/>
        </w:rPr>
        <w:t>附件2</w:t>
      </w:r>
    </w:p>
    <w:p>
      <w:pPr>
        <w:pStyle w:val="4"/>
        <w:widowControl w:val="0"/>
        <w:spacing w:before="0" w:beforeAutospacing="0" w:after="0" w:afterAutospacing="0" w:line="540" w:lineRule="exact"/>
        <w:jc w:val="center"/>
        <w:rPr>
          <w:rFonts w:hint="eastAsia" w:ascii="黑体" w:hAnsi="黑体" w:eastAsia="黑体" w:cs="黑体"/>
          <w:b w:val="0"/>
          <w:bCs w:val="0"/>
          <w:color w:val="000000"/>
          <w:sz w:val="32"/>
          <w:szCs w:val="32"/>
        </w:rPr>
      </w:pPr>
      <w:bookmarkStart w:id="0" w:name="_Toc26437937"/>
      <w:bookmarkStart w:id="1" w:name="_Toc26450801"/>
      <w:bookmarkStart w:id="2" w:name="_Toc26438089"/>
      <w:r>
        <w:rPr>
          <w:rFonts w:ascii="黑体" w:hAnsi="黑体" w:eastAsia="黑体" w:cs="黑体"/>
          <w:b w:val="0"/>
          <w:bCs w:val="0"/>
          <w:color w:val="000000"/>
          <w:sz w:val="32"/>
          <w:szCs w:val="32"/>
          <w:lang w:bidi="ar"/>
        </w:rPr>
        <w:t>2021</w:t>
      </w:r>
      <w:r>
        <w:rPr>
          <w:rFonts w:hint="eastAsia" w:ascii="黑体" w:hAnsi="黑体" w:eastAsia="黑体" w:cs="黑体"/>
          <w:b w:val="0"/>
          <w:bCs w:val="0"/>
          <w:color w:val="000000"/>
          <w:sz w:val="32"/>
          <w:szCs w:val="32"/>
          <w:lang w:bidi="ar"/>
        </w:rPr>
        <w:t>-</w:t>
      </w:r>
      <w:r>
        <w:rPr>
          <w:rFonts w:ascii="黑体" w:hAnsi="黑体" w:eastAsia="黑体" w:cs="黑体"/>
          <w:b w:val="0"/>
          <w:bCs w:val="0"/>
          <w:color w:val="000000"/>
          <w:sz w:val="32"/>
          <w:szCs w:val="32"/>
          <w:lang w:bidi="ar"/>
        </w:rPr>
        <w:t>2023年</w:t>
      </w:r>
      <w:r>
        <w:rPr>
          <w:rFonts w:hint="eastAsia" w:ascii="黑体" w:hAnsi="黑体" w:eastAsia="黑体" w:cs="黑体"/>
          <w:b w:val="0"/>
          <w:bCs w:val="0"/>
          <w:color w:val="000000"/>
          <w:sz w:val="32"/>
          <w:szCs w:val="32"/>
          <w:lang w:bidi="ar"/>
        </w:rPr>
        <w:t>新疆维吾尔自治区农机购置补贴机具种类范围</w:t>
      </w:r>
      <w:bookmarkEnd w:id="0"/>
      <w:bookmarkEnd w:id="1"/>
      <w:bookmarkEnd w:id="2"/>
    </w:p>
    <w:p>
      <w:pPr>
        <w:pStyle w:val="5"/>
        <w:spacing w:before="0" w:beforeLines="0" w:after="0" w:afterLines="0" w:line="540" w:lineRule="exac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15</w:t>
      </w:r>
      <w:r>
        <w:rPr>
          <w:rFonts w:hint="eastAsia" w:ascii="仿宋_GB2312" w:hAnsi="仿宋_GB2312" w:eastAsia="仿宋_GB2312" w:cs="仿宋_GB2312"/>
          <w:color w:val="000000"/>
          <w:sz w:val="32"/>
          <w:szCs w:val="32"/>
          <w:lang w:bidi="ar"/>
        </w:rPr>
        <w:t>大类</w:t>
      </w:r>
      <w:r>
        <w:rPr>
          <w:rFonts w:ascii="仿宋_GB2312" w:hAnsi="仿宋_GB2312" w:eastAsia="仿宋_GB2312" w:cs="仿宋_GB2312"/>
          <w:color w:val="000000"/>
          <w:sz w:val="32"/>
          <w:szCs w:val="32"/>
          <w:lang w:bidi="ar"/>
        </w:rPr>
        <w:t>4</w:t>
      </w:r>
      <w:r>
        <w:rPr>
          <w:rFonts w:hint="eastAsia" w:ascii="仿宋_GB2312" w:hAnsi="仿宋_GB2312" w:eastAsia="仿宋_GB2312" w:cs="仿宋_GB2312"/>
          <w:color w:val="000000"/>
          <w:sz w:val="32"/>
          <w:szCs w:val="32"/>
          <w:lang w:bidi="ar"/>
        </w:rPr>
        <w:t>2个小类</w:t>
      </w:r>
      <w:r>
        <w:rPr>
          <w:rFonts w:ascii="仿宋_GB2312" w:hAnsi="仿宋_GB2312" w:eastAsia="仿宋_GB2312" w:cs="仿宋_GB2312"/>
          <w:color w:val="000000"/>
          <w:sz w:val="32"/>
          <w:szCs w:val="32"/>
          <w:lang w:bidi="ar"/>
        </w:rPr>
        <w:t>1</w:t>
      </w:r>
      <w:r>
        <w:rPr>
          <w:rFonts w:hint="eastAsia" w:ascii="仿宋_GB2312" w:hAnsi="仿宋_GB2312" w:eastAsia="仿宋_GB2312" w:cs="仿宋_GB2312"/>
          <w:color w:val="000000"/>
          <w:sz w:val="32"/>
          <w:szCs w:val="32"/>
          <w:lang w:bidi="ar"/>
        </w:rPr>
        <w:t>5</w:t>
      </w:r>
      <w:r>
        <w:rPr>
          <w:rFonts w:ascii="仿宋_GB2312" w:hAnsi="仿宋_GB2312" w:eastAsia="仿宋_GB2312" w:cs="仿宋_GB2312"/>
          <w:color w:val="000000"/>
          <w:sz w:val="32"/>
          <w:szCs w:val="32"/>
          <w:lang w:val="en" w:bidi="ar"/>
        </w:rPr>
        <w:t>5</w:t>
      </w:r>
      <w:r>
        <w:rPr>
          <w:rFonts w:hint="eastAsia" w:ascii="仿宋_GB2312" w:hAnsi="仿宋_GB2312" w:eastAsia="仿宋_GB2312" w:cs="仿宋_GB2312"/>
          <w:color w:val="000000"/>
          <w:sz w:val="32"/>
          <w:szCs w:val="32"/>
          <w:lang w:bidi="ar"/>
        </w:rPr>
        <w:t>个品目）</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耕整地机械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1.1耕地机械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1.1.1铧式犁</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1.1.2圆盘犁</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1.1.3旋耕机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1.1.4深松机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1.1.5开沟机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1.1.6耕整机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1.1.7微耕机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1.2整地机械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1.2.1圆盘耙</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1.2.2起垄机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1.2.3灭茬机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1.2.4筑埂机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1.2.5铺膜机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1.2.6联合整地机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1.2.7埋茬起浆机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种植施肥机械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2.1播种机械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2.1.1条播机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2.1.2穴播机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2.1.3小粒种子播种机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2.1.4根茎作物播种机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2.1.5免耕播种机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2.1.6铺膜播种机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2.1.7水稻直播机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2.1.8精量播种机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2.1.9整地施肥播种机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2.2育苗机械设备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2.2.1种子播前处理设备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2.2.2营养钵压制机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2.2.3秧盘播种成套设备（含床土处理）</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2.3栽植机械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2.3.1水稻插秧机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2.3.2秧苗移栽机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2.4施肥机械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2.4.1施肥机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2.4.2撒肥机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2.4.3追肥机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田间管理机械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3.1中耕机械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3.1.1中耕机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3.1.2培土机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3.1.3埋藤机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3.1.4田园管理机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3.2植保机械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3.2.1动力喷雾机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3.2.2喷杆喷雾机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3.2.3风送喷雾机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3.2.4植保无人驾驶航空器</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3.3修剪机械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3.3.2果树修剪机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3.3.</w:t>
      </w:r>
      <w:r>
        <w:rPr>
          <w:rFonts w:hint="eastAsia" w:ascii="仿宋_GB2312" w:hAnsi="仿宋_GB2312" w:eastAsia="仿宋_GB2312" w:cs="仿宋_GB2312"/>
          <w:color w:val="000000"/>
          <w:sz w:val="32"/>
          <w:szCs w:val="32"/>
        </w:rPr>
        <w:t>3枝条切碎机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4.1谷物收获机械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4.1.1割晒机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4.1.2自走轮式谷物联合收割机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4.1.3自走履带式谷物联合收割机（全喂入）</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4.1.4半喂入联合收割机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4.2玉米收获机械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4.2.1自走式玉米收获机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4.2.2自走式玉米籽粒联合收获机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4.2.3穗茎兼收玉米收获机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4.2.4玉米收获专用割台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4.3棉麻作物收获机械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4.3.1棉花收获机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4.4果实收获机械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4.4.1</w:t>
      </w:r>
      <w:r>
        <w:rPr>
          <w:rFonts w:ascii="仿宋_GB2312" w:hAnsi="仿宋_GB2312" w:eastAsia="仿宋_GB2312" w:cs="仿宋_GB2312"/>
          <w:color w:val="000000"/>
          <w:sz w:val="32"/>
          <w:szCs w:val="32"/>
        </w:rPr>
        <w:t>果实捡拾机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4.4.2番茄收获机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4.4.3</w:t>
      </w:r>
      <w:r>
        <w:rPr>
          <w:rFonts w:hint="eastAsia" w:ascii="仿宋_GB2312" w:hAnsi="仿宋_GB2312" w:eastAsia="仿宋_GB2312" w:cs="仿宋_GB2312"/>
          <w:color w:val="000000"/>
          <w:sz w:val="32"/>
          <w:szCs w:val="32"/>
        </w:rPr>
        <w:t>辣椒收获机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4.5蔬菜收获机械</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4.5.1果类蔬菜收获机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4.7籽粒作物收获机械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4.7.1油菜籽收获机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4.7.2葵花籽收获机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4.8根茎作物收获机械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4.8.1薯类收获机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4.8.2甜菜收获机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4.8.5花生收获机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4.9饲料作物收获机械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4.9.1割草机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4.9.2搂草机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4.9.3打（压）捆机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4.9.4圆草捆包膜机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4.9.5青饲料收获机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4.10茎秆收集处理机械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4.10.1秸秆粉碎还田机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4.10.2高秆作物割晒机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收获后处理机械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5.1脱粒机械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5.1.1稻麦脱粒机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5.1.2玉米脱粒机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5.1.3花生摘果机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5.2清选机械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5.2.1风筛清选机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5.2.2重力清选机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5.2.3窝眼清选机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5.2.4复式清选机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5.3干燥机械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5.3.1谷物烘干机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5.3.2果蔬烘干机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5.3.3油菜籽烘干机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5.4种子加工机械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5.4.1种子清选机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农产品初加工机械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6.1碾米机械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6.1.1碾米机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6.1.2组合米机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6.2磨粉（浆）机械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6.2.1磨粉机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6.2.2磨浆机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6.3果蔬加工机械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6.3.1水果分级机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6.3.2水果清洗机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6.3.3水果打蜡机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6.3.4蔬菜清洗机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6.5剥壳（去皮）机械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6.5.1玉米剥皮机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6.5.2花生脱壳机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6.5.3干坚果脱壳机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6.5.4剥（刮）麻机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农用搬运机械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7.1装卸机械</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7.1.1抓草机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排灌机械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8.1水泵</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8.1.1离心泵</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8.1.2潜水电泵</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8.2喷灌机械设备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8.2.1喷灌机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8.2.2微灌设备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8.2.3灌溉首部（含灌溉水增压设备、过滤设备、水质软化设备、灌溉施肥一体化设备以及营养液消毒设备等）</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畜牧机械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9.1饲料（草）加工机械设备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9.1.1铡草机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9.1.2青贮切碎机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9.1.3揉丝机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9.1.4压块机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9.1.5饲料（草）粉碎机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9.1.6饲料混合机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9.1.7颗粒饲料压制机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9.1.8饲料制备（搅拌）机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9.2饲养机械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9.2.1孵化机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9.2.2喂料机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9.2.3送料机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9.2.4清粪机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9.2.5粪污固液分离机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9.3畜产品采集加工机械设备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9.3.1挤奶机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9.3.2剪羊毛机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9.3.3贮奶（冷藏）罐</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水产机械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10.1水产养殖机械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10.1.1增氧机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10.1.2投饲机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网箱养殖设备</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10.2水产捕捞机械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10.2.1绞纲机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10.2.2船用油污水分离装置</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农业废弃物利用处理设备</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11.1废弃物处理设备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11.1.1废弃物料烘干机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残膜回收机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沼液沼渣抽排设备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秸秆压块（粒、棒）机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病死畜禽无害化处理设备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有机废弃物好氧发酵翻堆机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有机废弃物干式厌氧发酵装置</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农田基本建设机械</w:t>
      </w:r>
    </w:p>
    <w:p>
      <w:pPr>
        <w:pStyle w:val="7"/>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12.1</w:t>
      </w:r>
      <w:r>
        <w:rPr>
          <w:rFonts w:ascii="仿宋_GB2312" w:hAnsi="仿宋_GB2312" w:eastAsia="仿宋_GB2312" w:cs="仿宋_GB2312"/>
          <w:color w:val="000000"/>
          <w:sz w:val="32"/>
          <w:szCs w:val="32"/>
        </w:rPr>
        <w:t>挖掘机械</w:t>
      </w:r>
    </w:p>
    <w:p>
      <w:pPr>
        <w:pStyle w:val="7"/>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12.1.1挖坑机</w:t>
      </w:r>
    </w:p>
    <w:p>
      <w:pPr>
        <w:pStyle w:val="7"/>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12.2</w:t>
      </w:r>
      <w:r>
        <w:rPr>
          <w:rFonts w:hint="eastAsia" w:ascii="仿宋_GB2312" w:hAnsi="仿宋_GB2312" w:eastAsia="仿宋_GB2312" w:cs="仿宋_GB2312"/>
          <w:color w:val="000000"/>
          <w:sz w:val="32"/>
          <w:szCs w:val="32"/>
        </w:rPr>
        <w:t>平地机械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.1平地机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设施农业设备</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13.1温室大棚设备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13.1.1电动卷帘机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13.1.2热风炉</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13.2食用菌生产设备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.1蒸汽灭菌设备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13.2.2食用菌料装瓶（袋）机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动力机械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14.1拖拉机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14.1.1轮式拖拉机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14.1.2手扶拖拉机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14.1.3履带式拖拉机</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其他机械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15.1养蜂设备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15.1.1养蜂平台</w:t>
      </w:r>
    </w:p>
    <w:p>
      <w:pPr>
        <w:pStyle w:val="7"/>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15.2其他机械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驱动耙</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籽棉清理机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水帘降温设备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热水加温系统</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简易保鲜储藏设备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水井钻机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旋耕播种机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大米色选机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杂粮色选机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秸秆膨化机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畜禽粪便发酵处理机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农业用北斗终端（含渔船用）</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沼气发电机组</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有机肥加工设备</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根（块）茎作物收获机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果园作业平台</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果园轨道运输机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秸秆收集机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瓜果取籽机</w:t>
      </w:r>
    </w:p>
    <w:p>
      <w:pPr>
        <w:pStyle w:val="7"/>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脱蓬（脯）机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15.2.2</w:t>
      </w: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莲子剥壳去皮机</w:t>
      </w: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15.2.27水产养殖水质监控设备</w:t>
      </w:r>
    </w:p>
    <w:p>
      <w:pPr>
        <w:jc w:val="both"/>
        <w:rPr>
          <w:rFonts w:hint="eastAsia"/>
          <w:b/>
          <w:bCs/>
          <w:sz w:val="32"/>
          <w:szCs w:val="32"/>
          <w:lang w:val="en-US" w:eastAsia="zh-CN"/>
        </w:rPr>
      </w:pPr>
    </w:p>
    <w:p>
      <w:pPr>
        <w:jc w:val="both"/>
        <w:rPr>
          <w:rFonts w:hint="eastAsia"/>
          <w:b/>
          <w:bCs/>
          <w:sz w:val="32"/>
          <w:szCs w:val="32"/>
          <w:lang w:val="en-US" w:eastAsia="zh-CN"/>
        </w:rPr>
      </w:pPr>
    </w:p>
    <w:p>
      <w:pPr>
        <w:jc w:val="both"/>
        <w:rPr>
          <w:rFonts w:hint="eastAsia"/>
          <w:b/>
          <w:bCs/>
          <w:sz w:val="32"/>
          <w:szCs w:val="32"/>
          <w:lang w:val="en-US" w:eastAsia="zh-CN"/>
        </w:rPr>
      </w:pPr>
    </w:p>
    <w:p>
      <w:pPr>
        <w:jc w:val="both"/>
        <w:rPr>
          <w:rFonts w:hint="default"/>
          <w:b/>
          <w:bCs/>
          <w:sz w:val="32"/>
          <w:szCs w:val="32"/>
          <w:lang w:val="en-US" w:eastAsia="zh-CN"/>
        </w:rPr>
      </w:pPr>
      <w:bookmarkStart w:id="3" w:name="_GoBack"/>
      <w:r>
        <w:rPr>
          <w:rFonts w:hint="eastAsia"/>
          <w:b/>
          <w:bCs/>
          <w:sz w:val="32"/>
          <w:szCs w:val="32"/>
          <w:lang w:val="en-US" w:eastAsia="zh-CN"/>
        </w:rPr>
        <w:t>附件3</w:t>
      </w:r>
    </w:p>
    <w:p>
      <w:pPr>
        <w:ind w:firstLine="1084" w:firstLineChars="300"/>
        <w:jc w:val="both"/>
        <w:rPr>
          <w:rFonts w:hint="default" w:eastAsiaTheme="minorEastAsia"/>
          <w:sz w:val="28"/>
          <w:szCs w:val="28"/>
          <w:lang w:val="en-US" w:eastAsia="zh-CN"/>
        </w:rPr>
      </w:pPr>
      <w:r>
        <w:rPr>
          <w:rFonts w:hint="eastAsia"/>
          <w:b/>
          <w:bCs/>
          <w:sz w:val="36"/>
          <w:szCs w:val="36"/>
          <w:lang w:val="en-US" w:eastAsia="zh-CN"/>
        </w:rPr>
        <w:t>2021年农机购置补贴资金分配方案</w:t>
      </w:r>
      <w:r>
        <w:rPr>
          <w:rFonts w:hint="eastAsia"/>
          <w:sz w:val="28"/>
          <w:szCs w:val="28"/>
          <w:lang w:eastAsia="zh-CN"/>
        </w:rPr>
        <w:tab/>
      </w:r>
    </w:p>
    <w:tbl>
      <w:tblPr>
        <w:tblStyle w:val="9"/>
        <w:tblpPr w:leftFromText="180" w:rightFromText="180" w:vertAnchor="text" w:horzAnchor="page" w:tblpX="2651" w:tblpY="6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298"/>
        <w:gridCol w:w="148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16" w:type="dxa"/>
          </w:tcPr>
          <w:p>
            <w:pPr>
              <w:rPr>
                <w:rFonts w:hint="eastAsia" w:eastAsiaTheme="minorEastAsia"/>
                <w:vertAlign w:val="baseline"/>
                <w:lang w:eastAsia="zh-CN"/>
              </w:rPr>
            </w:pPr>
            <w:r>
              <w:rPr>
                <w:rFonts w:hint="eastAsia"/>
                <w:vertAlign w:val="baseline"/>
                <w:lang w:eastAsia="zh-CN"/>
              </w:rPr>
              <w:t>单位</w:t>
            </w:r>
          </w:p>
        </w:tc>
        <w:tc>
          <w:tcPr>
            <w:tcW w:w="1298" w:type="dxa"/>
          </w:tcPr>
          <w:p>
            <w:pPr>
              <w:rPr>
                <w:rFonts w:hint="eastAsia" w:eastAsiaTheme="minorEastAsia"/>
                <w:vertAlign w:val="baseline"/>
                <w:lang w:eastAsia="zh-CN"/>
              </w:rPr>
            </w:pPr>
            <w:r>
              <w:rPr>
                <w:rFonts w:hint="eastAsia"/>
                <w:vertAlign w:val="baseline"/>
                <w:lang w:eastAsia="zh-CN"/>
              </w:rPr>
              <w:t>申报资金（万元）</w:t>
            </w:r>
          </w:p>
        </w:tc>
        <w:tc>
          <w:tcPr>
            <w:tcW w:w="1485" w:type="dxa"/>
          </w:tcPr>
          <w:p>
            <w:pPr>
              <w:rPr>
                <w:rFonts w:hint="eastAsia"/>
                <w:vertAlign w:val="baseline"/>
                <w:lang w:eastAsia="zh-CN"/>
              </w:rPr>
            </w:pPr>
            <w:r>
              <w:rPr>
                <w:rFonts w:hint="eastAsia"/>
                <w:vertAlign w:val="baseline"/>
                <w:lang w:eastAsia="zh-CN"/>
              </w:rPr>
              <w:t>分配资金</w:t>
            </w:r>
          </w:p>
          <w:p>
            <w:pPr>
              <w:rPr>
                <w:rFonts w:hint="eastAsia" w:eastAsiaTheme="minorEastAsia"/>
                <w:vertAlign w:val="baseline"/>
                <w:lang w:eastAsia="zh-CN"/>
              </w:rPr>
            </w:pPr>
            <w:r>
              <w:rPr>
                <w:rFonts w:hint="eastAsia"/>
                <w:vertAlign w:val="baseline"/>
                <w:lang w:eastAsia="zh-CN"/>
              </w:rPr>
              <w:t>（万元）</w:t>
            </w:r>
          </w:p>
        </w:tc>
        <w:tc>
          <w:tcPr>
            <w:tcW w:w="1233" w:type="dxa"/>
          </w:tcPr>
          <w:p>
            <w:pPr>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伊宁市</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220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140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奎屯市</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150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140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霍尔果斯市</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330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190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霍城县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2000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1212</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伊宁县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1580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840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察布查尔县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1720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1200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尼勒克县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900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530</w:t>
            </w:r>
          </w:p>
        </w:tc>
        <w:tc>
          <w:tcPr>
            <w:tcW w:w="1233" w:type="dxa"/>
          </w:tcPr>
          <w:p>
            <w:pPr>
              <w:rPr>
                <w:rFonts w:hint="default" w:eastAsia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新源县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1900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1200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16" w:type="dxa"/>
          </w:tcPr>
          <w:p>
            <w:pPr>
              <w:rPr>
                <w:rFonts w:hint="eastAsia" w:eastAsiaTheme="minorEastAsia"/>
                <w:sz w:val="24"/>
                <w:szCs w:val="24"/>
                <w:vertAlign w:val="baseline"/>
                <w:lang w:eastAsia="zh-CN"/>
              </w:rPr>
            </w:pPr>
            <w:r>
              <w:rPr>
                <w:rFonts w:hint="eastAsia"/>
                <w:sz w:val="24"/>
                <w:szCs w:val="24"/>
                <w:vertAlign w:val="baseline"/>
                <w:lang w:eastAsia="zh-CN"/>
              </w:rPr>
              <w:t>巩留县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1707</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1000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16" w:type="dxa"/>
          </w:tcPr>
          <w:p>
            <w:pPr>
              <w:rPr>
                <w:rFonts w:hint="eastAsia"/>
                <w:sz w:val="24"/>
                <w:szCs w:val="24"/>
                <w:vertAlign w:val="baseline"/>
                <w:lang w:eastAsia="zh-CN"/>
              </w:rPr>
            </w:pPr>
            <w:r>
              <w:rPr>
                <w:rFonts w:hint="eastAsia"/>
                <w:sz w:val="24"/>
                <w:szCs w:val="24"/>
                <w:vertAlign w:val="baseline"/>
                <w:lang w:eastAsia="zh-CN"/>
              </w:rPr>
              <w:t>特克斯县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760</w:t>
            </w:r>
          </w:p>
        </w:tc>
        <w:tc>
          <w:tcPr>
            <w:tcW w:w="1485" w:type="dxa"/>
          </w:tcPr>
          <w:p>
            <w:pPr>
              <w:rPr>
                <w:rFonts w:hint="default" w:eastAsiaTheme="minorEastAsia"/>
                <w:sz w:val="24"/>
                <w:szCs w:val="24"/>
                <w:vertAlign w:val="baseline"/>
                <w:lang w:val="en-US" w:eastAsia="zh-CN"/>
              </w:rPr>
            </w:pPr>
            <w:r>
              <w:rPr>
                <w:rFonts w:hint="eastAsia"/>
                <w:sz w:val="24"/>
                <w:szCs w:val="24"/>
                <w:vertAlign w:val="baseline"/>
                <w:lang w:val="en-US" w:eastAsia="zh-CN"/>
              </w:rPr>
              <w:t>510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616" w:type="dxa"/>
          </w:tcPr>
          <w:p>
            <w:pPr>
              <w:rPr>
                <w:rFonts w:hint="eastAsia"/>
                <w:sz w:val="24"/>
                <w:szCs w:val="24"/>
                <w:vertAlign w:val="baseline"/>
                <w:lang w:eastAsia="zh-CN"/>
              </w:rPr>
            </w:pPr>
            <w:r>
              <w:rPr>
                <w:rFonts w:hint="eastAsia"/>
                <w:sz w:val="24"/>
                <w:szCs w:val="24"/>
                <w:vertAlign w:val="baseline"/>
                <w:lang w:eastAsia="zh-CN"/>
              </w:rPr>
              <w:t>昭苏县</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750</w:t>
            </w:r>
          </w:p>
        </w:tc>
        <w:tc>
          <w:tcPr>
            <w:tcW w:w="1485" w:type="dxa"/>
          </w:tcPr>
          <w:p>
            <w:pPr>
              <w:rPr>
                <w:rFonts w:hint="default"/>
                <w:sz w:val="24"/>
                <w:szCs w:val="24"/>
                <w:vertAlign w:val="baseline"/>
                <w:lang w:val="en-US" w:eastAsia="zh-CN"/>
              </w:rPr>
            </w:pPr>
            <w:r>
              <w:rPr>
                <w:rFonts w:hint="eastAsia"/>
                <w:sz w:val="24"/>
                <w:szCs w:val="24"/>
                <w:vertAlign w:val="baseline"/>
                <w:lang w:val="en-US" w:eastAsia="zh-CN"/>
              </w:rPr>
              <w:t>290</w:t>
            </w:r>
          </w:p>
        </w:tc>
        <w:tc>
          <w:tcPr>
            <w:tcW w:w="1233"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616" w:type="dxa"/>
          </w:tcPr>
          <w:p>
            <w:pPr>
              <w:rPr>
                <w:rFonts w:hint="eastAsia"/>
                <w:sz w:val="24"/>
                <w:szCs w:val="24"/>
                <w:vertAlign w:val="baseline"/>
                <w:lang w:eastAsia="zh-CN"/>
              </w:rPr>
            </w:pPr>
            <w:r>
              <w:rPr>
                <w:rFonts w:hint="eastAsia"/>
                <w:sz w:val="24"/>
                <w:szCs w:val="24"/>
                <w:vertAlign w:val="baseline"/>
                <w:lang w:eastAsia="zh-CN"/>
              </w:rPr>
              <w:t>合计</w:t>
            </w:r>
          </w:p>
        </w:tc>
        <w:tc>
          <w:tcPr>
            <w:tcW w:w="1298" w:type="dxa"/>
          </w:tcPr>
          <w:p>
            <w:pPr>
              <w:rPr>
                <w:rFonts w:hint="default" w:eastAsiaTheme="minorEastAsia"/>
                <w:sz w:val="24"/>
                <w:szCs w:val="24"/>
                <w:vertAlign w:val="baseline"/>
                <w:lang w:val="en-US" w:eastAsia="zh-CN"/>
              </w:rPr>
            </w:pPr>
            <w:r>
              <w:rPr>
                <w:rFonts w:hint="eastAsia"/>
                <w:sz w:val="24"/>
                <w:szCs w:val="24"/>
                <w:vertAlign w:val="baseline"/>
                <w:lang w:val="en-US" w:eastAsia="zh-CN"/>
              </w:rPr>
              <w:t>12017</w:t>
            </w:r>
          </w:p>
        </w:tc>
        <w:tc>
          <w:tcPr>
            <w:tcW w:w="1485" w:type="dxa"/>
          </w:tcPr>
          <w:p>
            <w:pPr>
              <w:rPr>
                <w:rFonts w:hint="default"/>
                <w:sz w:val="24"/>
                <w:szCs w:val="24"/>
                <w:vertAlign w:val="baseline"/>
                <w:lang w:val="en-US" w:eastAsia="zh-CN"/>
              </w:rPr>
            </w:pPr>
            <w:r>
              <w:rPr>
                <w:rFonts w:hint="eastAsia"/>
                <w:sz w:val="24"/>
                <w:szCs w:val="24"/>
                <w:vertAlign w:val="baseline"/>
                <w:lang w:val="en-US" w:eastAsia="zh-CN"/>
              </w:rPr>
              <w:t>7252</w:t>
            </w:r>
          </w:p>
        </w:tc>
        <w:tc>
          <w:tcPr>
            <w:tcW w:w="1233" w:type="dxa"/>
          </w:tcPr>
          <w:p>
            <w:pPr>
              <w:rPr>
                <w:sz w:val="24"/>
                <w:szCs w:val="24"/>
                <w:vertAlign w:val="baseline"/>
              </w:rPr>
            </w:pPr>
          </w:p>
        </w:tc>
      </w:tr>
    </w:tbl>
    <w:p>
      <w:pPr>
        <w:rPr>
          <w:sz w:val="24"/>
          <w:szCs w:val="24"/>
        </w:rPr>
      </w:pPr>
    </w:p>
    <w:p>
      <w:pPr>
        <w:pStyle w:val="7"/>
        <w:widowControl w:val="0"/>
        <w:snapToGrid w:val="0"/>
        <w:spacing w:before="0" w:beforeAutospacing="0" w:after="0" w:afterAutospacing="0" w:line="540" w:lineRule="exact"/>
        <w:ind w:firstLine="640"/>
        <w:jc w:val="both"/>
        <w:rPr>
          <w:rFonts w:ascii="仿宋_GB2312" w:hAnsi="仿宋_GB2312" w:eastAsia="仿宋_GB2312" w:cs="仿宋_GB2312"/>
          <w:color w:val="000000"/>
          <w:sz w:val="24"/>
          <w:szCs w:val="24"/>
        </w:rPr>
      </w:pPr>
    </w:p>
    <w:p>
      <w:pPr>
        <w:rPr>
          <w:sz w:val="24"/>
          <w:szCs w:val="24"/>
        </w:rPr>
      </w:pPr>
    </w:p>
    <w:bookmarkEnd w:id="3"/>
    <w:sectPr>
      <w:footerReference r:id="rId3" w:type="default"/>
      <w:pgSz w:w="11906" w:h="16838"/>
      <w:pgMar w:top="1701" w:right="1587" w:bottom="1701" w:left="158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简小标宋">
    <w:altName w:val="宋体"/>
    <w:panose1 w:val="02010609000101010101"/>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lang w:val="zh-CN" w:eastAsia="zh-CN"/>
                            </w:rPr>
                            <w:t>- 4 -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lang w:val="zh-CN" w:eastAsia="zh-CN"/>
                      </w:rPr>
                      <w:t>- 4 -</w:t>
                    </w:r>
                    <w:r>
                      <w:rPr>
                        <w:rFonts w:hint="eastAsia"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F2790"/>
    <w:rsid w:val="08F41869"/>
    <w:rsid w:val="0ACD217E"/>
    <w:rsid w:val="0B9B2B7D"/>
    <w:rsid w:val="122E28FE"/>
    <w:rsid w:val="158D78F6"/>
    <w:rsid w:val="15A1432C"/>
    <w:rsid w:val="15E2483B"/>
    <w:rsid w:val="16C6472C"/>
    <w:rsid w:val="1791441F"/>
    <w:rsid w:val="33230877"/>
    <w:rsid w:val="3808107A"/>
    <w:rsid w:val="4B230F21"/>
    <w:rsid w:val="528711FB"/>
    <w:rsid w:val="55820FC1"/>
    <w:rsid w:val="5EAF2790"/>
    <w:rsid w:val="687B3EE3"/>
    <w:rsid w:val="6F57154E"/>
    <w:rsid w:val="7C645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unhideWhenUsed/>
    <w:qFormat/>
    <w:uiPriority w:val="0"/>
    <w:pPr>
      <w:spacing w:before="100" w:beforeLines="100" w:after="100" w:afterLines="100"/>
      <w:ind w:firstLine="0" w:firstLineChars="0"/>
      <w:jc w:val="center"/>
      <w:outlineLvl w:val="1"/>
    </w:pPr>
    <w:rPr>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宋体" w:cs="Times New Roman"/>
      <w:szCs w:val="24"/>
    </w:rPr>
  </w:style>
  <w:style w:type="paragraph" w:styleId="3">
    <w:name w:val="Body Text Indent"/>
    <w:basedOn w:val="1"/>
    <w:qFormat/>
    <w:uiPriority w:val="0"/>
    <w:pPr>
      <w:spacing w:after="120" w:afterLines="0"/>
      <w:ind w:left="420" w:leftChars="200"/>
    </w:pPr>
    <w:rPr>
      <w:rFonts w:ascii="Calibri" w:hAnsi="Calibri"/>
      <w:kern w:val="2"/>
      <w:sz w:val="21"/>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2021-06-11T09:01:00Z</dcterms:created>
  <dc:creator>刘涛</dc:creator>
  <cp:lastModifiedBy>Administrator</cp:lastModifiedBy>
  <cp:lastPrinted>2021-11-12T10:08:00Z</cp:lastPrinted>
  <dcterms:modified xsi:type="dcterms:W3CDTF">2021-12-04T07:50:36Z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A870AF222145463A952C259691E10EC1</vt:lpwstr>
  </property>
</Properties>
</file>