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28"/>
          <w:szCs w:val="28"/>
        </w:rPr>
      </w:pPr>
      <w:r>
        <w:rPr>
          <w:rFonts w:hint="eastAsia" w:asciiTheme="majorEastAsia" w:hAnsiTheme="majorEastAsia" w:eastAsiaTheme="majorEastAsia"/>
          <w:sz w:val="28"/>
          <w:szCs w:val="28"/>
        </w:rPr>
        <w:t>附件1</w:t>
      </w:r>
    </w:p>
    <w:p>
      <w:pPr>
        <w:jc w:val="center"/>
        <w:rPr>
          <w:rFonts w:asciiTheme="minorEastAsia" w:hAnsiTheme="minorEastAsia"/>
          <w:b/>
          <w:sz w:val="32"/>
          <w:szCs w:val="32"/>
        </w:rPr>
      </w:pPr>
      <w:r>
        <w:rPr>
          <w:rFonts w:hint="eastAsia" w:asciiTheme="minorEastAsia" w:hAnsiTheme="minorEastAsia"/>
          <w:b/>
          <w:sz w:val="32"/>
          <w:szCs w:val="32"/>
        </w:rPr>
        <w:t>工程建设项目招标代理机构信用信息评价标准</w:t>
      </w:r>
    </w:p>
    <w:tbl>
      <w:tblPr>
        <w:tblStyle w:val="5"/>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18"/>
        <w:gridCol w:w="4961"/>
        <w:gridCol w:w="1276"/>
        <w:gridCol w:w="142"/>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spacing w:line="340" w:lineRule="exact"/>
              <w:jc w:val="center"/>
              <w:rPr>
                <w:rFonts w:asciiTheme="minorEastAsia" w:hAnsiTheme="minorEastAsia"/>
                <w:b/>
                <w:sz w:val="28"/>
                <w:szCs w:val="28"/>
              </w:rPr>
            </w:pPr>
            <w:r>
              <w:rPr>
                <w:rFonts w:hint="eastAsia" w:asciiTheme="minorEastAsia" w:hAnsiTheme="minorEastAsia"/>
                <w:b/>
                <w:sz w:val="28"/>
                <w:szCs w:val="28"/>
              </w:rPr>
              <w:t>信用信息分类</w:t>
            </w:r>
          </w:p>
        </w:tc>
        <w:tc>
          <w:tcPr>
            <w:tcW w:w="1418" w:type="dxa"/>
          </w:tcPr>
          <w:p>
            <w:pPr>
              <w:spacing w:line="340" w:lineRule="exact"/>
              <w:jc w:val="center"/>
              <w:rPr>
                <w:rFonts w:asciiTheme="minorEastAsia" w:hAnsiTheme="minorEastAsia"/>
                <w:b/>
                <w:sz w:val="28"/>
                <w:szCs w:val="28"/>
              </w:rPr>
            </w:pPr>
            <w:r>
              <w:rPr>
                <w:rFonts w:hint="eastAsia" w:asciiTheme="minorEastAsia" w:hAnsiTheme="minorEastAsia"/>
                <w:b/>
                <w:sz w:val="28"/>
                <w:szCs w:val="28"/>
              </w:rPr>
              <w:t>信用信息指标</w:t>
            </w:r>
          </w:p>
        </w:tc>
        <w:tc>
          <w:tcPr>
            <w:tcW w:w="4961" w:type="dxa"/>
            <w:vAlign w:val="center"/>
          </w:tcPr>
          <w:p>
            <w:pPr>
              <w:jc w:val="center"/>
              <w:rPr>
                <w:rFonts w:asciiTheme="minorEastAsia" w:hAnsiTheme="minorEastAsia"/>
                <w:b/>
                <w:sz w:val="28"/>
                <w:szCs w:val="28"/>
              </w:rPr>
            </w:pPr>
            <w:r>
              <w:rPr>
                <w:rFonts w:hint="eastAsia" w:asciiTheme="minorEastAsia" w:hAnsiTheme="minorEastAsia"/>
                <w:b/>
                <w:sz w:val="28"/>
                <w:szCs w:val="28"/>
              </w:rPr>
              <w:t>评价标准</w:t>
            </w:r>
          </w:p>
        </w:tc>
        <w:tc>
          <w:tcPr>
            <w:tcW w:w="1276" w:type="dxa"/>
            <w:vAlign w:val="center"/>
          </w:tcPr>
          <w:p>
            <w:pPr>
              <w:jc w:val="center"/>
              <w:rPr>
                <w:rFonts w:asciiTheme="minorEastAsia" w:hAnsiTheme="minorEastAsia"/>
                <w:b/>
                <w:sz w:val="28"/>
                <w:szCs w:val="28"/>
              </w:rPr>
            </w:pPr>
            <w:r>
              <w:rPr>
                <w:rFonts w:hint="eastAsia" w:asciiTheme="minorEastAsia" w:hAnsiTheme="minorEastAsia"/>
                <w:b/>
                <w:sz w:val="28"/>
                <w:szCs w:val="28"/>
              </w:rPr>
              <w:t>分值</w:t>
            </w:r>
          </w:p>
        </w:tc>
        <w:tc>
          <w:tcPr>
            <w:tcW w:w="992" w:type="dxa"/>
            <w:gridSpan w:val="2"/>
            <w:vAlign w:val="center"/>
          </w:tcPr>
          <w:p>
            <w:pPr>
              <w:jc w:val="center"/>
              <w:rPr>
                <w:rFonts w:asciiTheme="minorEastAsia" w:hAnsiTheme="minorEastAsia"/>
                <w:b/>
                <w:sz w:val="28"/>
                <w:szCs w:val="28"/>
              </w:rPr>
            </w:pPr>
            <w:r>
              <w:rPr>
                <w:rFonts w:hint="eastAsia" w:asciiTheme="minorEastAsia" w:hAnsiTheme="minorEastAsia"/>
                <w:b/>
                <w:sz w:val="28"/>
                <w:szCs w:val="2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2" w:hRule="atLeast"/>
        </w:trPr>
        <w:tc>
          <w:tcPr>
            <w:tcW w:w="1134" w:type="dxa"/>
            <w:vMerge w:val="restart"/>
            <w:vAlign w:val="center"/>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基本信用</w:t>
            </w:r>
          </w:p>
          <w:p>
            <w:pPr>
              <w:jc w:val="center"/>
              <w:rPr>
                <w:rFonts w:ascii="仿宋" w:hAnsi="仿宋" w:eastAsia="仿宋"/>
                <w:szCs w:val="21"/>
              </w:rPr>
            </w:pPr>
            <w:r>
              <w:rPr>
                <w:rFonts w:hint="eastAsia" w:ascii="仿宋" w:hAnsi="仿宋" w:eastAsia="仿宋"/>
                <w:szCs w:val="21"/>
              </w:rPr>
              <w:t>信息（70分）</w:t>
            </w:r>
          </w:p>
        </w:tc>
        <w:tc>
          <w:tcPr>
            <w:tcW w:w="1418" w:type="dxa"/>
            <w:vAlign w:val="center"/>
          </w:tcPr>
          <w:p>
            <w:pPr>
              <w:jc w:val="center"/>
              <w:rPr>
                <w:rFonts w:ascii="仿宋" w:hAnsi="仿宋" w:eastAsia="仿宋"/>
                <w:szCs w:val="21"/>
              </w:rPr>
            </w:pPr>
            <w:r>
              <w:rPr>
                <w:rFonts w:hint="eastAsia" w:ascii="仿宋" w:hAnsi="仿宋" w:eastAsia="仿宋"/>
                <w:szCs w:val="21"/>
              </w:rPr>
              <w:t>企业情况信息申报（20分）</w:t>
            </w:r>
          </w:p>
        </w:tc>
        <w:tc>
          <w:tcPr>
            <w:tcW w:w="4961" w:type="dxa"/>
            <w:vAlign w:val="center"/>
          </w:tcPr>
          <w:p>
            <w:pPr>
              <w:rPr>
                <w:rFonts w:ascii="仿宋" w:hAnsi="仿宋" w:eastAsia="仿宋"/>
                <w:szCs w:val="21"/>
              </w:rPr>
            </w:pPr>
            <w:r>
              <w:rPr>
                <w:rFonts w:hint="eastAsia" w:ascii="仿宋" w:hAnsi="仿宋" w:eastAsia="仿宋"/>
                <w:szCs w:val="21"/>
              </w:rPr>
              <w:t>企业名称、统一社会信用代码；企业法定代表人、技术负责人；企业住所地、联系方式；自治区建设工程招标投标协会会员等级、从业（经营）范围；从业人员姓名、执业资格证书编号及类别、信用编号；建立组织管理、合同管理、质量管理、档案管理、信息管理、财务管理制度等。申报情况与实际情况一致，得20分，一项不一致扣2分</w:t>
            </w:r>
          </w:p>
        </w:tc>
        <w:tc>
          <w:tcPr>
            <w:tcW w:w="1276" w:type="dxa"/>
            <w:vAlign w:val="center"/>
          </w:tcPr>
          <w:p>
            <w:pPr>
              <w:jc w:val="center"/>
              <w:rPr>
                <w:rFonts w:ascii="仿宋" w:hAnsi="仿宋" w:eastAsia="仿宋"/>
                <w:szCs w:val="21"/>
              </w:rPr>
            </w:pPr>
            <w:r>
              <w:rPr>
                <w:rFonts w:hint="eastAsia" w:ascii="仿宋" w:hAnsi="仿宋" w:eastAsia="仿宋"/>
                <w:szCs w:val="21"/>
              </w:rPr>
              <w:t>20分</w:t>
            </w:r>
          </w:p>
        </w:tc>
        <w:tc>
          <w:tcPr>
            <w:tcW w:w="992"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tcPr>
          <w:p>
            <w:pPr>
              <w:jc w:val="center"/>
              <w:rPr>
                <w:rFonts w:ascii="仿宋" w:hAnsi="仿宋" w:eastAsia="仿宋"/>
                <w:szCs w:val="21"/>
              </w:rPr>
            </w:pPr>
            <w:r>
              <w:rPr>
                <w:rFonts w:hint="eastAsia" w:ascii="仿宋" w:hAnsi="仿宋" w:eastAsia="仿宋"/>
                <w:szCs w:val="21"/>
              </w:rPr>
              <w:t>企业业绩</w:t>
            </w:r>
          </w:p>
          <w:p>
            <w:pPr>
              <w:jc w:val="center"/>
              <w:rPr>
                <w:rFonts w:ascii="仿宋" w:hAnsi="仿宋" w:eastAsia="仿宋"/>
                <w:szCs w:val="21"/>
              </w:rPr>
            </w:pPr>
            <w:r>
              <w:rPr>
                <w:rFonts w:hint="eastAsia" w:ascii="仿宋" w:hAnsi="仿宋" w:eastAsia="仿宋"/>
                <w:szCs w:val="21"/>
              </w:rPr>
              <w:t>（30分）</w:t>
            </w:r>
          </w:p>
        </w:tc>
        <w:tc>
          <w:tcPr>
            <w:tcW w:w="4961" w:type="dxa"/>
            <w:vAlign w:val="center"/>
          </w:tcPr>
          <w:p>
            <w:pPr>
              <w:rPr>
                <w:rFonts w:ascii="仿宋" w:hAnsi="仿宋" w:eastAsia="仿宋"/>
                <w:szCs w:val="21"/>
              </w:rPr>
            </w:pPr>
            <w:r>
              <w:rPr>
                <w:rFonts w:hint="eastAsia" w:ascii="仿宋" w:hAnsi="仿宋" w:eastAsia="仿宋"/>
                <w:szCs w:val="21"/>
              </w:rPr>
              <w:t>评价年度内，根据招标代理机构按规定时限提交的招标项目中标通知书数量，按照以下计算公式计算业绩得分：</w:t>
            </w:r>
          </w:p>
          <w:p>
            <w:pPr>
              <w:rPr>
                <w:rFonts w:hint="eastAsia" w:ascii="仿宋" w:hAnsi="仿宋" w:eastAsia="仿宋"/>
                <w:szCs w:val="21"/>
                <w:lang w:eastAsia="zh-CN"/>
              </w:rPr>
            </w:pPr>
            <w:r>
              <w:rPr>
                <w:rFonts w:hint="eastAsia" w:ascii="仿宋" w:hAnsi="仿宋" w:eastAsia="仿宋"/>
                <w:szCs w:val="21"/>
              </w:rPr>
              <w:t>业绩得分=参评招标代理机构中标通知书数量/所有参评招标代理机构中标通知书的最高值×业绩满分值。</w:t>
            </w:r>
            <w:r>
              <w:rPr>
                <w:rFonts w:hint="eastAsia" w:ascii="仿宋" w:hAnsi="仿宋" w:eastAsia="仿宋"/>
                <w:szCs w:val="21"/>
                <w:lang w:eastAsia="zh-CN"/>
              </w:rPr>
              <w:t>（</w:t>
            </w:r>
            <w:r>
              <w:rPr>
                <w:rFonts w:hint="eastAsia" w:ascii="仿宋" w:hAnsi="仿宋" w:eastAsia="仿宋"/>
                <w:szCs w:val="21"/>
                <w:lang w:val="en-US" w:eastAsia="zh-CN"/>
              </w:rPr>
              <w:t>所提供的业绩经建设行政主管部门备案且符合《必须招标的工程项目规定》</w:t>
            </w:r>
            <w:r>
              <w:rPr>
                <w:rFonts w:hint="eastAsia" w:ascii="仿宋" w:hAnsi="仿宋" w:eastAsia="仿宋"/>
                <w:szCs w:val="21"/>
                <w:lang w:eastAsia="zh-CN"/>
              </w:rPr>
              <w:t>）（</w:t>
            </w:r>
            <w:r>
              <w:rPr>
                <w:rFonts w:hint="eastAsia" w:ascii="仿宋" w:hAnsi="仿宋" w:eastAsia="仿宋"/>
                <w:szCs w:val="21"/>
                <w:lang w:val="en-US" w:eastAsia="zh-CN"/>
              </w:rPr>
              <w:t>发改委令16号</w:t>
            </w:r>
            <w:r>
              <w:rPr>
                <w:rFonts w:hint="eastAsia" w:ascii="仿宋" w:hAnsi="仿宋" w:eastAsia="仿宋"/>
                <w:szCs w:val="21"/>
                <w:lang w:eastAsia="zh-CN"/>
              </w:rPr>
              <w:t>）</w:t>
            </w:r>
          </w:p>
        </w:tc>
        <w:tc>
          <w:tcPr>
            <w:tcW w:w="1276" w:type="dxa"/>
            <w:vAlign w:val="center"/>
          </w:tcPr>
          <w:p>
            <w:pPr>
              <w:jc w:val="center"/>
              <w:rPr>
                <w:rFonts w:ascii="仿宋" w:hAnsi="仿宋" w:eastAsia="仿宋"/>
                <w:szCs w:val="21"/>
              </w:rPr>
            </w:pPr>
            <w:r>
              <w:rPr>
                <w:rFonts w:hint="eastAsia" w:ascii="仿宋" w:hAnsi="仿宋" w:eastAsia="仿宋"/>
                <w:szCs w:val="21"/>
              </w:rPr>
              <w:t>最高30分</w:t>
            </w:r>
          </w:p>
        </w:tc>
        <w:tc>
          <w:tcPr>
            <w:tcW w:w="992"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tcPr>
          <w:p>
            <w:pPr>
              <w:jc w:val="center"/>
              <w:rPr>
                <w:rFonts w:ascii="仿宋" w:hAnsi="仿宋" w:eastAsia="仿宋"/>
                <w:szCs w:val="21"/>
              </w:rPr>
            </w:pPr>
            <w:r>
              <w:rPr>
                <w:rFonts w:hint="eastAsia" w:ascii="仿宋" w:hAnsi="仿宋" w:eastAsia="仿宋"/>
                <w:szCs w:val="21"/>
              </w:rPr>
              <w:t>注册类、职称类人员情况（10分）</w:t>
            </w:r>
          </w:p>
        </w:tc>
        <w:tc>
          <w:tcPr>
            <w:tcW w:w="4961" w:type="dxa"/>
            <w:vAlign w:val="center"/>
          </w:tcPr>
          <w:p>
            <w:pPr>
              <w:jc w:val="left"/>
              <w:rPr>
                <w:rFonts w:ascii="仿宋" w:hAnsi="仿宋" w:eastAsia="仿宋"/>
                <w:szCs w:val="21"/>
              </w:rPr>
            </w:pPr>
            <w:r>
              <w:rPr>
                <w:rFonts w:hint="eastAsia" w:ascii="仿宋" w:hAnsi="仿宋" w:eastAsia="仿宋"/>
                <w:color w:val="000000" w:themeColor="text1"/>
                <w:szCs w:val="21"/>
                <w14:textFill>
                  <w14:solidFill>
                    <w14:schemeClr w14:val="tx1"/>
                  </w14:solidFill>
                </w14:textFill>
              </w:rPr>
              <w:t>每增加1名一级注册造价师，得2分；每增加4名二级注册造价师，得2分；每增加2名工程建设类中级职称以上人员，得2分。（注：以上人员均只进行一次计分）</w:t>
            </w:r>
          </w:p>
        </w:tc>
        <w:tc>
          <w:tcPr>
            <w:tcW w:w="1276" w:type="dxa"/>
            <w:vAlign w:val="center"/>
          </w:tcPr>
          <w:p>
            <w:pPr>
              <w:jc w:val="center"/>
              <w:rPr>
                <w:rFonts w:ascii="仿宋" w:hAnsi="仿宋" w:eastAsia="仿宋"/>
                <w:szCs w:val="21"/>
              </w:rPr>
            </w:pPr>
            <w:r>
              <w:rPr>
                <w:rFonts w:hint="eastAsia" w:ascii="仿宋" w:hAnsi="仿宋" w:eastAsia="仿宋"/>
                <w:szCs w:val="21"/>
              </w:rPr>
              <w:t>最高10分</w:t>
            </w:r>
          </w:p>
        </w:tc>
        <w:tc>
          <w:tcPr>
            <w:tcW w:w="992"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r>
              <w:rPr>
                <w:rFonts w:hint="eastAsia" w:ascii="仿宋" w:hAnsi="仿宋" w:eastAsia="仿宋"/>
                <w:szCs w:val="21"/>
              </w:rPr>
              <w:t>信用培训情况（10分）</w:t>
            </w:r>
          </w:p>
        </w:tc>
        <w:tc>
          <w:tcPr>
            <w:tcW w:w="4961" w:type="dxa"/>
            <w:vAlign w:val="center"/>
          </w:tcPr>
          <w:p>
            <w:pPr>
              <w:jc w:val="left"/>
              <w:rPr>
                <w:rFonts w:ascii="仿宋" w:hAnsi="仿宋" w:eastAsia="仿宋"/>
                <w:szCs w:val="21"/>
              </w:rPr>
            </w:pPr>
            <w:r>
              <w:rPr>
                <w:rFonts w:hint="eastAsia" w:ascii="仿宋" w:hAnsi="仿宋" w:eastAsia="仿宋"/>
                <w:szCs w:val="21"/>
              </w:rPr>
              <w:t>注册类、职称类人员或其他从业人员参加自治区建设工程招标投标协会信用培训：培训人数每增加1人得0.5分。</w:t>
            </w:r>
          </w:p>
        </w:tc>
        <w:tc>
          <w:tcPr>
            <w:tcW w:w="1276" w:type="dxa"/>
            <w:vAlign w:val="center"/>
          </w:tcPr>
          <w:p>
            <w:pPr>
              <w:jc w:val="center"/>
              <w:rPr>
                <w:rFonts w:ascii="仿宋" w:hAnsi="仿宋" w:eastAsia="仿宋"/>
                <w:szCs w:val="21"/>
              </w:rPr>
            </w:pPr>
            <w:r>
              <w:rPr>
                <w:rFonts w:hint="eastAsia" w:ascii="仿宋" w:hAnsi="仿宋" w:eastAsia="仿宋"/>
                <w:szCs w:val="21"/>
              </w:rPr>
              <w:t>最高10分</w:t>
            </w:r>
          </w:p>
        </w:tc>
        <w:tc>
          <w:tcPr>
            <w:tcW w:w="992"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jc w:val="center"/>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jc w:val="center"/>
              <w:rPr>
                <w:rFonts w:ascii="仿宋" w:hAnsi="仿宋" w:eastAsia="仿宋"/>
                <w:szCs w:val="21"/>
              </w:rPr>
            </w:pPr>
            <w:r>
              <w:rPr>
                <w:rFonts w:hint="eastAsia" w:ascii="仿宋" w:hAnsi="仿宋" w:eastAsia="仿宋"/>
                <w:szCs w:val="21"/>
              </w:rPr>
              <w:t>此项得分</w:t>
            </w:r>
          </w:p>
        </w:tc>
        <w:tc>
          <w:tcPr>
            <w:tcW w:w="2268" w:type="dxa"/>
            <w:gridSpan w:val="3"/>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9" w:hRule="atLeast"/>
        </w:trPr>
        <w:tc>
          <w:tcPr>
            <w:tcW w:w="1134" w:type="dxa"/>
            <w:vMerge w:val="restart"/>
            <w:vAlign w:val="center"/>
          </w:tcPr>
          <w:p>
            <w:pPr>
              <w:jc w:val="center"/>
              <w:rPr>
                <w:rFonts w:ascii="仿宋" w:hAnsi="仿宋" w:eastAsia="仿宋"/>
                <w:szCs w:val="21"/>
              </w:rPr>
            </w:pPr>
            <w:r>
              <w:rPr>
                <w:rFonts w:hint="eastAsia" w:ascii="仿宋" w:hAnsi="仿宋" w:eastAsia="仿宋"/>
                <w:szCs w:val="21"/>
              </w:rPr>
              <w:t>良好信用信息（最高70分）</w:t>
            </w:r>
          </w:p>
        </w:tc>
        <w:tc>
          <w:tcPr>
            <w:tcW w:w="1418" w:type="dxa"/>
            <w:tcBorders>
              <w:bottom w:val="single" w:color="auto" w:sz="4" w:space="0"/>
            </w:tcBorders>
            <w:vAlign w:val="center"/>
          </w:tcPr>
          <w:p>
            <w:pPr>
              <w:jc w:val="center"/>
              <w:rPr>
                <w:rFonts w:ascii="仿宋" w:hAnsi="仿宋" w:eastAsia="仿宋"/>
                <w:szCs w:val="21"/>
              </w:rPr>
            </w:pPr>
            <w:r>
              <w:rPr>
                <w:rFonts w:hint="eastAsia" w:ascii="仿宋" w:hAnsi="仿宋" w:eastAsia="仿宋"/>
                <w:szCs w:val="21"/>
              </w:rPr>
              <w:t>获奖（表彰）信息（最高20分）</w:t>
            </w:r>
          </w:p>
        </w:tc>
        <w:tc>
          <w:tcPr>
            <w:tcW w:w="4961" w:type="dxa"/>
            <w:tcBorders>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招标代理机构在招标工作中，受到县级以上住房和城乡建设主管部门或建设工程招投标行业协会（学会）通报表彰的，以发文时间为准，未发文的以证书、奖牌发放时间为准：国家级每次计10分；自治区级每次计8分；州市级每次计5分；县级每次记2分，效期1年。</w:t>
            </w:r>
          </w:p>
          <w:p>
            <w:pPr>
              <w:jc w:val="left"/>
              <w:rPr>
                <w:rFonts w:ascii="仿宋" w:hAnsi="仿宋" w:eastAsia="仿宋"/>
                <w:szCs w:val="21"/>
              </w:rPr>
            </w:pPr>
            <w:r>
              <w:rPr>
                <w:rFonts w:hint="eastAsia" w:ascii="仿宋" w:hAnsi="仿宋" w:eastAsia="仿宋"/>
                <w:szCs w:val="21"/>
              </w:rPr>
              <w:t>说明：招标代理机构因同一事项同时被表彰的，按最高分加分，不再重复加分。</w:t>
            </w:r>
          </w:p>
        </w:tc>
        <w:tc>
          <w:tcPr>
            <w:tcW w:w="1418" w:type="dxa"/>
            <w:gridSpan w:val="2"/>
            <w:tcBorders>
              <w:left w:val="single" w:color="auto" w:sz="4" w:space="0"/>
              <w:bottom w:val="single" w:color="auto" w:sz="4" w:space="0"/>
            </w:tcBorders>
            <w:vAlign w:val="center"/>
          </w:tcPr>
          <w:p>
            <w:pPr>
              <w:jc w:val="center"/>
              <w:rPr>
                <w:rFonts w:ascii="仿宋" w:hAnsi="仿宋" w:eastAsia="仿宋"/>
                <w:szCs w:val="21"/>
              </w:rPr>
            </w:pPr>
            <w:r>
              <w:rPr>
                <w:rFonts w:hint="eastAsia" w:ascii="仿宋" w:hAnsi="仿宋" w:eastAsia="仿宋"/>
                <w:szCs w:val="21"/>
              </w:rPr>
              <w:t>最高20分</w:t>
            </w:r>
          </w:p>
        </w:tc>
        <w:tc>
          <w:tcPr>
            <w:tcW w:w="850" w:type="dxa"/>
            <w:tcBorders>
              <w:bottom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1134" w:type="dxa"/>
            <w:vMerge w:val="continue"/>
            <w:vAlign w:val="center"/>
          </w:tcPr>
          <w:p>
            <w:pPr>
              <w:jc w:val="center"/>
              <w:rPr>
                <w:rFonts w:ascii="仿宋" w:hAnsi="仿宋" w:eastAsia="仿宋"/>
                <w:szCs w:val="21"/>
              </w:rPr>
            </w:pPr>
          </w:p>
        </w:tc>
        <w:tc>
          <w:tcPr>
            <w:tcW w:w="1418" w:type="dxa"/>
            <w:tcBorders>
              <w:top w:val="single" w:color="auto" w:sz="4" w:space="0"/>
            </w:tcBorders>
            <w:vAlign w:val="center"/>
          </w:tcPr>
          <w:p>
            <w:pPr>
              <w:jc w:val="center"/>
              <w:rPr>
                <w:rFonts w:ascii="仿宋" w:hAnsi="仿宋" w:eastAsia="仿宋"/>
                <w:szCs w:val="21"/>
              </w:rPr>
            </w:pPr>
            <w:r>
              <w:rPr>
                <w:rFonts w:hint="eastAsia" w:ascii="仿宋" w:hAnsi="仿宋" w:eastAsia="仿宋"/>
                <w:szCs w:val="21"/>
              </w:rPr>
              <w:t>党建工作（最高10分）</w:t>
            </w:r>
          </w:p>
        </w:tc>
        <w:tc>
          <w:tcPr>
            <w:tcW w:w="4961" w:type="dxa"/>
            <w:tcBorders>
              <w:top w:val="single" w:color="auto" w:sz="4" w:space="0"/>
              <w:right w:val="single" w:color="auto" w:sz="4" w:space="0"/>
            </w:tcBorders>
            <w:vAlign w:val="center"/>
          </w:tcPr>
          <w:p>
            <w:pPr>
              <w:jc w:val="left"/>
              <w:rPr>
                <w:rFonts w:hint="eastAsia" w:ascii="仿宋" w:hAnsi="仿宋" w:eastAsia="仿宋"/>
                <w:szCs w:val="21"/>
                <w:lang w:eastAsia="zh-CN"/>
              </w:rPr>
            </w:pPr>
            <w:r>
              <w:rPr>
                <w:rFonts w:hint="eastAsia" w:ascii="仿宋" w:hAnsi="仿宋" w:eastAsia="仿宋"/>
                <w:szCs w:val="21"/>
              </w:rPr>
              <w:t>企业党组织健全并积极参加党建活动的，每开展一次加2分。</w:t>
            </w:r>
            <w:r>
              <w:rPr>
                <w:rFonts w:hint="eastAsia" w:ascii="仿宋" w:hAnsi="仿宋" w:eastAsia="仿宋"/>
                <w:szCs w:val="21"/>
                <w:lang w:eastAsia="zh-CN"/>
              </w:rPr>
              <w:t>（</w:t>
            </w:r>
            <w:r>
              <w:rPr>
                <w:rFonts w:hint="eastAsia" w:ascii="仿宋" w:hAnsi="仿宋" w:eastAsia="仿宋"/>
                <w:szCs w:val="21"/>
                <w:lang w:val="en-US" w:eastAsia="zh-CN"/>
              </w:rPr>
              <w:t>需提供党组织批准文件、活动记录、活动照片等相关证明材料</w:t>
            </w:r>
            <w:r>
              <w:rPr>
                <w:rFonts w:hint="eastAsia" w:ascii="仿宋" w:hAnsi="仿宋" w:eastAsia="仿宋"/>
                <w:szCs w:val="21"/>
                <w:lang w:eastAsia="zh-CN"/>
              </w:rPr>
              <w:t>）</w:t>
            </w:r>
          </w:p>
        </w:tc>
        <w:tc>
          <w:tcPr>
            <w:tcW w:w="1418" w:type="dxa"/>
            <w:gridSpan w:val="2"/>
            <w:tcBorders>
              <w:top w:val="single" w:color="auto" w:sz="4" w:space="0"/>
              <w:left w:val="single" w:color="auto" w:sz="4" w:space="0"/>
            </w:tcBorders>
            <w:vAlign w:val="center"/>
          </w:tcPr>
          <w:p>
            <w:pPr>
              <w:jc w:val="center"/>
              <w:rPr>
                <w:rFonts w:ascii="仿宋" w:hAnsi="仿宋" w:eastAsia="仿宋"/>
                <w:szCs w:val="21"/>
              </w:rPr>
            </w:pPr>
            <w:r>
              <w:rPr>
                <w:rFonts w:hint="eastAsia" w:ascii="仿宋" w:hAnsi="仿宋" w:eastAsia="仿宋"/>
                <w:szCs w:val="21"/>
              </w:rPr>
              <w:t>最高10分</w:t>
            </w:r>
          </w:p>
        </w:tc>
        <w:tc>
          <w:tcPr>
            <w:tcW w:w="850" w:type="dxa"/>
            <w:tcBorders>
              <w:top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rPr>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hint="eastAsia" w:ascii="仿宋" w:hAnsi="仿宋" w:eastAsia="仿宋"/>
                <w:szCs w:val="21"/>
              </w:rPr>
              <w:t>课题研究成果（最高20分）</w:t>
            </w:r>
          </w:p>
        </w:tc>
        <w:tc>
          <w:tcPr>
            <w:tcW w:w="4961" w:type="dxa"/>
            <w:vAlign w:val="center"/>
          </w:tcPr>
          <w:p>
            <w:pPr>
              <w:jc w:val="left"/>
              <w:rPr>
                <w:rFonts w:ascii="仿宋" w:hAnsi="仿宋" w:eastAsia="仿宋"/>
                <w:szCs w:val="21"/>
              </w:rPr>
            </w:pPr>
            <w:r>
              <w:rPr>
                <w:rFonts w:hint="eastAsia" w:ascii="仿宋" w:hAnsi="仿宋" w:eastAsia="仿宋"/>
                <w:szCs w:val="21"/>
              </w:rPr>
              <w:t>招标代理机构参与国家、自治区级或地方政府课题研究、获得专利、编制标准，国家级评审论证通过的每项6分，自治区级评审论证通过的科研课题4分，地州市级评审论证通过2分。</w:t>
            </w:r>
          </w:p>
        </w:tc>
        <w:tc>
          <w:tcPr>
            <w:tcW w:w="1418" w:type="dxa"/>
            <w:gridSpan w:val="2"/>
            <w:vAlign w:val="center"/>
          </w:tcPr>
          <w:p>
            <w:pPr>
              <w:jc w:val="center"/>
              <w:rPr>
                <w:rFonts w:ascii="仿宋" w:hAnsi="仿宋" w:eastAsia="仿宋"/>
                <w:szCs w:val="21"/>
              </w:rPr>
            </w:pPr>
            <w:r>
              <w:rPr>
                <w:rFonts w:hint="eastAsia" w:ascii="仿宋" w:hAnsi="仿宋" w:eastAsia="仿宋"/>
                <w:szCs w:val="21"/>
              </w:rPr>
              <w:t>最高20分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hint="eastAsia" w:ascii="仿宋" w:hAnsi="仿宋" w:eastAsia="仿宋"/>
                <w:szCs w:val="21"/>
              </w:rPr>
              <w:t>社会公益信息（最高20）</w:t>
            </w:r>
          </w:p>
        </w:tc>
        <w:tc>
          <w:tcPr>
            <w:tcW w:w="4961" w:type="dxa"/>
            <w:tcBorders>
              <w:bottom w:val="single" w:color="auto" w:sz="4" w:space="0"/>
            </w:tcBorders>
            <w:vAlign w:val="center"/>
          </w:tcPr>
          <w:p>
            <w:pPr>
              <w:jc w:val="left"/>
              <w:rPr>
                <w:rFonts w:ascii="仿宋" w:hAnsi="仿宋" w:eastAsia="仿宋"/>
                <w:szCs w:val="21"/>
              </w:rPr>
            </w:pPr>
            <w:r>
              <w:rPr>
                <w:rFonts w:hint="eastAsia" w:ascii="仿宋" w:hAnsi="仿宋" w:eastAsia="仿宋"/>
                <w:szCs w:val="21"/>
              </w:rPr>
              <w:t>参与救灾、慈善公益宣传等活动，受到有关部门表彰 或官方主流媒体宣传报道。</w:t>
            </w:r>
          </w:p>
        </w:tc>
        <w:tc>
          <w:tcPr>
            <w:tcW w:w="1418" w:type="dxa"/>
            <w:gridSpan w:val="2"/>
            <w:vAlign w:val="center"/>
          </w:tcPr>
          <w:p>
            <w:pPr>
              <w:jc w:val="center"/>
              <w:rPr>
                <w:rFonts w:ascii="仿宋" w:hAnsi="仿宋" w:eastAsia="仿宋"/>
                <w:szCs w:val="21"/>
              </w:rPr>
            </w:pPr>
            <w:r>
              <w:rPr>
                <w:rFonts w:hint="eastAsia" w:ascii="仿宋" w:hAnsi="仿宋" w:eastAsia="仿宋"/>
                <w:szCs w:val="21"/>
              </w:rPr>
              <w:t>1分/次（最高</w:t>
            </w:r>
            <w:r>
              <w:rPr>
                <w:rFonts w:hint="eastAsia" w:ascii="仿宋" w:hAnsi="仿宋" w:eastAsia="仿宋"/>
                <w:szCs w:val="21"/>
                <w:lang w:val="en-US" w:eastAsia="zh-CN"/>
              </w:rPr>
              <w:t>6</w:t>
            </w:r>
            <w:r>
              <w:rPr>
                <w:rFonts w:hint="eastAsia" w:ascii="仿宋" w:hAnsi="仿宋" w:eastAsia="仿宋"/>
                <w:szCs w:val="21"/>
              </w:rPr>
              <w:t>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tcBorders>
              <w:top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履行社会责任，助力脱贫攻坚，参与扶贫项目建设</w:t>
            </w:r>
          </w:p>
        </w:tc>
        <w:tc>
          <w:tcPr>
            <w:tcW w:w="1418" w:type="dxa"/>
            <w:gridSpan w:val="2"/>
            <w:vAlign w:val="center"/>
          </w:tcPr>
          <w:p>
            <w:pPr>
              <w:jc w:val="center"/>
              <w:rPr>
                <w:rFonts w:ascii="仿宋" w:hAnsi="仿宋" w:eastAsia="仿宋"/>
                <w:szCs w:val="21"/>
              </w:rPr>
            </w:pPr>
            <w:r>
              <w:rPr>
                <w:rFonts w:hint="eastAsia" w:ascii="仿宋" w:hAnsi="仿宋" w:eastAsia="仿宋"/>
                <w:szCs w:val="21"/>
              </w:rPr>
              <w:t>0.5分/万元（最高</w:t>
            </w:r>
            <w:r>
              <w:rPr>
                <w:rFonts w:hint="eastAsia" w:ascii="仿宋" w:hAnsi="仿宋" w:eastAsia="仿宋"/>
                <w:szCs w:val="21"/>
                <w:lang w:val="en-US" w:eastAsia="zh-CN"/>
              </w:rPr>
              <w:t>5</w:t>
            </w:r>
            <w:r>
              <w:rPr>
                <w:rFonts w:hint="eastAsia" w:ascii="仿宋" w:hAnsi="仿宋" w:eastAsia="仿宋"/>
                <w:szCs w:val="21"/>
              </w:rPr>
              <w:t>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tcBorders>
              <w:top w:val="single" w:color="auto" w:sz="4" w:space="0"/>
            </w:tcBorders>
            <w:vAlign w:val="center"/>
          </w:tcPr>
          <w:p>
            <w:pPr>
              <w:rPr>
                <w:rFonts w:ascii="仿宋" w:hAnsi="仿宋" w:eastAsia="仿宋"/>
                <w:szCs w:val="21"/>
              </w:rPr>
            </w:pPr>
            <w:r>
              <w:rPr>
                <w:rFonts w:hint="eastAsia" w:ascii="仿宋" w:hAnsi="仿宋" w:eastAsia="仿宋"/>
                <w:szCs w:val="21"/>
              </w:rPr>
              <w:t>为贫困人口或贫困家庭捐赠物资</w:t>
            </w:r>
          </w:p>
        </w:tc>
        <w:tc>
          <w:tcPr>
            <w:tcW w:w="1418" w:type="dxa"/>
            <w:gridSpan w:val="2"/>
          </w:tcPr>
          <w:p>
            <w:pPr>
              <w:jc w:val="left"/>
              <w:rPr>
                <w:rFonts w:ascii="仿宋" w:hAnsi="仿宋" w:eastAsia="仿宋"/>
                <w:szCs w:val="21"/>
              </w:rPr>
            </w:pPr>
            <w:r>
              <w:rPr>
                <w:rFonts w:hint="eastAsia" w:ascii="仿宋" w:hAnsi="仿宋" w:eastAsia="仿宋"/>
                <w:szCs w:val="21"/>
              </w:rPr>
              <w:t>0.</w:t>
            </w:r>
            <w:r>
              <w:rPr>
                <w:rFonts w:hint="eastAsia" w:ascii="仿宋" w:hAnsi="仿宋" w:eastAsia="仿宋"/>
                <w:szCs w:val="21"/>
                <w:lang w:val="en-US" w:eastAsia="zh-CN"/>
              </w:rPr>
              <w:t>5</w:t>
            </w:r>
            <w:r>
              <w:rPr>
                <w:rFonts w:hint="eastAsia" w:ascii="仿宋" w:hAnsi="仿宋" w:eastAsia="仿宋"/>
                <w:szCs w:val="21"/>
              </w:rPr>
              <w:t>分/万元（最高</w:t>
            </w:r>
            <w:r>
              <w:rPr>
                <w:rFonts w:hint="eastAsia" w:ascii="仿宋" w:hAnsi="仿宋" w:eastAsia="仿宋"/>
                <w:szCs w:val="21"/>
                <w:lang w:val="en-US" w:eastAsia="zh-CN"/>
              </w:rPr>
              <w:t>5</w:t>
            </w:r>
            <w:r>
              <w:rPr>
                <w:rFonts w:hint="eastAsia" w:ascii="仿宋" w:hAnsi="仿宋" w:eastAsia="仿宋"/>
                <w:szCs w:val="21"/>
              </w:rPr>
              <w:t>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企业在评价年度内，聘用疆内残疾职工，签订劳动合同1年（含）以上</w:t>
            </w:r>
          </w:p>
        </w:tc>
        <w:tc>
          <w:tcPr>
            <w:tcW w:w="1418" w:type="dxa"/>
            <w:gridSpan w:val="2"/>
            <w:vAlign w:val="center"/>
          </w:tcPr>
          <w:p>
            <w:pPr>
              <w:jc w:val="center"/>
              <w:rPr>
                <w:rFonts w:ascii="仿宋" w:hAnsi="仿宋" w:eastAsia="仿宋"/>
                <w:szCs w:val="21"/>
              </w:rPr>
            </w:pPr>
            <w:r>
              <w:rPr>
                <w:rFonts w:hint="eastAsia" w:ascii="仿宋" w:hAnsi="仿宋" w:eastAsia="仿宋"/>
                <w:szCs w:val="21"/>
              </w:rPr>
              <w:t>1分/人（最高2分）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4"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vAlign w:val="center"/>
          </w:tcPr>
          <w:p>
            <w:pPr>
              <w:jc w:val="left"/>
              <w:rPr>
                <w:rFonts w:ascii="仿宋" w:hAnsi="仿宋" w:eastAsia="仿宋"/>
                <w:szCs w:val="21"/>
              </w:rPr>
            </w:pPr>
            <w:r>
              <w:rPr>
                <w:rFonts w:hint="eastAsia" w:ascii="仿宋" w:hAnsi="仿宋" w:eastAsia="仿宋"/>
                <w:color w:val="000000" w:themeColor="text1"/>
                <w:szCs w:val="21"/>
                <w14:textFill>
                  <w14:solidFill>
                    <w14:schemeClr w14:val="tx1"/>
                  </w14:solidFill>
                </w14:textFill>
              </w:rPr>
              <w:t>企业在评价年度内，吸纳中职、中技学生或南疆富余劳动力就业，签订劳动合同1年（含）以上，聘用</w:t>
            </w: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人得1分.</w:t>
            </w:r>
          </w:p>
        </w:tc>
        <w:tc>
          <w:tcPr>
            <w:tcW w:w="1418" w:type="dxa"/>
            <w:gridSpan w:val="2"/>
            <w:vAlign w:val="center"/>
          </w:tcPr>
          <w:p>
            <w:pPr>
              <w:jc w:val="center"/>
              <w:rPr>
                <w:rFonts w:ascii="仿宋" w:hAnsi="仿宋" w:eastAsia="仿宋"/>
                <w:szCs w:val="21"/>
              </w:rPr>
            </w:pPr>
            <w:r>
              <w:rPr>
                <w:rFonts w:hint="eastAsia" w:ascii="仿宋" w:hAnsi="仿宋" w:eastAsia="仿宋"/>
                <w:szCs w:val="21"/>
              </w:rPr>
              <w:t>最高</w:t>
            </w:r>
            <w:r>
              <w:rPr>
                <w:rFonts w:hint="eastAsia" w:ascii="仿宋" w:hAnsi="仿宋" w:eastAsia="仿宋"/>
                <w:szCs w:val="21"/>
                <w:lang w:val="en-US" w:eastAsia="zh-CN"/>
              </w:rPr>
              <w:t>2</w:t>
            </w:r>
            <w:r>
              <w:rPr>
                <w:rFonts w:hint="eastAsia" w:ascii="仿宋" w:hAnsi="仿宋" w:eastAsia="仿宋"/>
                <w:szCs w:val="21"/>
              </w:rPr>
              <w:t>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jc w:val="center"/>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jc w:val="center"/>
              <w:rPr>
                <w:rFonts w:ascii="仿宋" w:hAnsi="仿宋" w:eastAsia="仿宋"/>
                <w:szCs w:val="21"/>
              </w:rPr>
            </w:pPr>
            <w:r>
              <w:rPr>
                <w:rFonts w:hint="eastAsia" w:ascii="仿宋" w:hAnsi="仿宋" w:eastAsia="仿宋"/>
                <w:szCs w:val="21"/>
              </w:rPr>
              <w:t>此项得分</w:t>
            </w:r>
          </w:p>
        </w:tc>
        <w:tc>
          <w:tcPr>
            <w:tcW w:w="2268" w:type="dxa"/>
            <w:gridSpan w:val="3"/>
            <w:tcBorders>
              <w:left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jc w:val="center"/>
              <w:rPr>
                <w:rFonts w:ascii="仿宋" w:hAnsi="仿宋" w:eastAsia="仿宋"/>
                <w:szCs w:val="21"/>
              </w:rPr>
            </w:pPr>
            <w:r>
              <w:rPr>
                <w:rFonts w:hint="eastAsia" w:ascii="仿宋" w:hAnsi="仿宋" w:eastAsia="仿宋"/>
                <w:szCs w:val="21"/>
              </w:rPr>
              <w:t>不良</w:t>
            </w:r>
          </w:p>
          <w:p>
            <w:pPr>
              <w:jc w:val="center"/>
              <w:rPr>
                <w:rFonts w:ascii="仿宋" w:hAnsi="仿宋" w:eastAsia="仿宋"/>
                <w:szCs w:val="21"/>
              </w:rPr>
            </w:pPr>
            <w:r>
              <w:rPr>
                <w:rFonts w:hint="eastAsia" w:ascii="仿宋" w:hAnsi="仿宋" w:eastAsia="仿宋"/>
                <w:szCs w:val="21"/>
              </w:rPr>
              <w:t>信用</w:t>
            </w:r>
          </w:p>
          <w:p>
            <w:pPr>
              <w:jc w:val="center"/>
              <w:rPr>
                <w:rFonts w:ascii="仿宋" w:hAnsi="仿宋" w:eastAsia="仿宋"/>
                <w:szCs w:val="21"/>
              </w:rPr>
            </w:pPr>
            <w:r>
              <w:rPr>
                <w:rFonts w:hint="eastAsia" w:ascii="仿宋" w:hAnsi="仿宋" w:eastAsia="仿宋"/>
                <w:szCs w:val="21"/>
              </w:rPr>
              <w:t>信息</w:t>
            </w:r>
          </w:p>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hint="eastAsia" w:ascii="仿宋" w:hAnsi="仿宋" w:eastAsia="仿宋"/>
                <w:szCs w:val="21"/>
              </w:rPr>
              <w:t>企业的市场行为</w:t>
            </w: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借用多个招标代理机构的名义承揽业务的</w:t>
            </w:r>
          </w:p>
        </w:tc>
        <w:tc>
          <w:tcPr>
            <w:tcW w:w="1418" w:type="dxa"/>
            <w:gridSpan w:val="2"/>
            <w:vMerge w:val="restart"/>
            <w:vAlign w:val="center"/>
          </w:tcPr>
          <w:p>
            <w:pPr>
              <w:jc w:val="center"/>
              <w:rPr>
                <w:rFonts w:ascii="仿宋" w:hAnsi="仿宋" w:eastAsia="仿宋"/>
                <w:szCs w:val="21"/>
              </w:rPr>
            </w:pPr>
            <w:r>
              <w:rPr>
                <w:rFonts w:hint="eastAsia" w:ascii="仿宋" w:hAnsi="仿宋" w:eastAsia="仿宋"/>
                <w:szCs w:val="21"/>
              </w:rPr>
              <w:t>评定为C级</w:t>
            </w:r>
          </w:p>
        </w:tc>
        <w:tc>
          <w:tcPr>
            <w:tcW w:w="850" w:type="dxa"/>
            <w:vMerge w:val="restart"/>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企业法定代表人、技术负责人、项目负责人、项目经办人，在工程建设项目招标代理活动中因重大违法行为受到刑事处罚的</w:t>
            </w:r>
          </w:p>
        </w:tc>
        <w:tc>
          <w:tcPr>
            <w:tcW w:w="1418" w:type="dxa"/>
            <w:gridSpan w:val="2"/>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企业法定代表人或相关负责人与投标人有亲属关系或其他利害关系，帮助投标人谋取中标的</w:t>
            </w:r>
          </w:p>
        </w:tc>
        <w:tc>
          <w:tcPr>
            <w:tcW w:w="1418" w:type="dxa"/>
            <w:gridSpan w:val="2"/>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将招标人意愿明示或暗示给评标专家的</w:t>
            </w:r>
          </w:p>
        </w:tc>
        <w:tc>
          <w:tcPr>
            <w:tcW w:w="1418" w:type="dxa"/>
            <w:gridSpan w:val="2"/>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受到相关部门处罚后，以重新设立公司的方式逃避法律责任的</w:t>
            </w:r>
          </w:p>
        </w:tc>
        <w:tc>
          <w:tcPr>
            <w:tcW w:w="1418" w:type="dxa"/>
            <w:gridSpan w:val="2"/>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申报信用信息时，故意隐瞒有关情况、提供虚假资料，或者以不正当手段影响评价结果客观真实的</w:t>
            </w:r>
          </w:p>
        </w:tc>
        <w:tc>
          <w:tcPr>
            <w:tcW w:w="1418" w:type="dxa"/>
            <w:gridSpan w:val="2"/>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被司法机关纳入失信被执行人名单的</w:t>
            </w:r>
          </w:p>
        </w:tc>
        <w:tc>
          <w:tcPr>
            <w:tcW w:w="1418" w:type="dxa"/>
            <w:gridSpan w:val="2"/>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 w:hRule="atLeast"/>
        </w:trPr>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法律、法规、规章规定的其他严重失信行为的</w:t>
            </w:r>
          </w:p>
        </w:tc>
        <w:tc>
          <w:tcPr>
            <w:tcW w:w="1418" w:type="dxa"/>
            <w:gridSpan w:val="2"/>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招标代理机构从事工程建设项目招标代理业务过程中受到县级以上住房城乡建设主管部门行政处罚的</w:t>
            </w:r>
          </w:p>
        </w:tc>
        <w:tc>
          <w:tcPr>
            <w:tcW w:w="1418" w:type="dxa"/>
            <w:gridSpan w:val="2"/>
            <w:vAlign w:val="center"/>
          </w:tcPr>
          <w:p>
            <w:pPr>
              <w:jc w:val="center"/>
              <w:rPr>
                <w:rFonts w:ascii="仿宋" w:hAnsi="仿宋" w:eastAsia="仿宋"/>
                <w:szCs w:val="21"/>
              </w:rPr>
            </w:pPr>
            <w:r>
              <w:rPr>
                <w:rFonts w:hint="eastAsia" w:ascii="仿宋" w:hAnsi="仿宋" w:eastAsia="仿宋"/>
                <w:szCs w:val="21"/>
              </w:rPr>
              <w:t>-20分/次</w:t>
            </w:r>
          </w:p>
        </w:tc>
        <w:tc>
          <w:tcPr>
            <w:tcW w:w="850" w:type="dxa"/>
            <w:vAlign w:val="center"/>
          </w:tcPr>
          <w:p>
            <w:pPr>
              <w:spacing w:line="240" w:lineRule="exact"/>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招标代理机构从事工程建设项目招标代理业务过程中受到县级以上住房城乡建设主管部门通报批评或行政处理的</w:t>
            </w:r>
          </w:p>
        </w:tc>
        <w:tc>
          <w:tcPr>
            <w:tcW w:w="1418" w:type="dxa"/>
            <w:gridSpan w:val="2"/>
            <w:vAlign w:val="center"/>
          </w:tcPr>
          <w:p>
            <w:pPr>
              <w:jc w:val="center"/>
              <w:rPr>
                <w:rFonts w:ascii="仿宋" w:hAnsi="仿宋" w:eastAsia="仿宋"/>
                <w:szCs w:val="21"/>
              </w:rPr>
            </w:pPr>
            <w:r>
              <w:rPr>
                <w:rFonts w:hint="eastAsia" w:ascii="仿宋" w:hAnsi="仿宋" w:eastAsia="仿宋"/>
                <w:szCs w:val="21"/>
              </w:rPr>
              <w:t>-10分/次</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招标代理机构违反区招标投标协会制定的行业自律公约等规定，受到区招标投标协会通报批评的不良信息的</w:t>
            </w:r>
          </w:p>
        </w:tc>
        <w:tc>
          <w:tcPr>
            <w:tcW w:w="1418" w:type="dxa"/>
            <w:gridSpan w:val="2"/>
            <w:vAlign w:val="center"/>
          </w:tcPr>
          <w:p>
            <w:pPr>
              <w:jc w:val="center"/>
              <w:rPr>
                <w:rFonts w:ascii="仿宋" w:hAnsi="仿宋" w:eastAsia="仿宋"/>
                <w:szCs w:val="21"/>
              </w:rPr>
            </w:pPr>
            <w:r>
              <w:rPr>
                <w:rFonts w:hint="eastAsia" w:ascii="仿宋" w:hAnsi="仿宋" w:eastAsia="仿宋"/>
                <w:szCs w:val="21"/>
              </w:rPr>
              <w:t>-8分/次</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招标代理机构受到其他行政处理的</w:t>
            </w:r>
          </w:p>
        </w:tc>
        <w:tc>
          <w:tcPr>
            <w:tcW w:w="1418" w:type="dxa"/>
            <w:gridSpan w:val="2"/>
            <w:vAlign w:val="center"/>
          </w:tcPr>
          <w:p>
            <w:pPr>
              <w:jc w:val="center"/>
              <w:rPr>
                <w:rFonts w:ascii="仿宋" w:hAnsi="仿宋" w:eastAsia="仿宋"/>
                <w:szCs w:val="21"/>
              </w:rPr>
            </w:pPr>
            <w:r>
              <w:rPr>
                <w:rFonts w:hint="eastAsia" w:ascii="仿宋" w:hAnsi="仿宋" w:eastAsia="仿宋"/>
                <w:szCs w:val="21"/>
              </w:rPr>
              <w:t>-8分/次</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tcBorders>
              <w:bottom w:val="single" w:color="auto" w:sz="4" w:space="0"/>
            </w:tcBorders>
            <w:vAlign w:val="center"/>
          </w:tcPr>
          <w:p>
            <w:pPr>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招标代理机构经司法机关判决或裁定认定有其他合同违约行为的</w:t>
            </w:r>
          </w:p>
        </w:tc>
        <w:tc>
          <w:tcPr>
            <w:tcW w:w="1418" w:type="dxa"/>
            <w:gridSpan w:val="2"/>
            <w:tcBorders>
              <w:bottom w:val="single" w:color="auto" w:sz="4" w:space="0"/>
            </w:tcBorders>
            <w:vAlign w:val="center"/>
          </w:tcPr>
          <w:p>
            <w:pPr>
              <w:jc w:val="center"/>
              <w:rPr>
                <w:rFonts w:ascii="仿宋" w:hAnsi="仿宋" w:eastAsia="仿宋"/>
                <w:szCs w:val="21"/>
              </w:rPr>
            </w:pPr>
            <w:r>
              <w:rPr>
                <w:rFonts w:hint="eastAsia" w:ascii="仿宋" w:hAnsi="仿宋" w:eastAsia="仿宋"/>
                <w:szCs w:val="21"/>
              </w:rPr>
              <w:t>-10分/次</w:t>
            </w:r>
          </w:p>
        </w:tc>
        <w:tc>
          <w:tcPr>
            <w:tcW w:w="850" w:type="dxa"/>
            <w:tcBorders>
              <w:bottom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tcBorders>
              <w:top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工程建设项目规范化考核标准（附件3）</w:t>
            </w:r>
          </w:p>
        </w:tc>
        <w:tc>
          <w:tcPr>
            <w:tcW w:w="1418" w:type="dxa"/>
            <w:gridSpan w:val="2"/>
            <w:tcBorders>
              <w:top w:val="single" w:color="auto" w:sz="4" w:space="0"/>
            </w:tcBorders>
            <w:vAlign w:val="center"/>
          </w:tcPr>
          <w:p>
            <w:pPr>
              <w:jc w:val="center"/>
              <w:rPr>
                <w:rFonts w:ascii="仿宋" w:hAnsi="仿宋" w:eastAsia="仿宋"/>
                <w:szCs w:val="21"/>
              </w:rPr>
            </w:pPr>
            <w:r>
              <w:rPr>
                <w:rFonts w:hint="eastAsia" w:ascii="仿宋" w:hAnsi="仿宋" w:eastAsia="仿宋"/>
                <w:szCs w:val="21"/>
              </w:rPr>
              <w:t>-5分/项</w:t>
            </w:r>
          </w:p>
        </w:tc>
        <w:tc>
          <w:tcPr>
            <w:tcW w:w="850" w:type="dxa"/>
            <w:tcBorders>
              <w:top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jc w:val="center"/>
            </w:pPr>
            <w:r>
              <w:rPr>
                <w:rFonts w:hint="eastAsia" w:ascii="仿宋" w:hAnsi="仿宋" w:eastAsia="仿宋"/>
                <w:szCs w:val="21"/>
              </w:rPr>
              <w:t>小计得分</w:t>
            </w:r>
          </w:p>
        </w:tc>
        <w:tc>
          <w:tcPr>
            <w:tcW w:w="1418" w:type="dxa"/>
          </w:tcPr>
          <w:p>
            <w:pPr>
              <w:jc w:val="center"/>
              <w:rPr>
                <w:rFonts w:ascii="仿宋" w:hAnsi="仿宋" w:eastAsia="仿宋"/>
                <w:szCs w:val="21"/>
              </w:rPr>
            </w:pPr>
          </w:p>
        </w:tc>
        <w:tc>
          <w:tcPr>
            <w:tcW w:w="4961" w:type="dxa"/>
            <w:tcBorders>
              <w:right w:val="single" w:color="auto" w:sz="4" w:space="0"/>
            </w:tcBorders>
            <w:vAlign w:val="center"/>
          </w:tcPr>
          <w:p>
            <w:pPr>
              <w:jc w:val="center"/>
            </w:pPr>
            <w:r>
              <w:rPr>
                <w:rFonts w:hint="eastAsia" w:ascii="仿宋" w:hAnsi="仿宋" w:eastAsia="仿宋"/>
                <w:szCs w:val="21"/>
              </w:rPr>
              <w:t>此项得分</w:t>
            </w:r>
          </w:p>
        </w:tc>
        <w:tc>
          <w:tcPr>
            <w:tcW w:w="2268" w:type="dxa"/>
            <w:gridSpan w:val="3"/>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exact"/>
        </w:trPr>
        <w:tc>
          <w:tcPr>
            <w:tcW w:w="1134" w:type="dxa"/>
          </w:tcPr>
          <w:p>
            <w:pPr>
              <w:rPr>
                <w:rFonts w:ascii="仿宋" w:hAnsi="仿宋" w:eastAsia="仿宋"/>
                <w:b/>
                <w:sz w:val="28"/>
                <w:szCs w:val="28"/>
              </w:rPr>
            </w:pPr>
          </w:p>
        </w:tc>
        <w:tc>
          <w:tcPr>
            <w:tcW w:w="8647" w:type="dxa"/>
            <w:gridSpan w:val="5"/>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exact"/>
        </w:trPr>
        <w:tc>
          <w:tcPr>
            <w:tcW w:w="1134" w:type="dxa"/>
            <w:vAlign w:val="center"/>
          </w:tcPr>
          <w:p>
            <w:pPr>
              <w:jc w:val="center"/>
              <w:rPr>
                <w:rFonts w:ascii="仿宋" w:hAnsi="仿宋" w:eastAsia="仿宋"/>
                <w:szCs w:val="21"/>
              </w:rPr>
            </w:pPr>
            <w:r>
              <w:rPr>
                <w:rFonts w:hint="eastAsia" w:ascii="仿宋" w:hAnsi="仿宋" w:eastAsia="仿宋"/>
                <w:szCs w:val="21"/>
              </w:rPr>
              <w:t>评价结果</w:t>
            </w:r>
          </w:p>
        </w:tc>
        <w:tc>
          <w:tcPr>
            <w:tcW w:w="1418" w:type="dxa"/>
          </w:tcPr>
          <w:p>
            <w:pPr>
              <w:jc w:val="center"/>
            </w:pPr>
          </w:p>
        </w:tc>
        <w:tc>
          <w:tcPr>
            <w:tcW w:w="7229"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exact"/>
        </w:trPr>
        <w:tc>
          <w:tcPr>
            <w:tcW w:w="1134" w:type="dxa"/>
            <w:vAlign w:val="center"/>
          </w:tcPr>
          <w:p>
            <w:pPr>
              <w:jc w:val="center"/>
              <w:rPr>
                <w:rFonts w:ascii="仿宋" w:hAnsi="仿宋" w:eastAsia="仿宋"/>
                <w:szCs w:val="21"/>
              </w:rPr>
            </w:pPr>
            <w:r>
              <w:rPr>
                <w:rFonts w:hint="eastAsia" w:ascii="仿宋" w:hAnsi="仿宋" w:eastAsia="仿宋"/>
                <w:szCs w:val="21"/>
              </w:rPr>
              <w:t>评价日期</w:t>
            </w:r>
          </w:p>
        </w:tc>
        <w:tc>
          <w:tcPr>
            <w:tcW w:w="1418" w:type="dxa"/>
          </w:tcPr>
          <w:p>
            <w:pPr>
              <w:jc w:val="center"/>
            </w:pPr>
          </w:p>
        </w:tc>
        <w:tc>
          <w:tcPr>
            <w:tcW w:w="7229"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vAlign w:val="center"/>
          </w:tcPr>
          <w:p>
            <w:pPr>
              <w:jc w:val="center"/>
              <w:rPr>
                <w:rFonts w:ascii="仿宋" w:hAnsi="仿宋" w:eastAsia="仿宋"/>
                <w:szCs w:val="21"/>
              </w:rPr>
            </w:pPr>
            <w:r>
              <w:rPr>
                <w:rFonts w:hint="eastAsia" w:ascii="仿宋" w:hAnsi="仿宋" w:eastAsia="仿宋"/>
                <w:szCs w:val="21"/>
              </w:rPr>
              <w:t>审核人</w:t>
            </w:r>
          </w:p>
        </w:tc>
        <w:tc>
          <w:tcPr>
            <w:tcW w:w="1418" w:type="dxa"/>
          </w:tcPr>
          <w:p>
            <w:pPr>
              <w:jc w:val="center"/>
            </w:pPr>
          </w:p>
        </w:tc>
        <w:tc>
          <w:tcPr>
            <w:tcW w:w="7229" w:type="dxa"/>
            <w:gridSpan w:val="4"/>
            <w:vAlign w:val="center"/>
          </w:tcPr>
          <w:p>
            <w:pPr>
              <w:jc w:val="center"/>
            </w:pPr>
          </w:p>
        </w:tc>
      </w:tr>
    </w:tbl>
    <w:tbl>
      <w:tblPr>
        <w:tblStyle w:val="5"/>
        <w:tblpPr w:leftFromText="180" w:rightFromText="180" w:vertAnchor="text" w:tblpX="10214" w:tblpY="-25986"/>
        <w:tblOverlap w:val="never"/>
        <w:tblW w:w="2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64" w:type="dxa"/>
          </w:tcPr>
          <w:p/>
        </w:tc>
      </w:tr>
    </w:tbl>
    <w:tbl>
      <w:tblPr>
        <w:tblStyle w:val="5"/>
        <w:tblpPr w:leftFromText="180" w:rightFromText="180" w:vertAnchor="text" w:tblpX="10214" w:tblpY="-24618"/>
        <w:tblOverlap w:val="never"/>
        <w:tblW w:w="3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64" w:type="dxa"/>
          </w:tcPr>
          <w:p/>
        </w:tc>
      </w:tr>
    </w:tbl>
    <w:tbl>
      <w:tblPr>
        <w:tblStyle w:val="5"/>
        <w:tblpPr w:leftFromText="180" w:rightFromText="180" w:vertAnchor="text" w:tblpX="10214" w:tblpY="-25062"/>
        <w:tblOverlap w:val="never"/>
        <w:tblW w:w="2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84" w:type="dxa"/>
          </w:tcPr>
          <w:p/>
        </w:tc>
      </w:tr>
    </w:tbl>
    <w:tbl>
      <w:tblPr>
        <w:tblStyle w:val="5"/>
        <w:tblpPr w:leftFromText="180" w:rightFromText="180" w:vertAnchor="text" w:tblpX="10214" w:tblpY="-24714"/>
        <w:tblOverlap w:val="never"/>
        <w:tblW w:w="2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4" w:type="dxa"/>
          </w:tcPr>
          <w:p>
            <w:pPr>
              <w:widowControl/>
              <w:jc w:val="left"/>
              <w:rPr>
                <w:rFonts w:asciiTheme="majorEastAsia" w:hAnsiTheme="majorEastAsia" w:eastAsiaTheme="majorEastAsia"/>
                <w:sz w:val="28"/>
                <w:szCs w:val="28"/>
              </w:rPr>
            </w:pPr>
          </w:p>
        </w:tc>
      </w:tr>
    </w:tbl>
    <w:p>
      <w:pPr>
        <w:widowControl/>
        <w:jc w:val="left"/>
        <w:rPr>
          <w:rFonts w:asciiTheme="majorEastAsia" w:hAnsiTheme="majorEastAsia" w:eastAsiaTheme="majorEastAsia"/>
          <w:sz w:val="28"/>
          <w:szCs w:val="28"/>
        </w:rPr>
      </w:pPr>
      <w:r>
        <w:rPr>
          <w:rFonts w:hint="eastAsia" w:asciiTheme="majorEastAsia" w:hAnsiTheme="majorEastAsia" w:eastAsiaTheme="majorEastAsia"/>
          <w:sz w:val="28"/>
          <w:szCs w:val="28"/>
        </w:rPr>
        <w:t>附件2</w:t>
      </w:r>
    </w:p>
    <w:p>
      <w:pPr>
        <w:spacing w:line="500" w:lineRule="exact"/>
        <w:jc w:val="center"/>
        <w:rPr>
          <w:rFonts w:asciiTheme="minorEastAsia" w:hAnsiTheme="minorEastAsia"/>
          <w:b/>
          <w:sz w:val="32"/>
          <w:szCs w:val="32"/>
        </w:rPr>
      </w:pPr>
      <w:r>
        <w:rPr>
          <w:rFonts w:hint="eastAsia" w:asciiTheme="minorEastAsia" w:hAnsiTheme="minorEastAsia"/>
          <w:b/>
          <w:sz w:val="32"/>
          <w:szCs w:val="32"/>
        </w:rPr>
        <w:t>工程建设项目招标代理机构从业人员信用信息评价标准</w:t>
      </w:r>
    </w:p>
    <w:tbl>
      <w:tblPr>
        <w:tblStyle w:val="5"/>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18"/>
        <w:gridCol w:w="5081"/>
        <w:gridCol w:w="1298"/>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spacing w:line="340" w:lineRule="exact"/>
              <w:jc w:val="center"/>
              <w:rPr>
                <w:rFonts w:asciiTheme="minorEastAsia" w:hAnsiTheme="minorEastAsia"/>
                <w:b/>
                <w:sz w:val="28"/>
                <w:szCs w:val="28"/>
              </w:rPr>
            </w:pPr>
            <w:r>
              <w:rPr>
                <w:rFonts w:hint="eastAsia" w:asciiTheme="minorEastAsia" w:hAnsiTheme="minorEastAsia"/>
                <w:b/>
                <w:sz w:val="28"/>
                <w:szCs w:val="28"/>
              </w:rPr>
              <w:t>信用信息分类</w:t>
            </w:r>
          </w:p>
        </w:tc>
        <w:tc>
          <w:tcPr>
            <w:tcW w:w="1418" w:type="dxa"/>
          </w:tcPr>
          <w:p>
            <w:pPr>
              <w:spacing w:line="340" w:lineRule="exact"/>
              <w:jc w:val="center"/>
              <w:rPr>
                <w:rFonts w:asciiTheme="minorEastAsia" w:hAnsiTheme="minorEastAsia"/>
                <w:b/>
                <w:sz w:val="28"/>
                <w:szCs w:val="28"/>
              </w:rPr>
            </w:pPr>
            <w:r>
              <w:rPr>
                <w:rFonts w:hint="eastAsia" w:asciiTheme="minorEastAsia" w:hAnsiTheme="minorEastAsia"/>
                <w:b/>
                <w:sz w:val="28"/>
                <w:szCs w:val="28"/>
              </w:rPr>
              <w:t>信用信息指标</w:t>
            </w:r>
          </w:p>
        </w:tc>
        <w:tc>
          <w:tcPr>
            <w:tcW w:w="5081" w:type="dxa"/>
            <w:vAlign w:val="center"/>
          </w:tcPr>
          <w:p>
            <w:pPr>
              <w:jc w:val="center"/>
              <w:rPr>
                <w:rFonts w:asciiTheme="minorEastAsia" w:hAnsiTheme="minorEastAsia"/>
                <w:b/>
                <w:sz w:val="28"/>
                <w:szCs w:val="28"/>
              </w:rPr>
            </w:pPr>
            <w:r>
              <w:rPr>
                <w:rFonts w:hint="eastAsia" w:asciiTheme="minorEastAsia" w:hAnsiTheme="minorEastAsia"/>
                <w:b/>
                <w:sz w:val="28"/>
                <w:szCs w:val="28"/>
              </w:rPr>
              <w:t>评价标准</w:t>
            </w:r>
          </w:p>
        </w:tc>
        <w:tc>
          <w:tcPr>
            <w:tcW w:w="1298" w:type="dxa"/>
            <w:vAlign w:val="center"/>
          </w:tcPr>
          <w:p>
            <w:pPr>
              <w:jc w:val="center"/>
              <w:rPr>
                <w:rFonts w:asciiTheme="minorEastAsia" w:hAnsiTheme="minorEastAsia"/>
                <w:b/>
                <w:sz w:val="28"/>
                <w:szCs w:val="28"/>
              </w:rPr>
            </w:pPr>
            <w:r>
              <w:rPr>
                <w:rFonts w:hint="eastAsia" w:asciiTheme="minorEastAsia" w:hAnsiTheme="minorEastAsia"/>
                <w:b/>
                <w:sz w:val="28"/>
                <w:szCs w:val="28"/>
              </w:rPr>
              <w:t>分值</w:t>
            </w:r>
          </w:p>
        </w:tc>
        <w:tc>
          <w:tcPr>
            <w:tcW w:w="850" w:type="dxa"/>
            <w:vAlign w:val="center"/>
          </w:tcPr>
          <w:p>
            <w:pPr>
              <w:jc w:val="center"/>
              <w:rPr>
                <w:rFonts w:asciiTheme="minorEastAsia" w:hAnsiTheme="minorEastAsia"/>
                <w:b/>
                <w:sz w:val="28"/>
                <w:szCs w:val="28"/>
              </w:rPr>
            </w:pPr>
            <w:r>
              <w:rPr>
                <w:rFonts w:hint="eastAsia" w:asciiTheme="minorEastAsia" w:hAnsiTheme="minorEastAsia"/>
                <w:b/>
                <w:sz w:val="28"/>
                <w:szCs w:val="2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基本信用</w:t>
            </w:r>
          </w:p>
          <w:p>
            <w:pPr>
              <w:jc w:val="center"/>
              <w:rPr>
                <w:rFonts w:ascii="仿宋" w:hAnsi="仿宋" w:eastAsia="仿宋"/>
                <w:szCs w:val="21"/>
              </w:rPr>
            </w:pPr>
            <w:r>
              <w:rPr>
                <w:rFonts w:hint="eastAsia" w:ascii="仿宋" w:hAnsi="仿宋" w:eastAsia="仿宋"/>
                <w:szCs w:val="21"/>
              </w:rPr>
              <w:t>信息（70分）</w:t>
            </w:r>
          </w:p>
        </w:tc>
        <w:tc>
          <w:tcPr>
            <w:tcW w:w="1418" w:type="dxa"/>
            <w:vMerge w:val="restart"/>
            <w:vAlign w:val="center"/>
          </w:tcPr>
          <w:p>
            <w:pPr>
              <w:jc w:val="center"/>
              <w:rPr>
                <w:rFonts w:ascii="仿宋" w:hAnsi="仿宋" w:eastAsia="仿宋"/>
                <w:szCs w:val="21"/>
              </w:rPr>
            </w:pPr>
            <w:r>
              <w:rPr>
                <w:rFonts w:hint="eastAsia" w:ascii="仿宋" w:hAnsi="仿宋" w:eastAsia="仿宋"/>
                <w:szCs w:val="21"/>
              </w:rPr>
              <w:t>基本信息申报（35分）</w:t>
            </w:r>
          </w:p>
        </w:tc>
        <w:tc>
          <w:tcPr>
            <w:tcW w:w="5081" w:type="dxa"/>
            <w:vAlign w:val="center"/>
          </w:tcPr>
          <w:p>
            <w:pPr>
              <w:rPr>
                <w:rFonts w:ascii="仿宋" w:hAnsi="仿宋" w:eastAsia="仿宋"/>
                <w:szCs w:val="21"/>
              </w:rPr>
            </w:pPr>
            <w:r>
              <w:rPr>
                <w:rFonts w:hint="eastAsia" w:ascii="仿宋" w:hAnsi="仿宋" w:eastAsia="仿宋"/>
                <w:szCs w:val="21"/>
              </w:rPr>
              <w:t>姓名、执业资格证书编号及类别、岗位证书、信用编号、注册执业单位。申报情况与注册情况及实际情况一致，得25分，一项不一致扣4分</w:t>
            </w:r>
          </w:p>
        </w:tc>
        <w:tc>
          <w:tcPr>
            <w:tcW w:w="1298" w:type="dxa"/>
            <w:vAlign w:val="center"/>
          </w:tcPr>
          <w:p>
            <w:pPr>
              <w:jc w:val="center"/>
              <w:rPr>
                <w:rFonts w:ascii="仿宋" w:hAnsi="仿宋" w:eastAsia="仿宋"/>
                <w:szCs w:val="21"/>
              </w:rPr>
            </w:pPr>
            <w:r>
              <w:rPr>
                <w:rFonts w:hint="eastAsia" w:ascii="仿宋" w:hAnsi="仿宋" w:eastAsia="仿宋"/>
                <w:szCs w:val="21"/>
              </w:rPr>
              <w:t>25分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5081" w:type="dxa"/>
            <w:vAlign w:val="center"/>
          </w:tcPr>
          <w:p>
            <w:pPr>
              <w:jc w:val="center"/>
              <w:rPr>
                <w:rFonts w:ascii="仿宋" w:hAnsi="仿宋" w:eastAsia="仿宋"/>
                <w:szCs w:val="21"/>
              </w:rPr>
            </w:pPr>
            <w:r>
              <w:rPr>
                <w:rFonts w:hint="eastAsia" w:ascii="仿宋" w:hAnsi="仿宋" w:eastAsia="仿宋"/>
                <w:szCs w:val="21"/>
              </w:rPr>
              <w:t>按期参加延续信用培训</w:t>
            </w:r>
          </w:p>
        </w:tc>
        <w:tc>
          <w:tcPr>
            <w:tcW w:w="1298" w:type="dxa"/>
            <w:vAlign w:val="center"/>
          </w:tcPr>
          <w:p>
            <w:pPr>
              <w:jc w:val="center"/>
              <w:rPr>
                <w:rFonts w:ascii="仿宋" w:hAnsi="仿宋" w:eastAsia="仿宋"/>
                <w:szCs w:val="21"/>
              </w:rPr>
            </w:pPr>
            <w:r>
              <w:rPr>
                <w:rFonts w:hint="eastAsia" w:ascii="仿宋" w:hAnsi="仿宋" w:eastAsia="仿宋"/>
                <w:szCs w:val="21"/>
              </w:rPr>
              <w:t>10分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tcPr>
          <w:p>
            <w:pPr>
              <w:jc w:val="center"/>
              <w:rPr>
                <w:rFonts w:ascii="仿宋" w:hAnsi="仿宋" w:eastAsia="仿宋"/>
                <w:szCs w:val="21"/>
              </w:rPr>
            </w:pPr>
            <w:r>
              <w:rPr>
                <w:rFonts w:hint="eastAsia" w:ascii="仿宋" w:hAnsi="仿宋" w:eastAsia="仿宋"/>
                <w:szCs w:val="21"/>
              </w:rPr>
              <w:t>业绩（35分）</w:t>
            </w:r>
          </w:p>
        </w:tc>
        <w:tc>
          <w:tcPr>
            <w:tcW w:w="5081" w:type="dxa"/>
            <w:vAlign w:val="center"/>
          </w:tcPr>
          <w:p>
            <w:pPr>
              <w:rPr>
                <w:rFonts w:ascii="仿宋" w:hAnsi="仿宋" w:eastAsia="仿宋"/>
                <w:szCs w:val="21"/>
              </w:rPr>
            </w:pPr>
            <w:r>
              <w:rPr>
                <w:rFonts w:hint="eastAsia" w:ascii="仿宋" w:hAnsi="仿宋" w:eastAsia="仿宋"/>
                <w:szCs w:val="21"/>
              </w:rPr>
              <w:t>评价年度内承担工程建设项目招标代理业绩1项得5分</w:t>
            </w:r>
          </w:p>
        </w:tc>
        <w:tc>
          <w:tcPr>
            <w:tcW w:w="1298" w:type="dxa"/>
            <w:vAlign w:val="center"/>
          </w:tcPr>
          <w:p>
            <w:pPr>
              <w:jc w:val="center"/>
              <w:rPr>
                <w:rFonts w:ascii="仿宋" w:hAnsi="仿宋" w:eastAsia="仿宋"/>
                <w:szCs w:val="21"/>
              </w:rPr>
            </w:pPr>
            <w:r>
              <w:rPr>
                <w:rFonts w:hint="eastAsia" w:ascii="仿宋" w:hAnsi="仿宋" w:eastAsia="仿宋"/>
                <w:szCs w:val="21"/>
              </w:rPr>
              <w:t>最高35分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jc w:val="center"/>
              <w:rPr>
                <w:rFonts w:ascii="仿宋" w:hAnsi="仿宋" w:eastAsia="仿宋"/>
                <w:szCs w:val="21"/>
              </w:rPr>
            </w:pPr>
            <w:r>
              <w:rPr>
                <w:rFonts w:hint="eastAsia" w:ascii="仿宋" w:hAnsi="仿宋" w:eastAsia="仿宋"/>
                <w:szCs w:val="21"/>
              </w:rPr>
              <w:t>小计得分</w:t>
            </w:r>
          </w:p>
        </w:tc>
        <w:tc>
          <w:tcPr>
            <w:tcW w:w="1418" w:type="dxa"/>
          </w:tcPr>
          <w:p>
            <w:pPr>
              <w:jc w:val="center"/>
              <w:rPr>
                <w:rFonts w:ascii="仿宋" w:hAnsi="仿宋" w:eastAsia="仿宋"/>
                <w:szCs w:val="21"/>
              </w:rPr>
            </w:pPr>
          </w:p>
        </w:tc>
        <w:tc>
          <w:tcPr>
            <w:tcW w:w="508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此项得分</w:t>
            </w:r>
          </w:p>
        </w:tc>
        <w:tc>
          <w:tcPr>
            <w:tcW w:w="2148"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2" w:hRule="atLeast"/>
        </w:trPr>
        <w:tc>
          <w:tcPr>
            <w:tcW w:w="1134" w:type="dxa"/>
            <w:vMerge w:val="restart"/>
            <w:vAlign w:val="center"/>
          </w:tcPr>
          <w:p>
            <w:pPr>
              <w:jc w:val="center"/>
              <w:rPr>
                <w:rFonts w:ascii="仿宋" w:hAnsi="仿宋" w:eastAsia="仿宋"/>
                <w:szCs w:val="21"/>
              </w:rPr>
            </w:pPr>
            <w:r>
              <w:rPr>
                <w:rFonts w:hint="eastAsia" w:ascii="仿宋" w:hAnsi="仿宋" w:eastAsia="仿宋"/>
                <w:szCs w:val="21"/>
              </w:rPr>
              <w:t>良好信用信息（最高70分）</w:t>
            </w:r>
          </w:p>
        </w:tc>
        <w:tc>
          <w:tcPr>
            <w:tcW w:w="1418" w:type="dxa"/>
            <w:vMerge w:val="restart"/>
            <w:vAlign w:val="center"/>
          </w:tcPr>
          <w:p>
            <w:pPr>
              <w:jc w:val="center"/>
              <w:rPr>
                <w:rFonts w:ascii="仿宋" w:hAnsi="仿宋" w:eastAsia="仿宋"/>
                <w:szCs w:val="21"/>
              </w:rPr>
            </w:pPr>
            <w:r>
              <w:rPr>
                <w:rFonts w:hint="eastAsia" w:ascii="仿宋" w:hAnsi="仿宋" w:eastAsia="仿宋"/>
                <w:szCs w:val="21"/>
              </w:rPr>
              <w:t>获奖（表彰）信息（最高</w:t>
            </w:r>
            <w:r>
              <w:rPr>
                <w:rFonts w:hint="eastAsia" w:ascii="仿宋" w:hAnsi="仿宋" w:eastAsia="仿宋"/>
                <w:szCs w:val="21"/>
                <w:lang w:val="en-US" w:eastAsia="zh-CN"/>
              </w:rPr>
              <w:t>3</w:t>
            </w:r>
            <w:r>
              <w:rPr>
                <w:rFonts w:hint="eastAsia" w:ascii="仿宋" w:hAnsi="仿宋" w:eastAsia="仿宋"/>
                <w:szCs w:val="21"/>
              </w:rPr>
              <w:t>0分）</w:t>
            </w:r>
          </w:p>
        </w:tc>
        <w:tc>
          <w:tcPr>
            <w:tcW w:w="5081" w:type="dxa"/>
            <w:tcBorders>
              <w:right w:val="single" w:color="auto" w:sz="4" w:space="0"/>
            </w:tcBorders>
            <w:vAlign w:val="center"/>
          </w:tcPr>
          <w:p>
            <w:pPr>
              <w:jc w:val="left"/>
              <w:rPr>
                <w:rFonts w:ascii="仿宋" w:hAnsi="仿宋" w:eastAsia="仿宋"/>
                <w:szCs w:val="21"/>
              </w:rPr>
            </w:pPr>
            <w:r>
              <w:rPr>
                <w:rFonts w:hint="eastAsia" w:ascii="仿宋" w:hAnsi="仿宋" w:eastAsia="仿宋"/>
                <w:szCs w:val="21"/>
              </w:rPr>
              <w:t>受到县级以上住房和城乡建设主管部门或建设工程招投标行业协会（学会）通报表彰的，以发文时间为准，未发文的以证书、奖牌发放时间为准：国家级每次计10分；自治区级每次计8分；州市级每次计5分；县级每次记2分，效期1年。</w:t>
            </w:r>
          </w:p>
        </w:tc>
        <w:tc>
          <w:tcPr>
            <w:tcW w:w="129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最高30分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0" w:hRule="atLeast"/>
        </w:trPr>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hint="eastAsia" w:ascii="仿宋" w:hAnsi="仿宋" w:eastAsia="仿宋"/>
                <w:szCs w:val="21"/>
              </w:rPr>
              <w:t>课题研究（最高10分）</w:t>
            </w:r>
          </w:p>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szCs w:val="21"/>
              </w:rPr>
              <w:t>在国家级和省级刊物发表与业务领域相关的论文、国家级每篇4分，省级每篇2分（刊物应为核心期刊或行业内认可的刊物）</w:t>
            </w:r>
          </w:p>
        </w:tc>
        <w:tc>
          <w:tcPr>
            <w:tcW w:w="1298" w:type="dxa"/>
            <w:vAlign w:val="center"/>
          </w:tcPr>
          <w:p>
            <w:pPr>
              <w:jc w:val="center"/>
              <w:rPr>
                <w:rFonts w:ascii="仿宋" w:hAnsi="仿宋" w:eastAsia="仿宋"/>
                <w:szCs w:val="21"/>
              </w:rPr>
            </w:pPr>
            <w:r>
              <w:rPr>
                <w:rFonts w:hint="eastAsia" w:ascii="仿宋" w:hAnsi="仿宋" w:eastAsia="仿宋"/>
                <w:szCs w:val="21"/>
              </w:rPr>
              <w:t>4分/2分/篇</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szCs w:val="21"/>
              </w:rPr>
              <w:t>参与政府部门或行业协会组织的课题研究、授课、论坛讲座、技术咨询等</w:t>
            </w:r>
          </w:p>
        </w:tc>
        <w:tc>
          <w:tcPr>
            <w:tcW w:w="1298" w:type="dxa"/>
            <w:vAlign w:val="center"/>
          </w:tcPr>
          <w:p>
            <w:pPr>
              <w:jc w:val="center"/>
              <w:rPr>
                <w:rFonts w:ascii="仿宋" w:hAnsi="仿宋" w:eastAsia="仿宋"/>
                <w:szCs w:val="21"/>
              </w:rPr>
            </w:pPr>
            <w:r>
              <w:rPr>
                <w:rFonts w:hint="eastAsia" w:ascii="仿宋" w:hAnsi="仿宋" w:eastAsia="仿宋"/>
                <w:szCs w:val="21"/>
              </w:rPr>
              <w:t>2分/项，课题主笔5分/项</w:t>
            </w:r>
          </w:p>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1134" w:type="dxa"/>
            <w:vMerge w:val="continue"/>
            <w:vAlign w:val="center"/>
          </w:tcPr>
          <w:p>
            <w:pPr>
              <w:jc w:val="center"/>
              <w:rPr>
                <w:rFonts w:ascii="仿宋" w:hAnsi="仿宋" w:eastAsia="仿宋"/>
                <w:szCs w:val="21"/>
              </w:rPr>
            </w:pPr>
          </w:p>
        </w:tc>
        <w:tc>
          <w:tcPr>
            <w:tcW w:w="1418" w:type="dxa"/>
            <w:tcBorders>
              <w:bottom w:val="single" w:color="auto" w:sz="4" w:space="0"/>
            </w:tcBorders>
          </w:tcPr>
          <w:p>
            <w:pPr>
              <w:jc w:val="left"/>
              <w:rPr>
                <w:rFonts w:ascii="仿宋" w:hAnsi="仿宋" w:eastAsia="仿宋"/>
                <w:szCs w:val="21"/>
              </w:rPr>
            </w:pPr>
            <w:r>
              <w:rPr>
                <w:rFonts w:ascii="仿宋" w:hAnsi="仿宋" w:eastAsia="仿宋"/>
                <w:szCs w:val="21"/>
              </w:rPr>
              <w:t>社会公益信息</w:t>
            </w:r>
            <w:r>
              <w:rPr>
                <w:rFonts w:hint="eastAsia" w:ascii="仿宋" w:hAnsi="仿宋" w:eastAsia="仿宋"/>
                <w:szCs w:val="21"/>
              </w:rPr>
              <w:t>（最高10分）</w:t>
            </w:r>
          </w:p>
        </w:tc>
        <w:tc>
          <w:tcPr>
            <w:tcW w:w="5081" w:type="dxa"/>
            <w:tcBorders>
              <w:bottom w:val="single" w:color="auto" w:sz="4" w:space="0"/>
            </w:tcBorders>
            <w:vAlign w:val="center"/>
          </w:tcPr>
          <w:p>
            <w:pPr>
              <w:jc w:val="left"/>
              <w:rPr>
                <w:rFonts w:ascii="仿宋" w:hAnsi="仿宋" w:eastAsia="仿宋"/>
                <w:szCs w:val="21"/>
              </w:rPr>
            </w:pPr>
            <w:r>
              <w:rPr>
                <w:rFonts w:hint="eastAsia" w:ascii="仿宋" w:hAnsi="仿宋" w:eastAsia="仿宋"/>
                <w:szCs w:val="21"/>
              </w:rPr>
              <w:t>从业人员参加救灾、物资捐赠、助力脱贫攻坚、慈善公益宣传等活动的，每次加5分</w:t>
            </w:r>
          </w:p>
        </w:tc>
        <w:tc>
          <w:tcPr>
            <w:tcW w:w="1298" w:type="dxa"/>
            <w:tcBorders>
              <w:bottom w:val="single" w:color="auto" w:sz="4" w:space="0"/>
            </w:tcBorders>
            <w:vAlign w:val="center"/>
          </w:tcPr>
          <w:p>
            <w:pPr>
              <w:rPr>
                <w:rFonts w:ascii="仿宋" w:hAnsi="仿宋" w:eastAsia="仿宋"/>
                <w:szCs w:val="21"/>
              </w:rPr>
            </w:pPr>
            <w:r>
              <w:rPr>
                <w:rFonts w:hint="eastAsia" w:ascii="仿宋" w:hAnsi="仿宋" w:eastAsia="仿宋"/>
                <w:szCs w:val="21"/>
              </w:rPr>
              <w:t>最高10分</w:t>
            </w:r>
          </w:p>
        </w:tc>
        <w:tc>
          <w:tcPr>
            <w:tcW w:w="850" w:type="dxa"/>
            <w:tcBorders>
              <w:bottom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1134" w:type="dxa"/>
            <w:vMerge w:val="continue"/>
            <w:vAlign w:val="center"/>
          </w:tcPr>
          <w:p>
            <w:pPr>
              <w:jc w:val="center"/>
              <w:rPr>
                <w:rFonts w:ascii="仿宋" w:hAnsi="仿宋" w:eastAsia="仿宋"/>
                <w:szCs w:val="21"/>
              </w:rPr>
            </w:pPr>
          </w:p>
        </w:tc>
        <w:tc>
          <w:tcPr>
            <w:tcW w:w="1418" w:type="dxa"/>
            <w:tcBorders>
              <w:top w:val="single" w:color="auto" w:sz="4" w:space="0"/>
            </w:tcBorders>
          </w:tcPr>
          <w:p>
            <w:pPr>
              <w:jc w:val="left"/>
              <w:rPr>
                <w:rFonts w:ascii="仿宋" w:hAnsi="仿宋" w:eastAsia="仿宋"/>
                <w:szCs w:val="21"/>
              </w:rPr>
            </w:pPr>
            <w:r>
              <w:rPr>
                <w:rFonts w:hint="eastAsia" w:ascii="仿宋" w:hAnsi="仿宋" w:eastAsia="仿宋"/>
                <w:szCs w:val="21"/>
              </w:rPr>
              <w:t>参与工程建设招标代理行业管理工作（</w:t>
            </w:r>
            <w:r>
              <w:rPr>
                <w:rFonts w:hint="eastAsia" w:ascii="仿宋" w:hAnsi="仿宋" w:eastAsia="仿宋"/>
                <w:szCs w:val="21"/>
                <w:lang w:val="en-US" w:eastAsia="zh-CN"/>
              </w:rPr>
              <w:t>2</w:t>
            </w:r>
            <w:r>
              <w:rPr>
                <w:rFonts w:hint="eastAsia" w:ascii="仿宋" w:hAnsi="仿宋" w:eastAsia="仿宋"/>
                <w:szCs w:val="21"/>
              </w:rPr>
              <w:t>0分）</w:t>
            </w:r>
          </w:p>
        </w:tc>
        <w:tc>
          <w:tcPr>
            <w:tcW w:w="5081" w:type="dxa"/>
            <w:tcBorders>
              <w:top w:val="single" w:color="auto" w:sz="4" w:space="0"/>
            </w:tcBorders>
            <w:vAlign w:val="center"/>
          </w:tcPr>
          <w:p>
            <w:pPr>
              <w:jc w:val="left"/>
              <w:rPr>
                <w:rFonts w:ascii="仿宋" w:hAnsi="仿宋" w:eastAsia="仿宋"/>
                <w:szCs w:val="21"/>
              </w:rPr>
            </w:pPr>
            <w:r>
              <w:rPr>
                <w:rFonts w:hint="eastAsia" w:ascii="仿宋" w:hAnsi="仿宋" w:eastAsia="仿宋"/>
                <w:szCs w:val="21"/>
              </w:rPr>
              <w:t>从业人员被聘为工程建设招标代理行业专家库成员的，国家级的加5分，自治区级的加3分，地州级的加2分；积极检举所在公司违法、违规行为，经核实，情况属实的每次加5分。</w:t>
            </w:r>
          </w:p>
        </w:tc>
        <w:tc>
          <w:tcPr>
            <w:tcW w:w="1298" w:type="dxa"/>
            <w:tcBorders>
              <w:top w:val="single" w:color="auto" w:sz="4" w:space="0"/>
            </w:tcBorders>
            <w:vAlign w:val="center"/>
          </w:tcPr>
          <w:p>
            <w:pPr>
              <w:jc w:val="center"/>
              <w:rPr>
                <w:rFonts w:ascii="仿宋" w:hAnsi="仿宋" w:eastAsia="仿宋"/>
                <w:szCs w:val="21"/>
              </w:rPr>
            </w:pPr>
            <w:r>
              <w:rPr>
                <w:rFonts w:hint="eastAsia" w:ascii="仿宋" w:hAnsi="仿宋" w:eastAsia="仿宋"/>
                <w:szCs w:val="21"/>
              </w:rPr>
              <w:t>最高20分</w:t>
            </w:r>
          </w:p>
        </w:tc>
        <w:tc>
          <w:tcPr>
            <w:tcW w:w="850" w:type="dxa"/>
            <w:tcBorders>
              <w:top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jc w:val="center"/>
              <w:rPr>
                <w:rFonts w:ascii="仿宋" w:hAnsi="仿宋" w:eastAsia="仿宋"/>
                <w:szCs w:val="21"/>
              </w:rPr>
            </w:pPr>
            <w:r>
              <w:rPr>
                <w:rFonts w:hint="eastAsia" w:ascii="仿宋" w:hAnsi="仿宋" w:eastAsia="仿宋"/>
                <w:szCs w:val="21"/>
              </w:rPr>
              <w:t>小计得分</w:t>
            </w:r>
          </w:p>
        </w:tc>
        <w:tc>
          <w:tcPr>
            <w:tcW w:w="6499" w:type="dxa"/>
            <w:gridSpan w:val="2"/>
            <w:tcBorders>
              <w:right w:val="single" w:color="auto" w:sz="4" w:space="0"/>
            </w:tcBorders>
          </w:tcPr>
          <w:p>
            <w:pPr>
              <w:jc w:val="center"/>
              <w:rPr>
                <w:rFonts w:ascii="仿宋" w:hAnsi="仿宋" w:eastAsia="仿宋"/>
                <w:szCs w:val="21"/>
              </w:rPr>
            </w:pPr>
            <w:r>
              <w:rPr>
                <w:rFonts w:hint="eastAsia" w:ascii="仿宋" w:hAnsi="仿宋" w:eastAsia="仿宋"/>
                <w:szCs w:val="21"/>
              </w:rPr>
              <w:t>此项得分</w:t>
            </w:r>
          </w:p>
        </w:tc>
        <w:tc>
          <w:tcPr>
            <w:tcW w:w="2148" w:type="dxa"/>
            <w:gridSpan w:val="2"/>
            <w:tcBorders>
              <w:left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jc w:val="center"/>
              <w:rPr>
                <w:rFonts w:ascii="仿宋" w:hAnsi="仿宋" w:eastAsia="仿宋"/>
                <w:szCs w:val="21"/>
              </w:rPr>
            </w:pPr>
            <w:r>
              <w:rPr>
                <w:rFonts w:hint="eastAsia" w:ascii="仿宋" w:hAnsi="仿宋" w:eastAsia="仿宋"/>
                <w:szCs w:val="21"/>
              </w:rPr>
              <w:t>不良</w:t>
            </w:r>
          </w:p>
          <w:p>
            <w:pPr>
              <w:jc w:val="center"/>
              <w:rPr>
                <w:rFonts w:ascii="仿宋" w:hAnsi="仿宋" w:eastAsia="仿宋"/>
                <w:szCs w:val="21"/>
              </w:rPr>
            </w:pPr>
            <w:r>
              <w:rPr>
                <w:rFonts w:hint="eastAsia" w:ascii="仿宋" w:hAnsi="仿宋" w:eastAsia="仿宋"/>
                <w:szCs w:val="21"/>
              </w:rPr>
              <w:t>信用</w:t>
            </w:r>
          </w:p>
          <w:p>
            <w:pPr>
              <w:jc w:val="center"/>
              <w:rPr>
                <w:rFonts w:ascii="仿宋" w:hAnsi="仿宋" w:eastAsia="仿宋"/>
                <w:szCs w:val="21"/>
              </w:rPr>
            </w:pPr>
            <w:r>
              <w:rPr>
                <w:rFonts w:hint="eastAsia" w:ascii="仿宋" w:hAnsi="仿宋" w:eastAsia="仿宋"/>
                <w:szCs w:val="21"/>
              </w:rPr>
              <w:t>信息</w:t>
            </w:r>
          </w:p>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hint="eastAsia" w:ascii="仿宋" w:hAnsi="仿宋" w:eastAsia="仿宋"/>
                <w:szCs w:val="21"/>
              </w:rPr>
              <w:t>市场行为</w:t>
            </w:r>
          </w:p>
        </w:tc>
        <w:tc>
          <w:tcPr>
            <w:tcW w:w="5081" w:type="dxa"/>
            <w:vAlign w:val="center"/>
          </w:tcPr>
          <w:p>
            <w:pPr>
              <w:jc w:val="left"/>
              <w:rPr>
                <w:rFonts w:ascii="仿宋" w:hAnsi="仿宋" w:eastAsia="仿宋"/>
                <w:szCs w:val="21"/>
              </w:rPr>
            </w:pPr>
            <w:r>
              <w:rPr>
                <w:rFonts w:hint="eastAsia" w:ascii="仿宋" w:hAnsi="仿宋" w:eastAsia="仿宋"/>
                <w:szCs w:val="21"/>
              </w:rPr>
              <w:t>与招标人串通，将招标人意愿明示或暗示给评标专家的</w:t>
            </w:r>
          </w:p>
        </w:tc>
        <w:tc>
          <w:tcPr>
            <w:tcW w:w="1298" w:type="dxa"/>
            <w:vMerge w:val="restart"/>
            <w:vAlign w:val="center"/>
          </w:tcPr>
          <w:p>
            <w:pPr>
              <w:jc w:val="center"/>
              <w:rPr>
                <w:rFonts w:ascii="仿宋" w:hAnsi="仿宋" w:eastAsia="仿宋"/>
                <w:szCs w:val="21"/>
              </w:rPr>
            </w:pPr>
            <w:r>
              <w:rPr>
                <w:rFonts w:hint="eastAsia" w:ascii="仿宋" w:hAnsi="仿宋" w:eastAsia="仿宋"/>
                <w:szCs w:val="21"/>
              </w:rPr>
              <w:t>评定为C级</w:t>
            </w:r>
          </w:p>
        </w:tc>
        <w:tc>
          <w:tcPr>
            <w:tcW w:w="850" w:type="dxa"/>
            <w:vMerge w:val="restart"/>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szCs w:val="21"/>
              </w:rPr>
              <w:t>收取投标人或中标人好处费的</w:t>
            </w:r>
          </w:p>
        </w:tc>
        <w:tc>
          <w:tcPr>
            <w:tcW w:w="1298" w:type="dxa"/>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szCs w:val="21"/>
              </w:rPr>
              <w:t>被司法机关纳入失信被执行人名单的</w:t>
            </w:r>
          </w:p>
        </w:tc>
        <w:tc>
          <w:tcPr>
            <w:tcW w:w="1298" w:type="dxa"/>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szCs w:val="21"/>
              </w:rPr>
              <w:t>法律、法规、规章规定的其他严重失信行为的</w:t>
            </w:r>
          </w:p>
        </w:tc>
        <w:tc>
          <w:tcPr>
            <w:tcW w:w="1298" w:type="dxa"/>
            <w:vMerge w:val="continue"/>
            <w:vAlign w:val="center"/>
          </w:tcPr>
          <w:p>
            <w:pPr>
              <w:jc w:val="center"/>
              <w:rPr>
                <w:rFonts w:ascii="仿宋" w:hAnsi="仿宋" w:eastAsia="仿宋"/>
                <w:szCs w:val="21"/>
              </w:rPr>
            </w:pPr>
          </w:p>
        </w:tc>
        <w:tc>
          <w:tcPr>
            <w:tcW w:w="850" w:type="dxa"/>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color w:val="000000" w:themeColor="text1"/>
                <w:szCs w:val="21"/>
                <w14:textFill>
                  <w14:solidFill>
                    <w14:schemeClr w14:val="tx1"/>
                  </w14:solidFill>
                </w14:textFill>
              </w:rPr>
              <w:t>从事工程建设项目招标代理业务过程中受到县级以上住房城乡建设主管部门行政处罚的</w:t>
            </w:r>
          </w:p>
        </w:tc>
        <w:tc>
          <w:tcPr>
            <w:tcW w:w="1298" w:type="dxa"/>
            <w:vAlign w:val="center"/>
          </w:tcPr>
          <w:p>
            <w:pPr>
              <w:jc w:val="center"/>
              <w:rPr>
                <w:rFonts w:ascii="仿宋" w:hAnsi="仿宋" w:eastAsia="仿宋"/>
                <w:szCs w:val="21"/>
              </w:rPr>
            </w:pPr>
            <w:r>
              <w:rPr>
                <w:rFonts w:hint="eastAsia" w:ascii="仿宋" w:hAnsi="仿宋" w:eastAsia="仿宋"/>
                <w:szCs w:val="21"/>
              </w:rPr>
              <w:t>-20分/次</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color w:val="000000" w:themeColor="text1"/>
                <w:szCs w:val="21"/>
                <w14:textFill>
                  <w14:solidFill>
                    <w14:schemeClr w14:val="tx1"/>
                  </w14:solidFill>
                </w14:textFill>
              </w:rPr>
              <w:t>从事工程建设项目招标代理业务过程中受到县级以上住房城乡建设主管部门通报批评或行政处理的</w:t>
            </w:r>
          </w:p>
        </w:tc>
        <w:tc>
          <w:tcPr>
            <w:tcW w:w="1298" w:type="dxa"/>
            <w:vAlign w:val="center"/>
          </w:tcPr>
          <w:p>
            <w:pPr>
              <w:jc w:val="center"/>
              <w:rPr>
                <w:rFonts w:ascii="仿宋" w:hAnsi="仿宋" w:eastAsia="仿宋"/>
                <w:szCs w:val="21"/>
              </w:rPr>
            </w:pPr>
            <w:r>
              <w:rPr>
                <w:rFonts w:hint="eastAsia" w:ascii="仿宋" w:hAnsi="仿宋" w:eastAsia="仿宋"/>
                <w:szCs w:val="21"/>
              </w:rPr>
              <w:t>-10分/次</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color w:val="000000" w:themeColor="text1"/>
                <w:szCs w:val="21"/>
                <w14:textFill>
                  <w14:solidFill>
                    <w14:schemeClr w14:val="tx1"/>
                  </w14:solidFill>
                </w14:textFill>
              </w:rPr>
              <w:t>违反区招标投标协会制定的行业自律公约等规定，受到区招标投标协会通报批评的不良信息的</w:t>
            </w:r>
          </w:p>
        </w:tc>
        <w:tc>
          <w:tcPr>
            <w:tcW w:w="1298" w:type="dxa"/>
            <w:vAlign w:val="center"/>
          </w:tcPr>
          <w:p>
            <w:pPr>
              <w:jc w:val="center"/>
              <w:rPr>
                <w:rFonts w:ascii="仿宋" w:hAnsi="仿宋" w:eastAsia="仿宋"/>
                <w:szCs w:val="21"/>
              </w:rPr>
            </w:pPr>
            <w:r>
              <w:rPr>
                <w:rFonts w:hint="eastAsia" w:ascii="仿宋" w:hAnsi="仿宋" w:eastAsia="仿宋"/>
                <w:szCs w:val="21"/>
              </w:rPr>
              <w:t>-8分/次</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5081" w:type="dxa"/>
            <w:vAlign w:val="center"/>
          </w:tcPr>
          <w:p>
            <w:pPr>
              <w:jc w:val="left"/>
              <w:rPr>
                <w:rFonts w:ascii="仿宋" w:hAnsi="仿宋" w:eastAsia="仿宋"/>
                <w:szCs w:val="21"/>
              </w:rPr>
            </w:pPr>
            <w:r>
              <w:rPr>
                <w:rFonts w:hint="eastAsia" w:ascii="仿宋" w:hAnsi="仿宋" w:eastAsia="仿宋"/>
                <w:color w:val="000000" w:themeColor="text1"/>
                <w:szCs w:val="21"/>
                <w14:textFill>
                  <w14:solidFill>
                    <w14:schemeClr w14:val="tx1"/>
                  </w14:solidFill>
                </w14:textFill>
              </w:rPr>
              <w:t>受到其他行政处理的</w:t>
            </w:r>
          </w:p>
        </w:tc>
        <w:tc>
          <w:tcPr>
            <w:tcW w:w="1298" w:type="dxa"/>
            <w:vAlign w:val="center"/>
          </w:tcPr>
          <w:p>
            <w:pPr>
              <w:jc w:val="center"/>
              <w:rPr>
                <w:rFonts w:ascii="仿宋" w:hAnsi="仿宋" w:eastAsia="仿宋"/>
                <w:szCs w:val="21"/>
              </w:rPr>
            </w:pPr>
            <w:r>
              <w:rPr>
                <w:rFonts w:hint="eastAsia" w:ascii="仿宋" w:hAnsi="仿宋" w:eastAsia="仿宋"/>
                <w:szCs w:val="21"/>
              </w:rPr>
              <w:t>-8分/次</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5081" w:type="dxa"/>
            <w:tcBorders>
              <w:bottom w:val="single" w:color="auto" w:sz="4" w:space="0"/>
            </w:tcBorders>
            <w:vAlign w:val="center"/>
          </w:tcPr>
          <w:p>
            <w:pPr>
              <w:jc w:val="left"/>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经司法机关判决或裁定认定有其他合同违约行为的</w:t>
            </w:r>
          </w:p>
        </w:tc>
        <w:tc>
          <w:tcPr>
            <w:tcW w:w="1298" w:type="dxa"/>
            <w:tcBorders>
              <w:bottom w:val="single" w:color="auto" w:sz="4" w:space="0"/>
            </w:tcBorders>
            <w:vAlign w:val="center"/>
          </w:tcPr>
          <w:p>
            <w:pPr>
              <w:jc w:val="center"/>
              <w:rPr>
                <w:rFonts w:ascii="仿宋" w:hAnsi="仿宋" w:eastAsia="仿宋"/>
                <w:szCs w:val="21"/>
              </w:rPr>
            </w:pPr>
            <w:r>
              <w:rPr>
                <w:rFonts w:hint="eastAsia" w:ascii="仿宋" w:hAnsi="仿宋" w:eastAsia="仿宋"/>
                <w:szCs w:val="21"/>
              </w:rPr>
              <w:t>-10分/次</w:t>
            </w:r>
          </w:p>
        </w:tc>
        <w:tc>
          <w:tcPr>
            <w:tcW w:w="850" w:type="dxa"/>
            <w:tcBorders>
              <w:bottom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5081" w:type="dxa"/>
            <w:tcBorders>
              <w:top w:val="single" w:color="auto" w:sz="4" w:space="0"/>
            </w:tcBorders>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工程建设项目规范化考核标准（附件3）</w:t>
            </w:r>
          </w:p>
        </w:tc>
        <w:tc>
          <w:tcPr>
            <w:tcW w:w="1298" w:type="dxa"/>
            <w:tcBorders>
              <w:top w:val="single" w:color="auto" w:sz="4" w:space="0"/>
            </w:tcBorders>
            <w:vAlign w:val="center"/>
          </w:tcPr>
          <w:p>
            <w:pPr>
              <w:jc w:val="center"/>
              <w:rPr>
                <w:rFonts w:ascii="仿宋" w:hAnsi="仿宋" w:eastAsia="仿宋"/>
                <w:szCs w:val="21"/>
              </w:rPr>
            </w:pPr>
            <w:r>
              <w:rPr>
                <w:rFonts w:hint="eastAsia" w:ascii="仿宋" w:hAnsi="仿宋" w:eastAsia="仿宋"/>
                <w:szCs w:val="21"/>
              </w:rPr>
              <w:t>-5分/项</w:t>
            </w:r>
          </w:p>
        </w:tc>
        <w:tc>
          <w:tcPr>
            <w:tcW w:w="850" w:type="dxa"/>
            <w:tcBorders>
              <w:top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jc w:val="center"/>
            </w:pPr>
            <w:r>
              <w:rPr>
                <w:rFonts w:hint="eastAsia" w:ascii="仿宋" w:hAnsi="仿宋" w:eastAsia="仿宋"/>
                <w:szCs w:val="21"/>
              </w:rPr>
              <w:t>小计得分</w:t>
            </w:r>
          </w:p>
        </w:tc>
        <w:tc>
          <w:tcPr>
            <w:tcW w:w="1418" w:type="dxa"/>
          </w:tcPr>
          <w:p>
            <w:pPr>
              <w:jc w:val="center"/>
              <w:rPr>
                <w:rFonts w:ascii="仿宋" w:hAnsi="仿宋" w:eastAsia="仿宋"/>
                <w:szCs w:val="21"/>
              </w:rPr>
            </w:pPr>
          </w:p>
        </w:tc>
        <w:tc>
          <w:tcPr>
            <w:tcW w:w="5081" w:type="dxa"/>
            <w:tcBorders>
              <w:right w:val="single" w:color="auto" w:sz="4" w:space="0"/>
            </w:tcBorders>
            <w:vAlign w:val="center"/>
          </w:tcPr>
          <w:p>
            <w:pPr>
              <w:jc w:val="center"/>
            </w:pPr>
            <w:r>
              <w:rPr>
                <w:rFonts w:hint="eastAsia" w:ascii="仿宋" w:hAnsi="仿宋" w:eastAsia="仿宋"/>
                <w:szCs w:val="21"/>
              </w:rPr>
              <w:t>此项得分</w:t>
            </w:r>
          </w:p>
        </w:tc>
        <w:tc>
          <w:tcPr>
            <w:tcW w:w="2148" w:type="dxa"/>
            <w:gridSpan w:val="2"/>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tcPr>
          <w:p>
            <w:pPr>
              <w:jc w:val="center"/>
              <w:rPr>
                <w:rFonts w:ascii="仿宋" w:hAnsi="仿宋" w:eastAsia="仿宋"/>
                <w:b/>
                <w:sz w:val="28"/>
                <w:szCs w:val="28"/>
              </w:rPr>
            </w:pPr>
          </w:p>
        </w:tc>
        <w:tc>
          <w:tcPr>
            <w:tcW w:w="8647" w:type="dxa"/>
            <w:gridSpan w:val="4"/>
            <w:vAlign w:val="center"/>
          </w:tcPr>
          <w:p>
            <w:pPr>
              <w:jc w:val="center"/>
            </w:pPr>
            <w:r>
              <w:rPr>
                <w:rFonts w:hint="eastAsia" w:ascii="仿宋" w:hAnsi="仿宋" w:eastAsia="仿宋"/>
                <w:b/>
                <w:sz w:val="28"/>
                <w:szCs w:val="28"/>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vAlign w:val="center"/>
          </w:tcPr>
          <w:p>
            <w:pPr>
              <w:jc w:val="center"/>
              <w:rPr>
                <w:rFonts w:ascii="仿宋" w:hAnsi="仿宋" w:eastAsia="仿宋"/>
                <w:szCs w:val="21"/>
              </w:rPr>
            </w:pPr>
            <w:r>
              <w:rPr>
                <w:rFonts w:hint="eastAsia" w:ascii="仿宋" w:hAnsi="仿宋" w:eastAsia="仿宋"/>
                <w:szCs w:val="21"/>
              </w:rPr>
              <w:t>评价结果</w:t>
            </w:r>
          </w:p>
        </w:tc>
        <w:tc>
          <w:tcPr>
            <w:tcW w:w="1418" w:type="dxa"/>
          </w:tcPr>
          <w:p>
            <w:pPr>
              <w:jc w:val="center"/>
            </w:pPr>
          </w:p>
        </w:tc>
        <w:tc>
          <w:tcPr>
            <w:tcW w:w="7229"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vAlign w:val="center"/>
          </w:tcPr>
          <w:p>
            <w:pPr>
              <w:jc w:val="center"/>
              <w:rPr>
                <w:rFonts w:ascii="仿宋" w:hAnsi="仿宋" w:eastAsia="仿宋"/>
                <w:szCs w:val="21"/>
              </w:rPr>
            </w:pPr>
            <w:r>
              <w:rPr>
                <w:rFonts w:hint="eastAsia" w:ascii="仿宋" w:hAnsi="仿宋" w:eastAsia="仿宋"/>
                <w:szCs w:val="21"/>
              </w:rPr>
              <w:t>评价日期</w:t>
            </w:r>
          </w:p>
        </w:tc>
        <w:tc>
          <w:tcPr>
            <w:tcW w:w="1418" w:type="dxa"/>
          </w:tcPr>
          <w:p>
            <w:pPr>
              <w:jc w:val="center"/>
            </w:pPr>
          </w:p>
        </w:tc>
        <w:tc>
          <w:tcPr>
            <w:tcW w:w="7229"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vAlign w:val="center"/>
          </w:tcPr>
          <w:p>
            <w:pPr>
              <w:jc w:val="center"/>
              <w:rPr>
                <w:rFonts w:ascii="仿宋" w:hAnsi="仿宋" w:eastAsia="仿宋"/>
                <w:szCs w:val="21"/>
              </w:rPr>
            </w:pPr>
            <w:r>
              <w:rPr>
                <w:rFonts w:hint="eastAsia" w:ascii="仿宋" w:hAnsi="仿宋" w:eastAsia="仿宋"/>
                <w:szCs w:val="21"/>
              </w:rPr>
              <w:t>审核人</w:t>
            </w:r>
          </w:p>
        </w:tc>
        <w:tc>
          <w:tcPr>
            <w:tcW w:w="1418" w:type="dxa"/>
          </w:tcPr>
          <w:p>
            <w:pPr>
              <w:jc w:val="center"/>
            </w:pPr>
          </w:p>
        </w:tc>
        <w:tc>
          <w:tcPr>
            <w:tcW w:w="7229" w:type="dxa"/>
            <w:gridSpan w:val="3"/>
            <w:vAlign w:val="center"/>
          </w:tcPr>
          <w:p>
            <w:pPr>
              <w:jc w:val="center"/>
            </w:pPr>
          </w:p>
        </w:tc>
      </w:tr>
    </w:tbl>
    <w:p/>
    <w:tbl>
      <w:tblPr>
        <w:tblStyle w:val="5"/>
        <w:tblpPr w:leftFromText="180" w:rightFromText="180" w:vertAnchor="text" w:tblpX="10214" w:tblpY="-3262"/>
        <w:tblOverlap w:val="never"/>
        <w:tblW w:w="2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688" w:type="dxa"/>
          </w:tcPr>
          <w:p/>
        </w:tc>
      </w:tr>
    </w:tbl>
    <w:p/>
    <w:tbl>
      <w:tblPr>
        <w:tblStyle w:val="5"/>
        <w:tblpPr w:leftFromText="180" w:rightFromText="180" w:vertAnchor="text" w:tblpX="10214" w:tblpY="-3058"/>
        <w:tblOverlap w:val="never"/>
        <w:tblW w:w="2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808" w:type="dxa"/>
          </w:tcPr>
          <w:p/>
        </w:tc>
      </w:tr>
    </w:tbl>
    <w:p/>
    <w:tbl>
      <w:tblPr>
        <w:tblStyle w:val="5"/>
        <w:tblpPr w:leftFromText="180" w:rightFromText="180" w:vertAnchor="text" w:tblpX="10214" w:tblpY="-3226"/>
        <w:tblOverlap w:val="never"/>
        <w:tblW w:w="3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828" w:type="dxa"/>
          </w:tcPr>
          <w:p>
            <w:pPr>
              <w:spacing w:line="500" w:lineRule="exact"/>
              <w:jc w:val="center"/>
              <w:rPr>
                <w:rFonts w:ascii="仿宋" w:hAnsi="仿宋" w:eastAsia="仿宋"/>
                <w:sz w:val="32"/>
                <w:szCs w:val="32"/>
              </w:rPr>
            </w:pPr>
          </w:p>
        </w:tc>
      </w:tr>
    </w:tbl>
    <w:p>
      <w:pPr>
        <w:spacing w:line="500" w:lineRule="exact"/>
        <w:jc w:val="center"/>
        <w:rPr>
          <w:rFonts w:ascii="仿宋" w:hAnsi="仿宋" w:eastAsia="仿宋"/>
          <w:sz w:val="32"/>
          <w:szCs w:val="32"/>
        </w:rPr>
      </w:pPr>
    </w:p>
    <w:p/>
    <w:p>
      <w:pPr>
        <w:widowControl/>
        <w:jc w:val="left"/>
      </w:pPr>
      <w:r>
        <w:br w:type="page"/>
      </w:r>
    </w:p>
    <w:p>
      <w:pPr>
        <w:tabs>
          <w:tab w:val="left" w:pos="3340"/>
        </w:tabs>
        <w:spacing w:line="600" w:lineRule="exact"/>
        <w:rPr>
          <w:rFonts w:ascii="宋体" w:hAnsi="宋体" w:eastAsia="宋体" w:cs="宋体"/>
          <w:bCs/>
          <w:kern w:val="0"/>
          <w:sz w:val="28"/>
          <w:szCs w:val="28"/>
        </w:rPr>
      </w:pPr>
      <w:r>
        <w:rPr>
          <w:rFonts w:hint="eastAsia" w:ascii="宋体" w:hAnsi="宋体" w:eastAsia="宋体" w:cs="宋体"/>
          <w:bCs/>
          <w:kern w:val="0"/>
          <w:sz w:val="28"/>
          <w:szCs w:val="28"/>
        </w:rPr>
        <w:t>附件3</w:t>
      </w:r>
    </w:p>
    <w:p>
      <w:pPr>
        <w:tabs>
          <w:tab w:val="left" w:pos="3340"/>
        </w:tabs>
        <w:spacing w:line="600" w:lineRule="exact"/>
        <w:jc w:val="center"/>
        <w:rPr>
          <w:rFonts w:hAnsi="宋体"/>
          <w:b/>
          <w:bCs/>
          <w:kern w:val="0"/>
          <w:sz w:val="32"/>
          <w:szCs w:val="32"/>
        </w:rPr>
      </w:pPr>
      <w:r>
        <w:rPr>
          <w:rFonts w:hint="eastAsia" w:ascii="宋体" w:hAnsi="宋体" w:cs="宋体"/>
          <w:b/>
          <w:bCs/>
          <w:kern w:val="0"/>
          <w:sz w:val="32"/>
          <w:szCs w:val="32"/>
        </w:rPr>
        <w:t>工程建设项</w:t>
      </w:r>
      <w:r>
        <w:rPr>
          <w:rFonts w:hAnsi="宋体"/>
          <w:b/>
          <w:bCs/>
          <w:kern w:val="0"/>
          <w:sz w:val="32"/>
          <w:szCs w:val="32"/>
        </w:rPr>
        <w:t>目规范化</w:t>
      </w:r>
      <w:r>
        <w:rPr>
          <w:rFonts w:hint="eastAsia" w:hAnsi="宋体"/>
          <w:b/>
          <w:bCs/>
          <w:kern w:val="0"/>
          <w:sz w:val="32"/>
          <w:szCs w:val="32"/>
        </w:rPr>
        <w:t>考评标准</w:t>
      </w:r>
    </w:p>
    <w:tbl>
      <w:tblPr>
        <w:tblStyle w:val="4"/>
        <w:tblpPr w:leftFromText="180" w:rightFromText="180" w:vertAnchor="text" w:horzAnchor="page" w:tblpX="1298" w:tblpY="259"/>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32"/>
        <w:gridCol w:w="3720"/>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92" w:type="dxa"/>
            <w:vAlign w:val="center"/>
          </w:tcPr>
          <w:p>
            <w:pPr>
              <w:spacing w:line="280" w:lineRule="exact"/>
              <w:jc w:val="center"/>
              <w:rPr>
                <w:rFonts w:ascii="仿宋" w:hAnsi="仿宋" w:eastAsia="仿宋" w:cs="仿宋"/>
                <w:b/>
                <w:bCs/>
                <w:szCs w:val="21"/>
              </w:rPr>
            </w:pPr>
          </w:p>
        </w:tc>
        <w:tc>
          <w:tcPr>
            <w:tcW w:w="732" w:type="dxa"/>
            <w:vAlign w:val="center"/>
          </w:tcPr>
          <w:p>
            <w:pPr>
              <w:spacing w:line="280" w:lineRule="exact"/>
              <w:ind w:firstLine="72" w:firstLineChars="34"/>
              <w:rPr>
                <w:rFonts w:ascii="仿宋" w:hAnsi="仿宋" w:eastAsia="仿宋" w:cs="仿宋"/>
                <w:b/>
                <w:bCs/>
                <w:szCs w:val="21"/>
              </w:rPr>
            </w:pPr>
            <w:r>
              <w:rPr>
                <w:rFonts w:hint="eastAsia" w:ascii="仿宋" w:hAnsi="仿宋" w:eastAsia="仿宋" w:cs="仿宋"/>
                <w:b/>
                <w:bCs/>
                <w:szCs w:val="21"/>
              </w:rPr>
              <w:t>考评</w:t>
            </w:r>
          </w:p>
          <w:p>
            <w:pPr>
              <w:spacing w:line="280" w:lineRule="exact"/>
              <w:ind w:firstLine="72" w:firstLineChars="34"/>
              <w:rPr>
                <w:rFonts w:ascii="仿宋" w:hAnsi="仿宋" w:eastAsia="仿宋" w:cs="仿宋"/>
                <w:b/>
                <w:bCs/>
                <w:strike/>
                <w:szCs w:val="21"/>
              </w:rPr>
            </w:pPr>
            <w:r>
              <w:rPr>
                <w:rFonts w:hint="eastAsia" w:ascii="仿宋" w:hAnsi="仿宋" w:eastAsia="仿宋" w:cs="仿宋"/>
                <w:b/>
                <w:bCs/>
                <w:szCs w:val="21"/>
              </w:rPr>
              <w:t>环节</w:t>
            </w:r>
          </w:p>
        </w:tc>
        <w:tc>
          <w:tcPr>
            <w:tcW w:w="3720" w:type="dxa"/>
            <w:vAlign w:val="center"/>
          </w:tcPr>
          <w:p>
            <w:pPr>
              <w:spacing w:line="280" w:lineRule="exact"/>
              <w:jc w:val="center"/>
              <w:rPr>
                <w:rFonts w:ascii="仿宋" w:hAnsi="仿宋" w:eastAsia="仿宋" w:cs="仿宋"/>
                <w:b/>
                <w:bCs/>
                <w:szCs w:val="21"/>
              </w:rPr>
            </w:pPr>
            <w:r>
              <w:rPr>
                <w:rFonts w:hint="eastAsia" w:ascii="仿宋" w:hAnsi="仿宋" w:eastAsia="仿宋" w:cs="仿宋"/>
                <w:b/>
                <w:bCs/>
                <w:szCs w:val="21"/>
              </w:rPr>
              <w:t>不规范行为认定标准</w:t>
            </w:r>
          </w:p>
        </w:tc>
        <w:tc>
          <w:tcPr>
            <w:tcW w:w="4284" w:type="dxa"/>
            <w:vAlign w:val="center"/>
          </w:tcPr>
          <w:p>
            <w:pPr>
              <w:spacing w:line="280" w:lineRule="exact"/>
              <w:jc w:val="center"/>
              <w:rPr>
                <w:rFonts w:ascii="仿宋" w:hAnsi="仿宋" w:eastAsia="仿宋" w:cs="仿宋"/>
                <w:b/>
                <w:bCs/>
                <w:szCs w:val="21"/>
              </w:rPr>
            </w:pPr>
            <w:r>
              <w:rPr>
                <w:rFonts w:hint="eastAsia" w:ascii="仿宋" w:hAnsi="仿宋" w:eastAsia="仿宋" w:cs="仿宋"/>
                <w:b/>
                <w:bCs/>
                <w:szCs w:val="21"/>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92" w:type="dxa"/>
            <w:vMerge w:val="restart"/>
            <w:vAlign w:val="center"/>
          </w:tcPr>
          <w:p>
            <w:pPr>
              <w:spacing w:line="280" w:lineRule="exact"/>
              <w:jc w:val="center"/>
              <w:rPr>
                <w:rFonts w:ascii="仿宋" w:hAnsi="仿宋" w:eastAsia="仿宋" w:cs="仿宋"/>
                <w:b/>
                <w:szCs w:val="21"/>
              </w:rPr>
            </w:pPr>
          </w:p>
          <w:p>
            <w:pPr>
              <w:spacing w:line="280" w:lineRule="exact"/>
              <w:jc w:val="center"/>
              <w:rPr>
                <w:rFonts w:ascii="仿宋" w:hAnsi="仿宋" w:eastAsia="仿宋" w:cs="仿宋"/>
                <w:b/>
                <w:bCs/>
                <w:szCs w:val="21"/>
              </w:rPr>
            </w:pPr>
            <w:r>
              <w:rPr>
                <w:rFonts w:hint="eastAsia" w:ascii="仿宋" w:hAnsi="仿宋" w:eastAsia="仿宋" w:cs="仿宋"/>
                <w:b/>
                <w:bCs/>
                <w:szCs w:val="21"/>
              </w:rPr>
              <w:t>规范化考评</w:t>
            </w:r>
          </w:p>
          <w:p>
            <w:pPr>
              <w:spacing w:line="280" w:lineRule="exact"/>
              <w:jc w:val="center"/>
              <w:rPr>
                <w:rFonts w:ascii="仿宋" w:hAnsi="仿宋" w:eastAsia="仿宋" w:cs="仿宋"/>
                <w:b/>
                <w:szCs w:val="21"/>
              </w:rPr>
            </w:pPr>
            <w:r>
              <w:rPr>
                <w:rFonts w:hint="eastAsia" w:ascii="仿宋" w:hAnsi="仿宋" w:eastAsia="仿宋" w:cs="仿宋"/>
                <w:b/>
                <w:bCs/>
                <w:szCs w:val="21"/>
              </w:rPr>
              <w:t>内容</w:t>
            </w:r>
          </w:p>
        </w:tc>
        <w:tc>
          <w:tcPr>
            <w:tcW w:w="732" w:type="dxa"/>
            <w:vMerge w:val="restart"/>
            <w:vAlign w:val="center"/>
          </w:tcPr>
          <w:p>
            <w:pPr>
              <w:spacing w:line="320" w:lineRule="exact"/>
              <w:ind w:firstLine="71" w:firstLineChars="34"/>
              <w:rPr>
                <w:rFonts w:ascii="仿宋" w:hAnsi="仿宋" w:eastAsia="仿宋" w:cs="仿宋"/>
                <w:szCs w:val="21"/>
              </w:rPr>
            </w:pPr>
            <w:r>
              <w:rPr>
                <w:rFonts w:hint="eastAsia" w:ascii="仿宋" w:hAnsi="仿宋" w:eastAsia="仿宋" w:cs="仿宋"/>
                <w:szCs w:val="21"/>
              </w:rPr>
              <w:t>代理</w:t>
            </w:r>
          </w:p>
          <w:p>
            <w:pPr>
              <w:spacing w:line="320" w:lineRule="exact"/>
              <w:ind w:firstLine="71" w:firstLineChars="34"/>
              <w:rPr>
                <w:rFonts w:ascii="仿宋" w:hAnsi="仿宋" w:eastAsia="仿宋" w:cs="仿宋"/>
                <w:szCs w:val="21"/>
              </w:rPr>
            </w:pPr>
            <w:r>
              <w:rPr>
                <w:rFonts w:hint="eastAsia" w:ascii="仿宋" w:hAnsi="仿宋" w:eastAsia="仿宋" w:cs="仿宋"/>
                <w:szCs w:val="21"/>
              </w:rPr>
              <w:t>合同</w:t>
            </w:r>
          </w:p>
          <w:p>
            <w:pPr>
              <w:spacing w:line="320" w:lineRule="exact"/>
              <w:ind w:firstLine="71" w:firstLineChars="34"/>
              <w:rPr>
                <w:rFonts w:ascii="仿宋" w:hAnsi="仿宋" w:eastAsia="仿宋" w:cs="仿宋"/>
                <w:szCs w:val="21"/>
              </w:rPr>
            </w:pPr>
            <w:r>
              <w:rPr>
                <w:rFonts w:hint="eastAsia" w:ascii="仿宋" w:hAnsi="仿宋" w:eastAsia="仿宋" w:cs="仿宋"/>
                <w:szCs w:val="21"/>
              </w:rPr>
              <w:t>管理</w:t>
            </w:r>
          </w:p>
          <w:p>
            <w:pPr>
              <w:spacing w:line="320" w:lineRule="exact"/>
              <w:ind w:firstLine="71" w:firstLineChars="34"/>
              <w:rPr>
                <w:rFonts w:ascii="仿宋" w:hAnsi="仿宋" w:eastAsia="仿宋" w:cs="仿宋"/>
                <w:szCs w:val="21"/>
              </w:rPr>
            </w:pPr>
            <w:r>
              <w:rPr>
                <w:rFonts w:hint="eastAsia" w:ascii="仿宋" w:hAnsi="仿宋" w:eastAsia="仿宋" w:cs="仿宋"/>
                <w:szCs w:val="21"/>
              </w:rPr>
              <w:t>环节</w:t>
            </w: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color w:val="000000"/>
                <w:szCs w:val="21"/>
                <w:lang w:val="zh-CN"/>
              </w:rPr>
              <w:t>未与招标人</w:t>
            </w:r>
            <w:r>
              <w:rPr>
                <w:rFonts w:hint="eastAsia" w:ascii="仿宋" w:hAnsi="仿宋" w:eastAsia="仿宋" w:cs="仿宋"/>
                <w:szCs w:val="21"/>
                <w:lang w:val="zh-CN"/>
              </w:rPr>
              <w:t>签定委托招标代理合同的；</w:t>
            </w:r>
          </w:p>
        </w:tc>
        <w:tc>
          <w:tcPr>
            <w:tcW w:w="4284" w:type="dxa"/>
            <w:vAlign w:val="center"/>
          </w:tcPr>
          <w:p>
            <w:pPr>
              <w:spacing w:line="240" w:lineRule="exact"/>
              <w:rPr>
                <w:rFonts w:ascii="仿宋" w:hAnsi="仿宋" w:eastAsia="仿宋" w:cs="仿宋"/>
                <w:szCs w:val="21"/>
              </w:rPr>
            </w:pPr>
            <w:r>
              <w:rPr>
                <w:rFonts w:hint="eastAsia" w:ascii="仿宋" w:hAnsi="仿宋" w:eastAsia="仿宋" w:cs="仿宋"/>
                <w:szCs w:val="21"/>
              </w:rPr>
              <w:t>《中华人民共和国招标投标法实施条例》第14条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szCs w:val="21"/>
                <w:lang w:val="zh-CN"/>
              </w:rPr>
              <w:t>招标代理合同网上备案的专职人员与招标代理合同中注明的人员不符的；</w:t>
            </w:r>
          </w:p>
        </w:tc>
        <w:tc>
          <w:tcPr>
            <w:tcW w:w="4284" w:type="dxa"/>
            <w:vAlign w:val="center"/>
          </w:tcPr>
          <w:p>
            <w:pPr>
              <w:spacing w:line="240" w:lineRule="exact"/>
              <w:rPr>
                <w:rFonts w:ascii="仿宋" w:hAnsi="仿宋" w:eastAsia="仿宋" w:cs="仿宋"/>
                <w:color w:val="000000"/>
                <w:szCs w:val="21"/>
                <w:lang w:val="zh-CN"/>
              </w:rPr>
            </w:pPr>
            <w:r>
              <w:rPr>
                <w:rFonts w:hint="eastAsia" w:ascii="仿宋" w:hAnsi="仿宋" w:eastAsia="仿宋" w:cs="仿宋"/>
                <w:szCs w:val="21"/>
              </w:rPr>
              <w:t>77号文件中“规范工程招标代理行为”的要求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color w:val="000000"/>
                <w:szCs w:val="21"/>
              </w:rPr>
              <w:t>招标代理机构越权代理，明知委托事项违法而进行代理。</w:t>
            </w:r>
          </w:p>
        </w:tc>
        <w:tc>
          <w:tcPr>
            <w:tcW w:w="4284" w:type="dxa"/>
            <w:vAlign w:val="center"/>
          </w:tcPr>
          <w:p>
            <w:pPr>
              <w:spacing w:line="240" w:lineRule="exact"/>
              <w:rPr>
                <w:rFonts w:ascii="仿宋" w:hAnsi="仿宋" w:eastAsia="仿宋" w:cs="仿宋"/>
                <w:szCs w:val="21"/>
                <w:lang w:val="zh-CN"/>
              </w:rPr>
            </w:pPr>
            <w:r>
              <w:rPr>
                <w:rFonts w:hint="eastAsia" w:ascii="仿宋" w:hAnsi="仿宋" w:eastAsia="仿宋" w:cs="仿宋"/>
                <w:color w:val="000000"/>
                <w:szCs w:val="21"/>
              </w:rPr>
              <w:t>《工程建设项目施工招标投标办法》第22条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restart"/>
            <w:vAlign w:val="center"/>
          </w:tcPr>
          <w:p>
            <w:pPr>
              <w:spacing w:line="320" w:lineRule="exact"/>
              <w:ind w:firstLine="71" w:firstLineChars="34"/>
              <w:rPr>
                <w:rFonts w:ascii="仿宋" w:hAnsi="仿宋" w:eastAsia="仿宋" w:cs="仿宋"/>
                <w:szCs w:val="21"/>
              </w:rPr>
            </w:pPr>
            <w:r>
              <w:rPr>
                <w:rFonts w:hint="eastAsia" w:ascii="仿宋" w:hAnsi="仿宋" w:eastAsia="仿宋" w:cs="仿宋"/>
                <w:szCs w:val="21"/>
              </w:rPr>
              <w:t>招标</w:t>
            </w:r>
          </w:p>
          <w:p>
            <w:pPr>
              <w:spacing w:line="320" w:lineRule="exact"/>
              <w:ind w:firstLine="71" w:firstLineChars="34"/>
              <w:rPr>
                <w:rFonts w:ascii="仿宋" w:hAnsi="仿宋" w:eastAsia="仿宋" w:cs="仿宋"/>
                <w:szCs w:val="21"/>
              </w:rPr>
            </w:pPr>
            <w:r>
              <w:rPr>
                <w:rFonts w:hint="eastAsia" w:ascii="仿宋" w:hAnsi="仿宋" w:eastAsia="仿宋" w:cs="仿宋"/>
                <w:szCs w:val="21"/>
              </w:rPr>
              <w:t>文件</w:t>
            </w:r>
          </w:p>
          <w:p>
            <w:pPr>
              <w:spacing w:line="320" w:lineRule="exact"/>
              <w:ind w:firstLine="71" w:firstLineChars="34"/>
              <w:rPr>
                <w:rFonts w:ascii="仿宋" w:hAnsi="仿宋" w:eastAsia="仿宋" w:cs="仿宋"/>
                <w:szCs w:val="21"/>
              </w:rPr>
            </w:pPr>
            <w:r>
              <w:rPr>
                <w:rFonts w:hint="eastAsia" w:ascii="仿宋" w:hAnsi="仿宋" w:eastAsia="仿宋" w:cs="仿宋"/>
                <w:szCs w:val="21"/>
              </w:rPr>
              <w:t>检查</w:t>
            </w:r>
          </w:p>
          <w:p>
            <w:pPr>
              <w:spacing w:line="320" w:lineRule="exact"/>
              <w:ind w:firstLine="71" w:firstLineChars="34"/>
              <w:rPr>
                <w:rFonts w:ascii="仿宋" w:hAnsi="仿宋" w:eastAsia="仿宋" w:cs="仿宋"/>
                <w:szCs w:val="21"/>
              </w:rPr>
            </w:pPr>
            <w:r>
              <w:rPr>
                <w:rFonts w:hint="eastAsia" w:ascii="仿宋" w:hAnsi="仿宋" w:eastAsia="仿宋" w:cs="仿宋"/>
                <w:szCs w:val="21"/>
              </w:rPr>
              <w:t>环节</w:t>
            </w:r>
          </w:p>
        </w:tc>
        <w:tc>
          <w:tcPr>
            <w:tcW w:w="3720" w:type="dxa"/>
            <w:vAlign w:val="center"/>
          </w:tcPr>
          <w:p>
            <w:pPr>
              <w:jc w:val="left"/>
              <w:rPr>
                <w:rFonts w:ascii="仿宋" w:hAnsi="仿宋" w:eastAsia="仿宋" w:cs="仿宋"/>
                <w:color w:val="000000"/>
                <w:szCs w:val="21"/>
              </w:rPr>
            </w:pPr>
            <w:r>
              <w:rPr>
                <w:rFonts w:hint="eastAsia" w:ascii="仿宋" w:hAnsi="仿宋" w:eastAsia="仿宋" w:cs="仿宋"/>
                <w:spacing w:val="-6"/>
                <w:szCs w:val="21"/>
                <w:lang w:val="zh-CN"/>
              </w:rPr>
              <w:t>不依照《招标投标法》及条例有关规章、地方性法规和规范性文件编制的</w:t>
            </w:r>
            <w:r>
              <w:rPr>
                <w:rFonts w:hint="eastAsia" w:ascii="仿宋" w:hAnsi="仿宋" w:eastAsia="仿宋" w:cs="仿宋"/>
                <w:szCs w:val="21"/>
                <w:lang w:val="zh-CN"/>
              </w:rPr>
              <w:t>资格预审文件、</w:t>
            </w:r>
            <w:r>
              <w:rPr>
                <w:rFonts w:hint="eastAsia" w:ascii="仿宋" w:hAnsi="仿宋" w:eastAsia="仿宋" w:cs="仿宋"/>
                <w:spacing w:val="-6"/>
                <w:szCs w:val="21"/>
                <w:lang w:val="zh-CN"/>
              </w:rPr>
              <w:t>招标文件的，未使用国家及住房城乡建设行政主管部门颁发的标准文本的；</w:t>
            </w:r>
          </w:p>
        </w:tc>
        <w:tc>
          <w:tcPr>
            <w:tcW w:w="4284" w:type="dxa"/>
            <w:vAlign w:val="center"/>
          </w:tcPr>
          <w:p>
            <w:pPr>
              <w:rPr>
                <w:rFonts w:ascii="仿宋" w:hAnsi="仿宋" w:eastAsia="仿宋" w:cs="仿宋"/>
                <w:color w:val="000000"/>
                <w:szCs w:val="21"/>
              </w:rPr>
            </w:pPr>
            <w:r>
              <w:rPr>
                <w:rFonts w:hint="eastAsia" w:ascii="仿宋" w:hAnsi="仿宋" w:eastAsia="仿宋" w:cs="仿宋"/>
                <w:szCs w:val="21"/>
              </w:rPr>
              <w:t>《中华人民共和国招标投标法实施条例》第15条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rPr>
                <w:rFonts w:ascii="仿宋" w:hAnsi="仿宋" w:eastAsia="仿宋" w:cs="仿宋"/>
                <w:spacing w:val="-6"/>
                <w:szCs w:val="21"/>
                <w:lang w:val="zh-CN"/>
              </w:rPr>
            </w:pPr>
            <w:r>
              <w:rPr>
                <w:rFonts w:hint="eastAsia" w:ascii="仿宋" w:hAnsi="仿宋" w:eastAsia="仿宋" w:cs="仿宋"/>
                <w:szCs w:val="21"/>
              </w:rPr>
              <w:t>招标公告未载明招标人的名称和地址、招标项目的性质、数量、实施地点和时间以及获取招标文件的办法等事项</w:t>
            </w:r>
          </w:p>
        </w:tc>
        <w:tc>
          <w:tcPr>
            <w:tcW w:w="4284" w:type="dxa"/>
            <w:vAlign w:val="center"/>
          </w:tcPr>
          <w:p>
            <w:pPr>
              <w:rPr>
                <w:rFonts w:ascii="仿宋" w:hAnsi="仿宋" w:eastAsia="仿宋" w:cs="仿宋"/>
                <w:spacing w:val="-6"/>
                <w:szCs w:val="21"/>
                <w:lang w:val="zh-CN"/>
              </w:rPr>
            </w:pPr>
            <w:r>
              <w:rPr>
                <w:rFonts w:hint="eastAsia" w:ascii="仿宋" w:hAnsi="仿宋" w:eastAsia="仿宋" w:cs="仿宋"/>
                <w:szCs w:val="21"/>
              </w:rPr>
              <w:t>《中华人民共和国招标投标法》第16条、第37条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资格预审文件、招标文件的发售、澄清、修改的时限，或者确定的提交资格预审申请文件、投标文件的时限不符合招标投标法和招标投标法实施条例的规定的</w:t>
            </w:r>
          </w:p>
        </w:tc>
        <w:tc>
          <w:tcPr>
            <w:tcW w:w="4284" w:type="dxa"/>
            <w:vAlign w:val="center"/>
          </w:tcPr>
          <w:p>
            <w:pPr>
              <w:rPr>
                <w:rFonts w:ascii="仿宋" w:hAnsi="仿宋" w:eastAsia="仿宋" w:cs="仿宋"/>
                <w:szCs w:val="21"/>
                <w:lang w:val="zh-CN"/>
              </w:rPr>
            </w:pPr>
            <w:r>
              <w:rPr>
                <w:rFonts w:hint="eastAsia" w:ascii="仿宋" w:hAnsi="仿宋" w:eastAsia="仿宋" w:cs="仿宋"/>
                <w:szCs w:val="21"/>
              </w:rPr>
              <w:t xml:space="preserve">《中华人民共和国招标投标法》第24条、《中华人民共和国招标投标法实施条例》第16条、第17条、第64条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国家对招标项目的技术、标准有规定的，招标文件未按照其规定在招标文件中提出相应要求的；</w:t>
            </w:r>
          </w:p>
        </w:tc>
        <w:tc>
          <w:tcPr>
            <w:tcW w:w="4284"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《中华人民共和国招标投标法》第19条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rPr>
            </w:pPr>
            <w:r>
              <w:rPr>
                <w:rFonts w:hint="eastAsia" w:ascii="仿宋" w:hAnsi="仿宋" w:eastAsia="仿宋" w:cs="仿宋"/>
                <w:szCs w:val="21"/>
              </w:rPr>
              <w:t>编制的招标文件中含有违反国家对投标保证金、履约保证金、最高投标限价、投标有效期等要约内容规定的。</w:t>
            </w:r>
          </w:p>
        </w:tc>
        <w:tc>
          <w:tcPr>
            <w:tcW w:w="4284"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《中华人民共和国招标投标法实施条例》第25条、第26条、第27条、第58条；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restart"/>
            <w:vAlign w:val="center"/>
          </w:tcPr>
          <w:p>
            <w:pPr>
              <w:spacing w:line="320" w:lineRule="exact"/>
              <w:ind w:firstLine="71" w:firstLineChars="34"/>
              <w:rPr>
                <w:rFonts w:ascii="仿宋" w:hAnsi="仿宋" w:eastAsia="仿宋" w:cs="仿宋"/>
                <w:szCs w:val="21"/>
              </w:rPr>
            </w:pPr>
            <w:r>
              <w:rPr>
                <w:rFonts w:hint="eastAsia" w:ascii="仿宋" w:hAnsi="仿宋" w:eastAsia="仿宋" w:cs="仿宋"/>
                <w:szCs w:val="21"/>
              </w:rPr>
              <w:t>开标</w:t>
            </w:r>
          </w:p>
          <w:p>
            <w:pPr>
              <w:spacing w:line="320" w:lineRule="exact"/>
              <w:ind w:firstLine="71" w:firstLineChars="34"/>
              <w:rPr>
                <w:rFonts w:ascii="仿宋" w:hAnsi="仿宋" w:eastAsia="仿宋" w:cs="仿宋"/>
                <w:szCs w:val="21"/>
              </w:rPr>
            </w:pPr>
            <w:r>
              <w:rPr>
                <w:rFonts w:hint="eastAsia" w:ascii="仿宋" w:hAnsi="仿宋" w:eastAsia="仿宋" w:cs="仿宋"/>
                <w:szCs w:val="21"/>
              </w:rPr>
              <w:t>评标</w:t>
            </w:r>
          </w:p>
          <w:p>
            <w:pPr>
              <w:spacing w:line="320" w:lineRule="exact"/>
              <w:ind w:firstLine="71" w:firstLineChars="34"/>
              <w:rPr>
                <w:rFonts w:ascii="仿宋" w:hAnsi="仿宋" w:eastAsia="仿宋" w:cs="仿宋"/>
                <w:szCs w:val="21"/>
              </w:rPr>
            </w:pPr>
            <w:r>
              <w:rPr>
                <w:rFonts w:hint="eastAsia" w:ascii="仿宋" w:hAnsi="仿宋" w:eastAsia="仿宋" w:cs="仿宋"/>
                <w:szCs w:val="21"/>
              </w:rPr>
              <w:t>环节</w:t>
            </w:r>
          </w:p>
        </w:tc>
        <w:tc>
          <w:tcPr>
            <w:tcW w:w="3720" w:type="dxa"/>
            <w:vAlign w:val="center"/>
          </w:tcPr>
          <w:p>
            <w:pPr>
              <w:spacing w:line="240" w:lineRule="exact"/>
              <w:rPr>
                <w:rFonts w:ascii="仿宋" w:hAnsi="仿宋" w:eastAsia="仿宋" w:cs="仿宋"/>
                <w:szCs w:val="21"/>
              </w:rPr>
            </w:pPr>
            <w:r>
              <w:rPr>
                <w:rFonts w:hint="eastAsia" w:ascii="仿宋" w:hAnsi="仿宋" w:eastAsia="仿宋" w:cs="仿宋"/>
                <w:szCs w:val="21"/>
              </w:rPr>
              <w:t>开评标专职人员与委托代理合同中的专职人员不一致的；</w:t>
            </w:r>
          </w:p>
        </w:tc>
        <w:tc>
          <w:tcPr>
            <w:tcW w:w="4284"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77号文件中“规范工程招标代理行为”的要求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320" w:lineRule="exact"/>
              <w:rPr>
                <w:rFonts w:ascii="仿宋" w:hAnsi="仿宋" w:eastAsia="仿宋" w:cs="仿宋"/>
                <w:szCs w:val="21"/>
                <w:lang w:val="zh-CN"/>
              </w:rPr>
            </w:pPr>
            <w:r>
              <w:rPr>
                <w:rFonts w:hint="eastAsia" w:ascii="仿宋" w:hAnsi="仿宋" w:eastAsia="仿宋" w:cs="仿宋"/>
                <w:szCs w:val="21"/>
              </w:rPr>
              <w:t>收取应拒收的投标文件的；</w:t>
            </w:r>
          </w:p>
        </w:tc>
        <w:tc>
          <w:tcPr>
            <w:tcW w:w="4284" w:type="dxa"/>
            <w:vAlign w:val="center"/>
          </w:tcPr>
          <w:p>
            <w:pPr>
              <w:spacing w:line="320" w:lineRule="exact"/>
              <w:rPr>
                <w:rFonts w:ascii="仿宋" w:hAnsi="仿宋" w:eastAsia="仿宋" w:cs="仿宋"/>
                <w:szCs w:val="21"/>
                <w:lang w:val="zh-CN"/>
              </w:rPr>
            </w:pPr>
            <w:r>
              <w:rPr>
                <w:rFonts w:hint="eastAsia" w:ascii="仿宋" w:hAnsi="仿宋" w:eastAsia="仿宋" w:cs="仿宋"/>
                <w:szCs w:val="21"/>
              </w:rPr>
              <w:t>《中华人民共和国招标投标法》第28条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招标人收到投标文件后，未向投标人办理签收手续的。</w:t>
            </w:r>
          </w:p>
        </w:tc>
        <w:tc>
          <w:tcPr>
            <w:tcW w:w="4284" w:type="dxa"/>
            <w:vAlign w:val="center"/>
          </w:tcPr>
          <w:p>
            <w:pPr>
              <w:spacing w:line="240" w:lineRule="exact"/>
              <w:rPr>
                <w:rFonts w:ascii="仿宋" w:hAnsi="仿宋" w:eastAsia="仿宋" w:cs="仿宋"/>
                <w:szCs w:val="21"/>
              </w:rPr>
            </w:pPr>
            <w:r>
              <w:rPr>
                <w:rFonts w:hint="eastAsia" w:ascii="仿宋" w:hAnsi="仿宋" w:eastAsia="仿宋" w:cs="仿宋"/>
                <w:szCs w:val="21"/>
              </w:rPr>
              <w:t>《房屋建筑和市政基础设施工程施工招标投标管理办法》第28条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rPr>
                <w:rFonts w:ascii="仿宋" w:hAnsi="仿宋" w:eastAsia="仿宋" w:cs="仿宋"/>
                <w:szCs w:val="21"/>
                <w:lang w:val="zh-CN"/>
              </w:rPr>
            </w:pPr>
            <w:r>
              <w:rPr>
                <w:rFonts w:hint="eastAsia" w:ascii="仿宋" w:hAnsi="仿宋" w:eastAsia="仿宋" w:cs="仿宋"/>
                <w:szCs w:val="21"/>
              </w:rPr>
              <w:t>对于投标人对开标现场提出的异议，未当场作出答复，并制作记录</w:t>
            </w:r>
            <w:r>
              <w:rPr>
                <w:rFonts w:hint="eastAsia" w:ascii="仿宋" w:hAnsi="仿宋" w:eastAsia="仿宋" w:cs="仿宋"/>
                <w:szCs w:val="21"/>
                <w:lang w:val="zh-CN"/>
              </w:rPr>
              <w:t>；</w:t>
            </w:r>
          </w:p>
        </w:tc>
        <w:tc>
          <w:tcPr>
            <w:tcW w:w="4284" w:type="dxa"/>
            <w:vAlign w:val="center"/>
          </w:tcPr>
          <w:p>
            <w:pPr>
              <w:rPr>
                <w:rFonts w:ascii="仿宋" w:hAnsi="仿宋" w:eastAsia="仿宋" w:cs="仿宋"/>
                <w:szCs w:val="21"/>
                <w:lang w:val="zh-CN"/>
              </w:rPr>
            </w:pPr>
            <w:r>
              <w:rPr>
                <w:rFonts w:hint="eastAsia" w:ascii="仿宋" w:hAnsi="仿宋" w:eastAsia="仿宋" w:cs="仿宋"/>
                <w:szCs w:val="21"/>
              </w:rPr>
              <w:t>《中华人民共和国招标投标法实施条例》第44条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szCs w:val="21"/>
                <w:lang w:val="zh-CN"/>
              </w:rPr>
              <w:t>招标代理机构应当向评标委员会提供评标所需的重要信息和数据，不得带有明示或者暗示倾向或者排斥特定投标人的信息。</w:t>
            </w:r>
          </w:p>
        </w:tc>
        <w:tc>
          <w:tcPr>
            <w:tcW w:w="4284"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《评标委员会和评标方法暂行规定》第16条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rPr>
                <w:rFonts w:ascii="仿宋" w:hAnsi="仿宋" w:eastAsia="仿宋" w:cs="仿宋"/>
                <w:szCs w:val="21"/>
                <w:lang w:val="zh-CN"/>
              </w:rPr>
            </w:pPr>
            <w:r>
              <w:rPr>
                <w:rFonts w:hint="eastAsia" w:ascii="仿宋" w:hAnsi="仿宋" w:eastAsia="仿宋" w:cs="仿宋"/>
                <w:szCs w:val="21"/>
              </w:rPr>
              <w:t>招标代理机构改变载明的资格条件或者以没有载明的资格条件对潜在投标人或者投标人进行资格审查；</w:t>
            </w:r>
          </w:p>
        </w:tc>
        <w:tc>
          <w:tcPr>
            <w:tcW w:w="4284" w:type="dxa"/>
            <w:vAlign w:val="center"/>
          </w:tcPr>
          <w:p>
            <w:pPr>
              <w:rPr>
                <w:rFonts w:ascii="仿宋" w:hAnsi="仿宋" w:eastAsia="仿宋" w:cs="仿宋"/>
                <w:szCs w:val="21"/>
              </w:rPr>
            </w:pPr>
            <w:r>
              <w:rPr>
                <w:rFonts w:hint="eastAsia" w:ascii="仿宋" w:hAnsi="仿宋" w:eastAsia="仿宋" w:cs="仿宋"/>
                <w:szCs w:val="21"/>
              </w:rPr>
              <w:t>《工程建设项目施工招标投标办法》第18条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restart"/>
            <w:vAlign w:val="center"/>
          </w:tcPr>
          <w:p>
            <w:pPr>
              <w:spacing w:line="320" w:lineRule="exact"/>
              <w:ind w:firstLine="71" w:firstLineChars="34"/>
              <w:rPr>
                <w:rFonts w:ascii="仿宋" w:hAnsi="仿宋" w:eastAsia="仿宋" w:cs="仿宋"/>
                <w:szCs w:val="21"/>
              </w:rPr>
            </w:pPr>
            <w:r>
              <w:rPr>
                <w:rFonts w:hint="eastAsia" w:ascii="仿宋" w:hAnsi="仿宋" w:eastAsia="仿宋" w:cs="仿宋"/>
                <w:szCs w:val="21"/>
              </w:rPr>
              <w:t>标后</w:t>
            </w:r>
          </w:p>
          <w:p>
            <w:pPr>
              <w:spacing w:line="320" w:lineRule="exact"/>
              <w:ind w:firstLine="71" w:firstLineChars="34"/>
              <w:rPr>
                <w:rFonts w:ascii="仿宋" w:hAnsi="仿宋" w:eastAsia="仿宋" w:cs="仿宋"/>
                <w:szCs w:val="21"/>
              </w:rPr>
            </w:pPr>
            <w:r>
              <w:rPr>
                <w:rFonts w:hint="eastAsia" w:ascii="仿宋" w:hAnsi="仿宋" w:eastAsia="仿宋" w:cs="仿宋"/>
                <w:szCs w:val="21"/>
              </w:rPr>
              <w:t>管理</w:t>
            </w:r>
          </w:p>
          <w:p>
            <w:pPr>
              <w:spacing w:line="320" w:lineRule="exact"/>
              <w:ind w:firstLine="71" w:firstLineChars="34"/>
              <w:rPr>
                <w:rFonts w:ascii="仿宋" w:hAnsi="仿宋" w:eastAsia="仿宋" w:cs="仿宋"/>
                <w:szCs w:val="21"/>
              </w:rPr>
            </w:pPr>
            <w:r>
              <w:rPr>
                <w:rFonts w:hint="eastAsia" w:ascii="仿宋" w:hAnsi="仿宋" w:eastAsia="仿宋" w:cs="仿宋"/>
                <w:szCs w:val="21"/>
              </w:rPr>
              <w:t>环节</w:t>
            </w:r>
          </w:p>
        </w:tc>
        <w:tc>
          <w:tcPr>
            <w:tcW w:w="3720" w:type="dxa"/>
            <w:vAlign w:val="center"/>
          </w:tcPr>
          <w:p>
            <w:pPr>
              <w:rPr>
                <w:rFonts w:ascii="仿宋" w:hAnsi="仿宋" w:eastAsia="仿宋" w:cs="仿宋"/>
                <w:szCs w:val="21"/>
                <w:lang w:val="zh-CN"/>
              </w:rPr>
            </w:pPr>
            <w:r>
              <w:rPr>
                <w:rFonts w:hint="eastAsia" w:ascii="仿宋" w:hAnsi="仿宋" w:eastAsia="仿宋" w:cs="仿宋"/>
                <w:szCs w:val="21"/>
              </w:rPr>
              <w:t>资格预审结束后，招标代理机构未及时向资格预审申请人通知资格预审结果或未将资格预审结果告知不合格的潜在投标人。</w:t>
            </w:r>
          </w:p>
        </w:tc>
        <w:tc>
          <w:tcPr>
            <w:tcW w:w="4284" w:type="dxa"/>
            <w:vAlign w:val="center"/>
          </w:tcPr>
          <w:p>
            <w:pPr>
              <w:spacing w:line="240" w:lineRule="exact"/>
              <w:rPr>
                <w:rFonts w:ascii="仿宋" w:hAnsi="仿宋" w:eastAsia="仿宋" w:cs="仿宋"/>
                <w:color w:val="000000"/>
                <w:szCs w:val="21"/>
                <w:lang w:val="zh-CN"/>
              </w:rPr>
            </w:pPr>
            <w:r>
              <w:rPr>
                <w:rFonts w:hint="eastAsia" w:ascii="仿宋" w:hAnsi="仿宋" w:eastAsia="仿宋" w:cs="仿宋"/>
                <w:color w:val="000000"/>
                <w:szCs w:val="21"/>
              </w:rPr>
              <w:t>《工程建设项目施工招标投标办法》第19条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rPr>
                <w:rFonts w:ascii="仿宋" w:hAnsi="仿宋" w:eastAsia="仿宋" w:cs="仿宋"/>
                <w:szCs w:val="21"/>
              </w:rPr>
            </w:pPr>
            <w:r>
              <w:rPr>
                <w:rFonts w:hint="eastAsia" w:ascii="仿宋" w:hAnsi="仿宋" w:eastAsia="仿宋" w:cs="仿宋"/>
                <w:szCs w:val="21"/>
              </w:rPr>
              <w:t>中标人确定后，因招标代理机构原因未向中标人发出中标通知书；</w:t>
            </w:r>
          </w:p>
        </w:tc>
        <w:tc>
          <w:tcPr>
            <w:tcW w:w="4284" w:type="dxa"/>
            <w:vAlign w:val="center"/>
          </w:tcPr>
          <w:p>
            <w:pPr>
              <w:spacing w:line="240" w:lineRule="exact"/>
              <w:rPr>
                <w:rFonts w:ascii="仿宋" w:hAnsi="仿宋" w:eastAsia="仿宋" w:cs="仿宋"/>
                <w:color w:val="000000"/>
                <w:szCs w:val="21"/>
              </w:rPr>
            </w:pPr>
            <w:r>
              <w:rPr>
                <w:rFonts w:hint="eastAsia" w:ascii="仿宋" w:hAnsi="仿宋" w:eastAsia="仿宋" w:cs="仿宋"/>
                <w:szCs w:val="21"/>
              </w:rPr>
              <w:t>《中华人民共和国招标投标法》第45条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szCs w:val="21"/>
                <w:lang w:val="zh-CN"/>
              </w:rPr>
              <w:t>因招标代理机构原因不及时公示中标候选人和中标结果的或因招标代理机构原因不发放中标通知书的</w:t>
            </w:r>
          </w:p>
        </w:tc>
        <w:tc>
          <w:tcPr>
            <w:tcW w:w="4284"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《中华人民共和国招标投标法实施条例》第54条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restart"/>
            <w:vAlign w:val="center"/>
          </w:tcPr>
          <w:p>
            <w:pPr>
              <w:spacing w:line="320" w:lineRule="exact"/>
              <w:jc w:val="center"/>
              <w:rPr>
                <w:rFonts w:ascii="仿宋" w:hAnsi="仿宋" w:eastAsia="仿宋" w:cs="仿宋"/>
                <w:szCs w:val="21"/>
              </w:rPr>
            </w:pPr>
            <w:r>
              <w:rPr>
                <w:rFonts w:hint="eastAsia" w:ascii="仿宋" w:hAnsi="仿宋" w:eastAsia="仿宋" w:cs="仿宋"/>
                <w:szCs w:val="21"/>
              </w:rPr>
              <w:t>异议</w:t>
            </w:r>
          </w:p>
          <w:p>
            <w:pPr>
              <w:spacing w:line="320" w:lineRule="exact"/>
              <w:jc w:val="center"/>
              <w:rPr>
                <w:rFonts w:ascii="仿宋" w:hAnsi="仿宋" w:eastAsia="仿宋" w:cs="仿宋"/>
                <w:szCs w:val="21"/>
              </w:rPr>
            </w:pPr>
            <w:r>
              <w:rPr>
                <w:rFonts w:hint="eastAsia" w:ascii="仿宋" w:hAnsi="仿宋" w:eastAsia="仿宋" w:cs="仿宋"/>
                <w:szCs w:val="21"/>
              </w:rPr>
              <w:t>投诉</w:t>
            </w:r>
          </w:p>
          <w:p>
            <w:pPr>
              <w:spacing w:line="320" w:lineRule="exact"/>
              <w:jc w:val="center"/>
              <w:rPr>
                <w:rFonts w:ascii="仿宋" w:hAnsi="仿宋" w:eastAsia="仿宋" w:cs="仿宋"/>
                <w:szCs w:val="21"/>
              </w:rPr>
            </w:pPr>
            <w:r>
              <w:rPr>
                <w:rFonts w:hint="eastAsia" w:ascii="仿宋" w:hAnsi="仿宋" w:eastAsia="仿宋" w:cs="仿宋"/>
                <w:szCs w:val="21"/>
              </w:rPr>
              <w:t>环节</w:t>
            </w: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color w:val="000000"/>
                <w:szCs w:val="21"/>
                <w:lang w:val="zh-CN"/>
              </w:rPr>
              <w:t>处理异议或协助投诉处理的招标代理机构专</w:t>
            </w:r>
            <w:r>
              <w:rPr>
                <w:rFonts w:hint="eastAsia" w:ascii="仿宋" w:hAnsi="仿宋" w:eastAsia="仿宋" w:cs="仿宋"/>
                <w:szCs w:val="21"/>
                <w:lang w:val="zh-CN"/>
              </w:rPr>
              <w:t>职人员与招标代理合同中注明的人员不符的</w:t>
            </w:r>
            <w:r>
              <w:rPr>
                <w:rFonts w:hint="eastAsia" w:ascii="仿宋" w:hAnsi="仿宋" w:eastAsia="仿宋" w:cs="仿宋"/>
                <w:szCs w:val="21"/>
              </w:rPr>
              <w:t>；</w:t>
            </w:r>
          </w:p>
        </w:tc>
        <w:tc>
          <w:tcPr>
            <w:tcW w:w="4284" w:type="dxa"/>
            <w:vAlign w:val="center"/>
          </w:tcPr>
          <w:p>
            <w:pPr>
              <w:spacing w:line="240" w:lineRule="exact"/>
              <w:rPr>
                <w:rFonts w:ascii="仿宋" w:hAnsi="仿宋" w:eastAsia="仿宋" w:cs="仿宋"/>
                <w:color w:val="000000"/>
                <w:szCs w:val="21"/>
                <w:lang w:val="zh-CN"/>
              </w:rPr>
            </w:pPr>
            <w:r>
              <w:rPr>
                <w:rFonts w:hint="eastAsia" w:ascii="仿宋" w:hAnsi="仿宋" w:eastAsia="仿宋" w:cs="仿宋"/>
                <w:szCs w:val="21"/>
              </w:rPr>
              <w:t>77号文件中“规范工程招标代理行为”的要求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spacing w:line="240" w:lineRule="exact"/>
              <w:rPr>
                <w:rFonts w:ascii="仿宋" w:hAnsi="仿宋" w:eastAsia="仿宋" w:cs="仿宋"/>
                <w:szCs w:val="21"/>
                <w:lang w:val="zh-CN"/>
              </w:rPr>
            </w:pPr>
            <w:r>
              <w:rPr>
                <w:rFonts w:hint="eastAsia" w:ascii="仿宋" w:hAnsi="仿宋" w:eastAsia="仿宋" w:cs="仿宋"/>
                <w:szCs w:val="21"/>
                <w:lang w:val="zh-CN"/>
              </w:rPr>
              <w:t>因招标代理机构原因对潜在投标人、投标人或者其他利害关系人依法递交的书面异议予以拒收或未依法</w:t>
            </w:r>
            <w:r>
              <w:rPr>
                <w:rFonts w:hint="eastAsia" w:ascii="仿宋" w:hAnsi="仿宋" w:eastAsia="仿宋" w:cs="仿宋"/>
                <w:szCs w:val="21"/>
              </w:rPr>
              <w:t>对符合条件的异</w:t>
            </w:r>
            <w:r>
              <w:rPr>
                <w:rFonts w:hint="eastAsia" w:ascii="仿宋" w:hAnsi="仿宋" w:eastAsia="仿宋" w:cs="仿宋"/>
                <w:color w:val="000000"/>
                <w:szCs w:val="21"/>
              </w:rPr>
              <w:t>议书面</w:t>
            </w:r>
            <w:r>
              <w:rPr>
                <w:rFonts w:hint="eastAsia" w:ascii="仿宋" w:hAnsi="仿宋" w:eastAsia="仿宋" w:cs="仿宋"/>
                <w:szCs w:val="21"/>
              </w:rPr>
              <w:t>回复的</w:t>
            </w:r>
            <w:r>
              <w:rPr>
                <w:rFonts w:hint="eastAsia" w:ascii="仿宋" w:hAnsi="仿宋" w:eastAsia="仿宋" w:cs="仿宋"/>
                <w:szCs w:val="21"/>
                <w:lang w:val="zh-CN"/>
              </w:rPr>
              <w:t>；</w:t>
            </w:r>
          </w:p>
        </w:tc>
        <w:tc>
          <w:tcPr>
            <w:tcW w:w="4284" w:type="dxa"/>
            <w:vAlign w:val="center"/>
          </w:tcPr>
          <w:p>
            <w:pPr>
              <w:spacing w:line="240" w:lineRule="exact"/>
              <w:rPr>
                <w:rFonts w:ascii="仿宋" w:hAnsi="仿宋" w:eastAsia="仿宋" w:cs="仿宋"/>
                <w:szCs w:val="21"/>
                <w:lang w:val="zh-CN"/>
              </w:rPr>
            </w:pPr>
            <w:r>
              <w:rPr>
                <w:rFonts w:hint="eastAsia" w:ascii="仿宋" w:hAnsi="仿宋" w:eastAsia="仿宋" w:cs="仿宋"/>
                <w:szCs w:val="21"/>
              </w:rPr>
              <w:t>《中华人民共和国招标投标法实施条例》第22条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092" w:type="dxa"/>
            <w:vMerge w:val="continue"/>
            <w:vAlign w:val="center"/>
          </w:tcPr>
          <w:p>
            <w:pPr>
              <w:spacing w:line="320" w:lineRule="exact"/>
              <w:jc w:val="center"/>
              <w:rPr>
                <w:rFonts w:ascii="仿宋" w:hAnsi="仿宋" w:eastAsia="仿宋" w:cs="仿宋"/>
                <w:szCs w:val="21"/>
              </w:rPr>
            </w:pPr>
          </w:p>
        </w:tc>
        <w:tc>
          <w:tcPr>
            <w:tcW w:w="732" w:type="dxa"/>
            <w:vMerge w:val="continue"/>
            <w:vAlign w:val="center"/>
          </w:tcPr>
          <w:p>
            <w:pPr>
              <w:spacing w:line="320" w:lineRule="exact"/>
              <w:ind w:firstLine="71" w:firstLineChars="34"/>
              <w:rPr>
                <w:rFonts w:ascii="仿宋" w:hAnsi="仿宋" w:eastAsia="仿宋" w:cs="仿宋"/>
                <w:szCs w:val="21"/>
              </w:rPr>
            </w:pPr>
          </w:p>
        </w:tc>
        <w:tc>
          <w:tcPr>
            <w:tcW w:w="3720" w:type="dxa"/>
            <w:vAlign w:val="center"/>
          </w:tcPr>
          <w:p>
            <w:pPr>
              <w:rPr>
                <w:rFonts w:ascii="仿宋" w:hAnsi="仿宋" w:eastAsia="仿宋" w:cs="仿宋"/>
                <w:szCs w:val="21"/>
                <w:lang w:val="zh-CN"/>
              </w:rPr>
            </w:pPr>
            <w:r>
              <w:rPr>
                <w:rFonts w:hint="eastAsia" w:ascii="仿宋" w:hAnsi="仿宋" w:eastAsia="仿宋" w:cs="仿宋"/>
                <w:szCs w:val="21"/>
              </w:rPr>
              <w:t>对行政监督部门处理投诉中查阅、复制有关文件、资料等调查有关情况的行为不予以配合,或存在不如实提供资料及情况，拒绝、隐匿或者伪报行为的。</w:t>
            </w:r>
          </w:p>
        </w:tc>
        <w:tc>
          <w:tcPr>
            <w:tcW w:w="4284" w:type="dxa"/>
            <w:vAlign w:val="center"/>
          </w:tcPr>
          <w:p>
            <w:pPr>
              <w:rPr>
                <w:rFonts w:ascii="仿宋" w:hAnsi="仿宋" w:eastAsia="仿宋" w:cs="仿宋"/>
                <w:szCs w:val="21"/>
              </w:rPr>
            </w:pPr>
            <w:r>
              <w:rPr>
                <w:rFonts w:hint="eastAsia" w:ascii="仿宋" w:hAnsi="仿宋" w:eastAsia="仿宋" w:cs="仿宋"/>
                <w:szCs w:val="21"/>
              </w:rPr>
              <w:t xml:space="preserve">《中华人民共和国招标投标法》第7条  </w:t>
            </w:r>
          </w:p>
          <w:p>
            <w:pPr>
              <w:rPr>
                <w:rFonts w:ascii="仿宋" w:hAnsi="仿宋" w:eastAsia="仿宋" w:cs="仿宋"/>
                <w:szCs w:val="21"/>
              </w:rPr>
            </w:pPr>
            <w:r>
              <w:rPr>
                <w:rFonts w:hint="eastAsia" w:ascii="仿宋" w:hAnsi="仿宋" w:eastAsia="仿宋" w:cs="仿宋"/>
                <w:szCs w:val="21"/>
              </w:rPr>
              <w:t>《中华人民共和国招标投标法实施条例》第62条</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AB"/>
    <w:rsid w:val="00004F9B"/>
    <w:rsid w:val="001C49A6"/>
    <w:rsid w:val="002D54AB"/>
    <w:rsid w:val="00397B72"/>
    <w:rsid w:val="009100C8"/>
    <w:rsid w:val="10691EA8"/>
    <w:rsid w:val="3B6636C3"/>
    <w:rsid w:val="57080453"/>
    <w:rsid w:val="58E621A1"/>
    <w:rsid w:val="683F5DF2"/>
    <w:rsid w:val="7107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3808</Words>
  <Characters>589</Characters>
  <Lines>4</Lines>
  <Paragraphs>8</Paragraphs>
  <TotalTime>129</TotalTime>
  <ScaleCrop>false</ScaleCrop>
  <LinksUpToDate>false</LinksUpToDate>
  <CharactersWithSpaces>4389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2020-09-01T13:44:00Z</dcterms:created>
  <dc:creator>lenovo</dc:creator>
  <cp:lastModifiedBy>Mr.杜</cp:lastModifiedBy>
  <cp:lastPrinted>2020-11-02T07:56:00Z</cp:lastPrinted>
  <dcterms:modified xsi:type="dcterms:W3CDTF">2020-11-13T08:37:25Z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