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黑体"/>
          <w:sz w:val="30"/>
          <w:szCs w:val="30"/>
          <w:highlight w:val="none"/>
          <w:lang w:val="en-US"/>
        </w:rPr>
      </w:pPr>
      <w:r>
        <w:rPr>
          <w:rFonts w:hint="eastAsia" w:ascii="Times New Roman" w:hAnsi="Times New Roman" w:eastAsia="方正小标宋简体"/>
          <w:sz w:val="40"/>
          <w:szCs w:val="40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/>
          <w:sz w:val="40"/>
          <w:szCs w:val="40"/>
          <w:highlight w:val="none"/>
        </w:rPr>
        <w:t>202</w:t>
      </w:r>
      <w:r>
        <w:rPr>
          <w:rFonts w:hint="eastAsia" w:ascii="Times New Roman" w:hAnsi="Times New Roman" w:eastAsia="方正小标宋简体"/>
          <w:sz w:val="40"/>
          <w:szCs w:val="40"/>
          <w:highlight w:val="none"/>
        </w:rPr>
        <w:t>3年霍城县地方政府债务限额</w:t>
      </w:r>
      <w:r>
        <w:rPr>
          <w:rFonts w:hint="eastAsia" w:ascii="Times New Roman" w:hAnsi="Times New Roman" w:eastAsia="方正小标宋简体"/>
          <w:sz w:val="40"/>
          <w:szCs w:val="40"/>
          <w:highlight w:val="none"/>
          <w:lang w:val="en-US" w:eastAsia="zh-CN"/>
        </w:rPr>
        <w:t>调整报告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default" w:ascii="Times New Roman" w:hAnsi="Times New Roman" w:eastAsia="黑体"/>
          <w:sz w:val="30"/>
          <w:szCs w:val="30"/>
          <w:highlight w:val="none"/>
        </w:rPr>
      </w:pPr>
      <w:r>
        <w:rPr>
          <w:rFonts w:hint="eastAsia" w:ascii="Times New Roman" w:hAnsi="Times New Roman" w:eastAsia="黑体"/>
          <w:sz w:val="30"/>
          <w:szCs w:val="30"/>
          <w:highlight w:val="none"/>
        </w:rPr>
        <w:t>一、截至</w:t>
      </w:r>
      <w:r>
        <w:rPr>
          <w:rFonts w:hint="eastAsia" w:ascii="Times New Roman" w:hAnsi="Times New Roman" w:eastAsia="黑体"/>
          <w:sz w:val="30"/>
          <w:szCs w:val="30"/>
          <w:highlight w:val="none"/>
          <w:lang w:eastAsia="zh-CN"/>
        </w:rPr>
        <w:t>2022年</w:t>
      </w:r>
      <w:r>
        <w:rPr>
          <w:rFonts w:hint="eastAsia" w:ascii="Times New Roman" w:hAnsi="Times New Roman" w:eastAsia="黑体"/>
          <w:sz w:val="30"/>
          <w:szCs w:val="30"/>
          <w:highlight w:val="none"/>
        </w:rPr>
        <w:t>12月霍城县政府债务限额总体情况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12月，霍城县政府债务限额总额为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49.46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一般债务限额总额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专项债务限额总额为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亿元。</w:t>
      </w: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eastAsia" w:ascii="Times New Roman" w:hAnsi="Times New Roman" w:eastAsia="黑体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黑体"/>
          <w:sz w:val="30"/>
          <w:szCs w:val="30"/>
          <w:highlight w:val="none"/>
        </w:rPr>
        <w:t>二、</w:t>
      </w:r>
      <w:r>
        <w:rPr>
          <w:rFonts w:hint="eastAsia" w:ascii="Times New Roman" w:hAnsi="Times New Roman" w:eastAsia="黑体"/>
          <w:sz w:val="30"/>
          <w:szCs w:val="30"/>
          <w:highlight w:val="none"/>
          <w:lang w:eastAsia="zh-CN"/>
        </w:rPr>
        <w:t>202</w:t>
      </w:r>
      <w:r>
        <w:rPr>
          <w:rFonts w:hint="eastAsia" w:ascii="Times New Roman" w:hAnsi="Times New Roman" w:eastAsia="黑体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/>
          <w:sz w:val="30"/>
          <w:szCs w:val="30"/>
          <w:highlight w:val="none"/>
          <w:lang w:eastAsia="zh-CN"/>
        </w:rPr>
        <w:t>年新增地方政府债务限额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年霍城县新增债务限额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亿元，其中：一般债券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2.01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亿元，专项债券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亿元。</w:t>
      </w: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default" w:ascii="Times New Roman" w:hAnsi="Times New Roman" w:eastAsia="黑体"/>
          <w:sz w:val="30"/>
          <w:szCs w:val="30"/>
          <w:highlight w:val="none"/>
        </w:rPr>
      </w:pPr>
      <w:r>
        <w:rPr>
          <w:rFonts w:hint="eastAsia" w:ascii="Times New Roman" w:hAnsi="Times New Roman" w:eastAsia="黑体"/>
          <w:sz w:val="30"/>
          <w:szCs w:val="30"/>
          <w:highlight w:val="none"/>
        </w:rPr>
        <w:t>三、调整后</w:t>
      </w:r>
      <w:r>
        <w:rPr>
          <w:rFonts w:hint="default" w:ascii="Times New Roman" w:hAnsi="Times New Roman" w:eastAsia="黑体"/>
          <w:sz w:val="30"/>
          <w:szCs w:val="30"/>
          <w:highlight w:val="none"/>
        </w:rPr>
        <w:t>202</w:t>
      </w:r>
      <w:r>
        <w:rPr>
          <w:rFonts w:hint="eastAsia" w:ascii="Times New Roman" w:hAnsi="Times New Roman" w:eastAsia="黑体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/>
          <w:sz w:val="30"/>
          <w:szCs w:val="30"/>
          <w:highlight w:val="none"/>
        </w:rPr>
        <w:t>年霍城县政府债务限额情况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按照上述新增债务限额分配后，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年霍城县政府债务限额总额调整为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63.58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一般债务限额总额调整为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22.86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专项债务限额总额调整为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亿元。</w:t>
      </w: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eastAsia" w:ascii="Times New Roman" w:hAnsi="Times New Roman" w:eastAsia="黑体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0"/>
          <w:szCs w:val="30"/>
          <w:highlight w:val="none"/>
          <w:lang w:val="en-US" w:eastAsia="zh-CN"/>
        </w:rPr>
        <w:t>四、2023年新增地方债券安排情况</w:t>
      </w:r>
    </w:p>
    <w:p>
      <w:pPr>
        <w:adjustRightInd w:val="0"/>
        <w:snapToGrid w:val="0"/>
        <w:spacing w:beforeLines="0" w:afterLines="0" w:line="560" w:lineRule="exact"/>
        <w:ind w:firstLine="602" w:firstLineChars="200"/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highlight w:val="none"/>
        </w:rPr>
        <w:t>（一）新增一般债券安排情况。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年新增一般债券项目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，债券资金2.01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主要用</w:t>
      </w:r>
      <w:r>
        <w:rPr>
          <w:rFonts w:hint="eastAsia"/>
          <w:sz w:val="32"/>
          <w:szCs w:val="40"/>
          <w:highlight w:val="none"/>
        </w:rPr>
        <w:t>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霍城县公共医疗卫生能力提升建设项目1.2亿元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霍城县2023年农村安全饮水巩固提升工程0.14亿元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霍城县2023年农村人居环境整治生活污水处理建设项目0.12亿元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霍城县江苏中学建设项目二期0.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霍城县2023年村组道路提升建设项目0.1亿元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83"/>
          <w:tab w:val="center" w:pos="421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highlight w:val="none"/>
        </w:rPr>
        <w:t>（二）新增专项债券安排情况。</w:t>
      </w:r>
      <w:r>
        <w:rPr>
          <w:rFonts w:hint="eastAsia"/>
          <w:sz w:val="32"/>
          <w:szCs w:val="40"/>
          <w:highlight w:val="none"/>
        </w:rPr>
        <w:t>202</w:t>
      </w:r>
      <w:r>
        <w:rPr>
          <w:rFonts w:hint="eastAsia"/>
          <w:sz w:val="32"/>
          <w:szCs w:val="40"/>
          <w:highlight w:val="none"/>
          <w:lang w:val="en-US" w:eastAsia="zh-CN"/>
        </w:rPr>
        <w:t>3</w:t>
      </w:r>
      <w:r>
        <w:rPr>
          <w:rFonts w:hint="eastAsia"/>
          <w:sz w:val="32"/>
          <w:szCs w:val="40"/>
          <w:highlight w:val="none"/>
        </w:rPr>
        <w:t>年新增专项债券项目</w:t>
      </w:r>
      <w:r>
        <w:rPr>
          <w:rFonts w:hint="eastAsia"/>
          <w:sz w:val="32"/>
          <w:szCs w:val="40"/>
          <w:highlight w:val="none"/>
          <w:lang w:val="en-US" w:eastAsia="zh-CN"/>
        </w:rPr>
        <w:t>17个，债券资金12.11</w:t>
      </w:r>
      <w:r>
        <w:rPr>
          <w:rFonts w:hint="eastAsia"/>
          <w:sz w:val="32"/>
          <w:szCs w:val="40"/>
          <w:highlight w:val="none"/>
        </w:rPr>
        <w:t>亿元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  <w:r>
        <w:rPr>
          <w:rFonts w:hint="eastAsia"/>
          <w:sz w:val="32"/>
          <w:szCs w:val="40"/>
          <w:highlight w:val="none"/>
        </w:rPr>
        <w:t>主要用于：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霍城县环城生态建设项目1.5亿元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霍城县2021年棚户区改造项目1.5亿元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霍城县全域旅游基础设施（一期）建设项目1.3亿元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霍城县2023年清水河镇供热设施节能改造建设项目0.6亿元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霍城经济开发区农村产业融合示范园建设项目1.2亿元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霍城县供水工程0.4亿元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霍城县2022年棚户区改造一期建设项目1.3亿元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霍城县人民医院等医疗卫生系统基础设施建设项目0.4亿元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伊犁州霍城县城市交通物流综合体系建设项目0.6亿元、伊犁州霍城县城镇生活垃圾收集及转运处理项目0.4亿元、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霍城县惠远古城4A级景区基础设施建设项目1.5亿元、霍城县果子沟-赛里木湖景区创建国家4A级旅游景区基础设施建设项目0.3亿元、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霍城县2020年棚户区改造项目0.7亿元、霍城县水库大坝安全监测和水雨情监测项目0.0525亿元、霍城县水资源监控能力建设井电双控建设项目0.0511亿元、果-赛景区盘山道0.0745亿元、游客服务中心及附属工程0.2319亿元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sectPr>
      <w:pgSz w:w="11906" w:h="16838"/>
      <w:pgMar w:top="2098" w:right="1417" w:bottom="2098" w:left="141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E3388B"/>
    <w:rsid w:val="37A44589"/>
    <w:rsid w:val="4361125D"/>
    <w:rsid w:val="5F8631EE"/>
    <w:rsid w:val="6A0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adjustRightInd w:val="0"/>
      <w:snapToGrid w:val="0"/>
      <w:spacing w:after="200"/>
      <w:ind w:firstLine="880" w:firstLineChars="200"/>
      <w:jc w:val="left"/>
    </w:pPr>
    <w:rPr>
      <w:rFonts w:ascii="Tahoma" w:hAnsi="Tahoma" w:eastAsia="微软雅黑"/>
      <w:kern w:val="0"/>
      <w:sz w:val="22"/>
    </w:rPr>
  </w:style>
  <w:style w:type="paragraph" w:styleId="3">
    <w:name w:val="Body Text"/>
    <w:basedOn w:val="1"/>
    <w:next w:val="4"/>
    <w:unhideWhenUsed/>
    <w:qFormat/>
    <w:uiPriority w:val="0"/>
    <w:pPr>
      <w:spacing w:beforeLines="0" w:after="140" w:afterLines="0" w:line="276" w:lineRule="auto"/>
    </w:pPr>
    <w:rPr>
      <w:rFonts w:hint="default"/>
      <w:sz w:val="21"/>
      <w:szCs w:val="24"/>
    </w:rPr>
  </w:style>
  <w:style w:type="paragraph" w:styleId="4">
    <w:name w:val="Body Text First Indent"/>
    <w:basedOn w:val="3"/>
    <w:unhideWhenUsed/>
    <w:qFormat/>
    <w:uiPriority w:val="0"/>
    <w:pPr>
      <w:spacing w:beforeLines="0" w:after="120" w:afterLines="0"/>
      <w:ind w:firstLine="420" w:firstLineChars="100"/>
    </w:pPr>
    <w:rPr>
      <w:rFonts w:hint="default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2023-10-25T03:58:35Z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57F43142177E4A938F8609C8036D7921</vt:lpwstr>
  </property>
</Properties>
</file>