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霍城县青少年活动中心2024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1B7A668">
      <w:r>
        <w:br w:type="page"/>
      </w:r>
    </w:p>
    <w:p w14:paraId="373BE1E6">
      <w:pPr>
        <w:spacing w:line="640" w:lineRule="exact"/>
        <w:jc w:val="center"/>
        <w:outlineLvl w:val="1"/>
      </w:pPr>
      <w:r>
        <w:rPr>
          <w:rFonts w:ascii="黑体" w:hAnsi="黑体" w:eastAsia="黑体"/>
          <w:sz w:val="32"/>
        </w:rPr>
        <w:t>第一部分 单位概况</w:t>
      </w:r>
    </w:p>
    <w:p w14:paraId="26F17AD5">
      <w:pPr>
        <w:spacing w:line="640" w:lineRule="exact"/>
        <w:ind w:firstLine="640"/>
        <w:jc w:val="both"/>
        <w:outlineLvl w:val="2"/>
      </w:pPr>
      <w:r>
        <w:rPr>
          <w:rFonts w:ascii="黑体" w:hAnsi="黑体" w:eastAsia="黑体"/>
          <w:sz w:val="32"/>
        </w:rPr>
        <w:t>一、主要职能</w:t>
      </w:r>
    </w:p>
    <w:p w14:paraId="3566A9E9">
      <w:pPr>
        <w:spacing w:line="580" w:lineRule="exact"/>
        <w:ind w:firstLine="640"/>
        <w:jc w:val="both"/>
      </w:pPr>
      <w:r>
        <w:rPr>
          <w:rFonts w:ascii="仿宋_GB2312" w:hAnsi="仿宋_GB2312" w:eastAsia="仿宋_GB2312"/>
          <w:sz w:val="32"/>
        </w:rPr>
        <w:t>(1)全面贯彻执行党和国家、自治区、自治州有关教育工作的方针、政策和法规。</w:t>
      </w:r>
    </w:p>
    <w:p w14:paraId="3DA09AC3">
      <w:pPr>
        <w:spacing w:line="580" w:lineRule="exact"/>
        <w:ind w:firstLine="640"/>
        <w:jc w:val="both"/>
      </w:pPr>
      <w:r>
        <w:rPr>
          <w:rFonts w:ascii="仿宋_GB2312" w:hAnsi="仿宋_GB2312" w:eastAsia="仿宋_GB2312"/>
          <w:sz w:val="32"/>
        </w:rPr>
        <w:t>(2)制定组织实施全县青少年活动的长期规划和短期计划，开展青少年各类培训工作。</w:t>
      </w:r>
    </w:p>
    <w:p w14:paraId="07527D48">
      <w:pPr>
        <w:spacing w:line="640" w:lineRule="exact"/>
        <w:ind w:firstLine="640"/>
        <w:jc w:val="both"/>
        <w:outlineLvl w:val="2"/>
      </w:pPr>
      <w:r>
        <w:rPr>
          <w:rFonts w:ascii="黑体" w:hAnsi="黑体" w:eastAsia="黑体"/>
          <w:sz w:val="32"/>
        </w:rPr>
        <w:t>二、机构设置及人员情况</w:t>
      </w:r>
    </w:p>
    <w:p w14:paraId="0FB544DD">
      <w:pPr>
        <w:spacing w:line="580" w:lineRule="exact"/>
        <w:ind w:firstLine="640"/>
        <w:jc w:val="both"/>
      </w:pPr>
      <w:r>
        <w:rPr>
          <w:rFonts w:ascii="仿宋_GB2312" w:hAnsi="仿宋_GB2312" w:eastAsia="仿宋_GB2312"/>
          <w:sz w:val="32"/>
        </w:rPr>
        <w:t>霍城县青少年活动中心2024年度，实有人数6人，其中：在职人员4人，增加0人；离休人员0人，增加0人；退休人员2人,增加1人。</w:t>
      </w:r>
    </w:p>
    <w:p w14:paraId="01917CD3">
      <w:pPr>
        <w:spacing w:line="580" w:lineRule="exact"/>
        <w:ind w:firstLine="640"/>
        <w:jc w:val="both"/>
      </w:pPr>
      <w:r>
        <w:rPr>
          <w:rFonts w:ascii="仿宋_GB2312" w:hAnsi="仿宋_GB2312" w:eastAsia="仿宋_GB2312"/>
          <w:sz w:val="32"/>
        </w:rPr>
        <w:t>霍城县青少年活动中心无下属预算单位，下设2个科室，分别是：办公室、财务室。</w:t>
      </w:r>
    </w:p>
    <w:p w14:paraId="6F2CDA70">
      <w:r>
        <w:br w:type="page"/>
      </w:r>
    </w:p>
    <w:p w14:paraId="569B46E9">
      <w:pPr>
        <w:spacing w:line="240" w:lineRule="auto"/>
        <w:jc w:val="center"/>
        <w:outlineLvl w:val="1"/>
      </w:pPr>
      <w:r>
        <w:rPr>
          <w:rFonts w:ascii="黑体" w:hAnsi="黑体" w:eastAsia="黑体"/>
          <w:sz w:val="32"/>
        </w:rPr>
        <w:t>第二部分 部门决算情况说明</w:t>
      </w:r>
    </w:p>
    <w:p w14:paraId="2E992464">
      <w:pPr>
        <w:spacing w:line="640" w:lineRule="exact"/>
        <w:ind w:firstLine="640"/>
        <w:jc w:val="both"/>
        <w:outlineLvl w:val="2"/>
      </w:pPr>
      <w:r>
        <w:rPr>
          <w:rFonts w:ascii="黑体" w:hAnsi="黑体" w:eastAsia="黑体"/>
          <w:sz w:val="32"/>
        </w:rPr>
        <w:t>一、收入支出决算总体情况说明</w:t>
      </w:r>
    </w:p>
    <w:p w14:paraId="18E1459E">
      <w:pPr>
        <w:spacing w:line="580" w:lineRule="exact"/>
        <w:ind w:firstLine="640"/>
        <w:jc w:val="both"/>
      </w:pPr>
      <w:r>
        <w:rPr>
          <w:rFonts w:ascii="仿宋_GB2312" w:hAnsi="仿宋_GB2312" w:eastAsia="仿宋_GB2312"/>
          <w:b/>
          <w:sz w:val="32"/>
        </w:rPr>
        <w:t>2024年度收入总计92.30万元，</w:t>
      </w:r>
      <w:r>
        <w:rPr>
          <w:rFonts w:ascii="仿宋_GB2312" w:hAnsi="仿宋_GB2312" w:eastAsia="仿宋_GB2312"/>
          <w:b w:val="0"/>
          <w:sz w:val="32"/>
        </w:rPr>
        <w:t>其中：本年收入合计92.30万元，使用非财政拨款结余（含专用结余）0.00万元，年初结转和结余0.00万元。</w:t>
      </w:r>
    </w:p>
    <w:p w14:paraId="144869A3">
      <w:pPr>
        <w:spacing w:line="580" w:lineRule="exact"/>
        <w:ind w:firstLine="640"/>
        <w:jc w:val="both"/>
      </w:pPr>
      <w:r>
        <w:rPr>
          <w:rFonts w:ascii="仿宋_GB2312" w:hAnsi="仿宋_GB2312" w:eastAsia="仿宋_GB2312"/>
          <w:b/>
          <w:sz w:val="32"/>
        </w:rPr>
        <w:t>2024年度支出总计92.30万元，</w:t>
      </w:r>
      <w:r>
        <w:rPr>
          <w:rFonts w:ascii="仿宋_GB2312" w:hAnsi="仿宋_GB2312" w:eastAsia="仿宋_GB2312"/>
          <w:b w:val="0"/>
          <w:sz w:val="32"/>
        </w:rPr>
        <w:t>其中：本年支出合计92.30万元，结余分配0.00万元，年末结转和结余0.00万元。</w:t>
      </w:r>
    </w:p>
    <w:p w14:paraId="2D3DC4B0">
      <w:pPr>
        <w:spacing w:line="580" w:lineRule="exact"/>
        <w:ind w:firstLine="640"/>
        <w:jc w:val="both"/>
      </w:pPr>
      <w:r>
        <w:rPr>
          <w:rFonts w:ascii="仿宋_GB2312" w:hAnsi="仿宋_GB2312" w:eastAsia="仿宋_GB2312"/>
          <w:b w:val="0"/>
          <w:sz w:val="32"/>
        </w:rPr>
        <w:t>收入支出总体与上年相比，增加15.55万元，增长20.26%，主要原因是：本年在职人员工资调增、社保、公积金基数调增，人员经费增加，导致经费较上年增加。退休人员增加，退休费及职业年金较上年增加，导致经费较上年增加。</w:t>
      </w:r>
    </w:p>
    <w:p w14:paraId="7E900545">
      <w:pPr>
        <w:spacing w:line="640" w:lineRule="exact"/>
        <w:ind w:firstLine="640"/>
        <w:jc w:val="both"/>
        <w:outlineLvl w:val="2"/>
      </w:pPr>
      <w:r>
        <w:rPr>
          <w:rFonts w:ascii="黑体" w:hAnsi="黑体" w:eastAsia="黑体"/>
          <w:sz w:val="32"/>
        </w:rPr>
        <w:t>二、收入决算情况说明</w:t>
      </w:r>
    </w:p>
    <w:p w14:paraId="4911A16B">
      <w:pPr>
        <w:spacing w:line="580" w:lineRule="exact"/>
        <w:ind w:firstLine="640"/>
        <w:jc w:val="both"/>
      </w:pPr>
      <w:r>
        <w:rPr>
          <w:rFonts w:ascii="仿宋_GB2312" w:hAnsi="仿宋_GB2312" w:eastAsia="仿宋_GB2312"/>
          <w:b/>
          <w:sz w:val="32"/>
        </w:rPr>
        <w:t>本年收入92.30万元，</w:t>
      </w:r>
      <w:r>
        <w:rPr>
          <w:rFonts w:ascii="仿宋_GB2312" w:hAnsi="仿宋_GB2312" w:eastAsia="仿宋_GB2312"/>
          <w:b w:val="0"/>
          <w:sz w:val="32"/>
        </w:rPr>
        <w:t>其中：财政拨款收入92.30万元，占100.00%；上级补助收入0.00万元，占0.00%；事业收入0.00万元，占0.00%；经营收入0.00万元，占0.00%；附属单位上缴收入0.00万元，占0.00%；其他收入0.00万元，占0.00%。</w:t>
      </w:r>
    </w:p>
    <w:p w14:paraId="7E385F38">
      <w:pPr>
        <w:spacing w:line="640" w:lineRule="exact"/>
        <w:ind w:firstLine="640"/>
        <w:jc w:val="both"/>
        <w:outlineLvl w:val="2"/>
      </w:pPr>
      <w:r>
        <w:rPr>
          <w:rFonts w:ascii="黑体" w:hAnsi="黑体" w:eastAsia="黑体"/>
          <w:sz w:val="32"/>
        </w:rPr>
        <w:t>三、支出决算情况说明</w:t>
      </w:r>
    </w:p>
    <w:p w14:paraId="35D3AFA9">
      <w:pPr>
        <w:spacing w:line="580" w:lineRule="exact"/>
        <w:ind w:firstLine="640"/>
        <w:jc w:val="both"/>
      </w:pPr>
      <w:r>
        <w:rPr>
          <w:rFonts w:ascii="仿宋_GB2312" w:hAnsi="仿宋_GB2312" w:eastAsia="仿宋_GB2312"/>
          <w:b/>
          <w:sz w:val="32"/>
        </w:rPr>
        <w:t>本年支出92.30万元，</w:t>
      </w:r>
      <w:r>
        <w:rPr>
          <w:rFonts w:ascii="仿宋_GB2312" w:hAnsi="仿宋_GB2312" w:eastAsia="仿宋_GB2312"/>
          <w:b w:val="0"/>
          <w:sz w:val="32"/>
        </w:rPr>
        <w:t>其中：基本支出92.30万元，占100.00%；项目支出0.00万元，占0.00%；上缴上级支出0.00万元，占0.00%；经营支出0.00万元，占0.00%；对附属单位补助支出0.00万元，占0.00%。</w:t>
      </w:r>
    </w:p>
    <w:p w14:paraId="2A0F5E28">
      <w:pPr>
        <w:spacing w:line="640" w:lineRule="exact"/>
        <w:ind w:firstLine="640"/>
        <w:jc w:val="both"/>
        <w:outlineLvl w:val="2"/>
      </w:pPr>
      <w:r>
        <w:rPr>
          <w:rFonts w:ascii="黑体" w:hAnsi="黑体" w:eastAsia="黑体"/>
          <w:sz w:val="32"/>
        </w:rPr>
        <w:t>四、财政拨款收入支出决算总体情况说明</w:t>
      </w:r>
    </w:p>
    <w:p w14:paraId="7B287D1C">
      <w:pPr>
        <w:spacing w:line="580" w:lineRule="exact"/>
        <w:ind w:firstLine="640"/>
        <w:jc w:val="both"/>
      </w:pPr>
      <w:r>
        <w:rPr>
          <w:rFonts w:ascii="仿宋_GB2312" w:hAnsi="仿宋_GB2312" w:eastAsia="仿宋_GB2312"/>
          <w:b/>
          <w:sz w:val="32"/>
        </w:rPr>
        <w:t>2024年度财政拨款收入总计92.30万元，</w:t>
      </w:r>
      <w:r>
        <w:rPr>
          <w:rFonts w:ascii="仿宋_GB2312" w:hAnsi="仿宋_GB2312" w:eastAsia="仿宋_GB2312"/>
          <w:b w:val="0"/>
          <w:sz w:val="32"/>
        </w:rPr>
        <w:t>其中：年初财政拨款结转和结余0.00万元，本年财政拨款收入92.30万元。</w:t>
      </w:r>
      <w:r>
        <w:rPr>
          <w:rFonts w:ascii="仿宋_GB2312" w:hAnsi="仿宋_GB2312" w:eastAsia="仿宋_GB2312"/>
          <w:b/>
          <w:sz w:val="32"/>
        </w:rPr>
        <w:t>财政拨款支出总计92.30万元，</w:t>
      </w:r>
      <w:r>
        <w:rPr>
          <w:rFonts w:ascii="仿宋_GB2312" w:hAnsi="仿宋_GB2312" w:eastAsia="仿宋_GB2312"/>
          <w:b w:val="0"/>
          <w:sz w:val="32"/>
        </w:rPr>
        <w:t>其中：年末财政拨款结转和结余0.00万元，本年财政拨款支出92.30万元。</w:t>
      </w:r>
    </w:p>
    <w:p w14:paraId="41A0191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增加21.65万元，增长30.64%，主要原因是：本年在职人员工资调增、社保、公积金基数调增，人员经费增加，导致经费较上年增加。退休人员增加，退休费及职业年金较上年增加，导致经费较上年增加。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年初预算数60.64万元，决算数92.30万元，预决算差异率52.21%，主要原因是：年中追加人员工资、社保、公积金基数调增部分资金及退休人员职业年金，导致预决算存在差异。</w:t>
      </w:r>
    </w:p>
    <w:p w14:paraId="285EAE8E">
      <w:pPr>
        <w:spacing w:line="640" w:lineRule="exact"/>
        <w:ind w:firstLine="640"/>
        <w:jc w:val="both"/>
        <w:outlineLvl w:val="2"/>
      </w:pPr>
      <w:r>
        <w:rPr>
          <w:rFonts w:ascii="黑体" w:hAnsi="黑体" w:eastAsia="黑体"/>
          <w:sz w:val="32"/>
        </w:rPr>
        <w:t>五、一般公共预算财政拨款支出决算情况说明</w:t>
      </w:r>
    </w:p>
    <w:p w14:paraId="1700B35F">
      <w:pPr>
        <w:spacing w:line="640" w:lineRule="exact"/>
        <w:ind w:firstLine="640"/>
        <w:jc w:val="both"/>
        <w:outlineLvl w:val="3"/>
      </w:pPr>
      <w:r>
        <w:rPr>
          <w:rFonts w:ascii="楷体_GB2312" w:hAnsi="楷体_GB2312" w:eastAsia="楷体_GB2312"/>
          <w:b/>
          <w:sz w:val="32"/>
        </w:rPr>
        <w:t>（一）一般公共预算财政拨款支出决算总体情况</w:t>
      </w:r>
    </w:p>
    <w:p w14:paraId="674F9698">
      <w:pPr>
        <w:spacing w:line="580" w:lineRule="exact"/>
        <w:ind w:firstLine="640"/>
        <w:jc w:val="both"/>
      </w:pPr>
      <w:r>
        <w:rPr>
          <w:rFonts w:ascii="仿宋_GB2312" w:hAnsi="仿宋_GB2312" w:eastAsia="仿宋_GB2312"/>
          <w:b/>
          <w:sz w:val="32"/>
        </w:rPr>
        <w:t>2024年度一般公共预算财政拨款支出92.30万元，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增加21.65万元，增长30.64%，主要原因是：本年在职人员工资调增、社保、公积金基数调增，人员经费增加，导致经费较上年增加。退休人员增加，退休费及职业年金较上年增加，导致经费较上年增加。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年初预算数60.64万元，决算数92.30万元，预决算差异率52.21%，主要原因是：年中追加人员工资、社保、公积金基数调增部分资金及退休人员职业年金，导致预决算存在差异。</w:t>
      </w:r>
    </w:p>
    <w:p w14:paraId="59A54EFD">
      <w:pPr>
        <w:spacing w:line="640" w:lineRule="exact"/>
        <w:ind w:firstLine="640"/>
        <w:jc w:val="both"/>
        <w:outlineLvl w:val="3"/>
      </w:pPr>
      <w:r>
        <w:rPr>
          <w:rFonts w:ascii="楷体_GB2312" w:hAnsi="楷体_GB2312" w:eastAsia="楷体_GB2312"/>
          <w:b/>
          <w:sz w:val="32"/>
        </w:rPr>
        <w:t>（二）一般公共预算财政拨款支出决算结构情况</w:t>
      </w:r>
    </w:p>
    <w:p w14:paraId="5D6268C3">
      <w:pPr>
        <w:spacing w:line="580" w:lineRule="exact"/>
        <w:ind w:firstLine="640"/>
        <w:jc w:val="both"/>
      </w:pPr>
      <w:r>
        <w:rPr>
          <w:rFonts w:ascii="仿宋_GB2312" w:hAnsi="仿宋_GB2312" w:eastAsia="仿宋_GB2312"/>
          <w:b w:val="0"/>
          <w:sz w:val="32"/>
        </w:rPr>
        <w:t>1.教育支出(类)68.56万元,占74.28%。</w:t>
      </w:r>
    </w:p>
    <w:p w14:paraId="471BEA82">
      <w:pPr>
        <w:spacing w:line="580" w:lineRule="exact"/>
        <w:ind w:firstLine="640"/>
        <w:jc w:val="both"/>
      </w:pPr>
      <w:r>
        <w:rPr>
          <w:rFonts w:ascii="仿宋_GB2312" w:hAnsi="仿宋_GB2312" w:eastAsia="仿宋_GB2312"/>
          <w:b w:val="0"/>
          <w:sz w:val="32"/>
        </w:rPr>
        <w:t>2.社会保障和就业支出(类)19.54万元,占21.17%。</w:t>
      </w:r>
    </w:p>
    <w:p w14:paraId="3D124BD5">
      <w:pPr>
        <w:spacing w:line="580" w:lineRule="exact"/>
        <w:ind w:firstLine="640"/>
        <w:jc w:val="both"/>
      </w:pPr>
      <w:r>
        <w:rPr>
          <w:rFonts w:ascii="仿宋_GB2312" w:hAnsi="仿宋_GB2312" w:eastAsia="仿宋_GB2312"/>
          <w:b w:val="0"/>
          <w:sz w:val="32"/>
        </w:rPr>
        <w:t>3.卫生健康支出(类)4.20万元,占4.55%。</w:t>
      </w:r>
    </w:p>
    <w:p w14:paraId="1F5609E7">
      <w:pPr>
        <w:spacing w:line="640" w:lineRule="exact"/>
        <w:ind w:firstLine="640"/>
        <w:jc w:val="both"/>
        <w:outlineLvl w:val="3"/>
      </w:pPr>
      <w:r>
        <w:rPr>
          <w:rFonts w:ascii="楷体_GB2312" w:hAnsi="楷体_GB2312" w:eastAsia="楷体_GB2312"/>
          <w:b/>
          <w:sz w:val="32"/>
        </w:rPr>
        <w:t>（三）一般公共预算财政拨款支出决算具体情况</w:t>
      </w:r>
    </w:p>
    <w:p w14:paraId="3D7184F7">
      <w:pPr>
        <w:spacing w:line="580" w:lineRule="exact"/>
        <w:ind w:firstLine="640"/>
        <w:jc w:val="both"/>
      </w:pPr>
      <w:r>
        <w:rPr>
          <w:rFonts w:ascii="仿宋_GB2312" w:hAnsi="仿宋_GB2312" w:eastAsia="仿宋_GB2312"/>
          <w:b w:val="0"/>
          <w:sz w:val="32"/>
        </w:rPr>
        <w:t>1.教育支出(类)普通教育(款)其他普通教育支出(项):支出决算数为68.56万元，比上年决算增加18.25万元，增长36.28%,主要原因是：本年在职人员工资调增、社保、公积金基数调增，人员经费增加，导致经费较上年增加。本年功能科目调整，住房公积金上年度单独列支，本年调整至主科目列支，导致经费较上年增加。</w:t>
      </w:r>
    </w:p>
    <w:p w14:paraId="4A062052">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2.社会保障和就业支出(类)行政事业单位养老支出(款)事业单位离退休(项):支出决算数为1.30万元，比上年决算增加0.69万元，增长113.11%,主要原因是：本年退休人员增加，增加退休人员基础绩效奖，退休费增加。</w:t>
      </w:r>
    </w:p>
    <w:p w14:paraId="25D901CB">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8.39万元，比上年决算增加2.21万元，增长35.76%,主要原因是：本年在职人员工资基数调增，养老缴费基数上涨，相应支出增加。</w:t>
      </w:r>
    </w:p>
    <w:p w14:paraId="2340DFAE">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4.社会保障和就业支出(类)行政事业单位养老支出(款)机关事业单位职业年金缴费支出(项):支出决算数为9.85万元，比上年决算增加5.20万元，增长111.83%,主要原因是：本年新增退休人员1名，职业年金缴费支出增加。</w:t>
      </w:r>
    </w:p>
    <w:p w14:paraId="3911B3F6">
      <w:pPr>
        <w:spacing w:line="580" w:lineRule="exact"/>
        <w:ind w:firstLine="640"/>
        <w:jc w:val="both"/>
      </w:pPr>
      <w:r>
        <w:rPr>
          <w:rFonts w:ascii="仿宋_GB2312" w:hAnsi="仿宋_GB2312" w:eastAsia="仿宋_GB2312"/>
          <w:b w:val="0"/>
          <w:sz w:val="32"/>
        </w:rPr>
        <w:t>5.卫生健康支出(类)行政事业单位医疗(款)事业单位医疗(项):支出决算数为4.20万元，比上年决算增加0.37万元，增长9.66%,主要原因是：本年在职人员工资基数调增，医疗缴费基数上涨，相应支出增加。</w:t>
      </w:r>
    </w:p>
    <w:p w14:paraId="5F968FAC">
      <w:pPr>
        <w:spacing w:line="580" w:lineRule="exact"/>
        <w:ind w:firstLine="640"/>
        <w:jc w:val="both"/>
      </w:pPr>
      <w:r>
        <w:rPr>
          <w:rFonts w:ascii="仿宋_GB2312" w:hAnsi="仿宋_GB2312" w:eastAsia="仿宋_GB2312"/>
          <w:b w:val="0"/>
          <w:sz w:val="32"/>
        </w:rPr>
        <w:t>6.住房保障支出(类)住房改革支出(款)住房公积金(项):支出决算数为0.00万元，比上年决算减少5.06万元，下降100.00%,主要原因是：本年功能科目调整，住房公积金上年度单独列支，本年调整至主科目列支，导致经费较上年减少。</w:t>
      </w:r>
    </w:p>
    <w:p w14:paraId="39A3A4B1">
      <w:pPr>
        <w:spacing w:line="640" w:lineRule="exact"/>
        <w:ind w:firstLine="640"/>
        <w:jc w:val="both"/>
        <w:outlineLvl w:val="2"/>
      </w:pPr>
      <w:r>
        <w:rPr>
          <w:rFonts w:ascii="黑体" w:hAnsi="黑体" w:eastAsia="黑体"/>
          <w:sz w:val="32"/>
        </w:rPr>
        <w:t>六、一般公共预算财政拨款基本支出决算情况说明</w:t>
      </w:r>
    </w:p>
    <w:p w14:paraId="67DC1035">
      <w:pPr>
        <w:spacing w:line="580" w:lineRule="exact"/>
        <w:ind w:firstLine="640"/>
        <w:jc w:val="both"/>
      </w:pPr>
      <w:r>
        <w:rPr>
          <w:rFonts w:ascii="仿宋_GB2312" w:hAnsi="仿宋_GB2312" w:eastAsia="仿宋_GB2312"/>
          <w:b w:val="0"/>
          <w:sz w:val="32"/>
        </w:rPr>
        <w:t>2024年度一般公共预算财政拨款基本支出92.30万元，其中：</w:t>
      </w:r>
      <w:r>
        <w:rPr>
          <w:rFonts w:ascii="仿宋_GB2312" w:hAnsi="仿宋_GB2312" w:eastAsia="仿宋_GB2312"/>
          <w:b/>
          <w:sz w:val="32"/>
        </w:rPr>
        <w:t>人员经费91.36万元，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0D0C6F38">
      <w:pPr>
        <w:spacing w:line="580" w:lineRule="exact"/>
        <w:ind w:firstLine="640"/>
        <w:jc w:val="both"/>
      </w:pPr>
      <w:r>
        <w:rPr>
          <w:rFonts w:ascii="仿宋_GB2312" w:hAnsi="仿宋_GB2312" w:eastAsia="仿宋_GB2312"/>
          <w:b/>
          <w:sz w:val="32"/>
        </w:rPr>
        <w:t>公用经费0.94万元，</w:t>
      </w:r>
      <w:r>
        <w:rPr>
          <w:rFonts w:ascii="仿宋_GB2312" w:hAnsi="仿宋_GB2312" w:eastAsia="仿宋_GB2312"/>
          <w:b w:val="0"/>
          <w:sz w:val="32"/>
        </w:rPr>
        <w:t>包括：水费、邮电费、工会经费。</w:t>
      </w:r>
    </w:p>
    <w:p w14:paraId="4F01B030">
      <w:pPr>
        <w:spacing w:line="640" w:lineRule="exact"/>
        <w:ind w:firstLine="640"/>
        <w:jc w:val="both"/>
        <w:outlineLvl w:val="2"/>
      </w:pPr>
      <w:r>
        <w:rPr>
          <w:rFonts w:ascii="黑体" w:hAnsi="黑体" w:eastAsia="黑体"/>
          <w:sz w:val="32"/>
        </w:rPr>
        <w:t>七、政府性基金预算财政拨款收入支出决算情况说明</w:t>
      </w:r>
    </w:p>
    <w:p w14:paraId="00D5F9C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58EEE1A">
      <w:pPr>
        <w:spacing w:line="640" w:lineRule="exact"/>
        <w:ind w:firstLine="640"/>
        <w:jc w:val="both"/>
        <w:outlineLvl w:val="2"/>
      </w:pPr>
      <w:r>
        <w:rPr>
          <w:rFonts w:ascii="黑体" w:hAnsi="黑体" w:eastAsia="黑体"/>
          <w:sz w:val="32"/>
        </w:rPr>
        <w:t>八、国有资本经营预算财政拨款收入支出决算情况说明</w:t>
      </w:r>
    </w:p>
    <w:p w14:paraId="2491066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250F47D">
      <w:pPr>
        <w:spacing w:line="640" w:lineRule="exact"/>
        <w:ind w:firstLine="640"/>
        <w:jc w:val="both"/>
        <w:outlineLvl w:val="2"/>
      </w:pPr>
      <w:r>
        <w:rPr>
          <w:rFonts w:ascii="黑体" w:hAnsi="黑体" w:eastAsia="黑体"/>
          <w:sz w:val="32"/>
        </w:rPr>
        <w:t>九、财政拨款“三公”经费支出决算情况说明</w:t>
      </w:r>
    </w:p>
    <w:p w14:paraId="515F3A6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25000C1">
      <w:pPr>
        <w:spacing w:line="580" w:lineRule="exact"/>
        <w:ind w:firstLine="640"/>
        <w:jc w:val="both"/>
      </w:pPr>
      <w:r>
        <w:rPr>
          <w:rFonts w:ascii="仿宋_GB2312" w:hAnsi="仿宋_GB2312" w:eastAsia="仿宋_GB2312"/>
          <w:b/>
          <w:sz w:val="32"/>
        </w:rPr>
        <w:t>具体情况如下：</w:t>
      </w:r>
    </w:p>
    <w:p w14:paraId="7721D25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5DB2F5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977BDB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E7517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E96AA5C">
      <w:pPr>
        <w:spacing w:line="640" w:lineRule="exact"/>
        <w:ind w:firstLine="640"/>
        <w:jc w:val="both"/>
        <w:outlineLvl w:val="2"/>
      </w:pPr>
      <w:r>
        <w:rPr>
          <w:rFonts w:ascii="黑体" w:hAnsi="黑体" w:eastAsia="黑体"/>
          <w:sz w:val="32"/>
        </w:rPr>
        <w:t>十、其他重要事项的情况说明</w:t>
      </w:r>
    </w:p>
    <w:p w14:paraId="15F1B9AA">
      <w:pPr>
        <w:spacing w:line="640" w:lineRule="exact"/>
        <w:ind w:firstLine="640"/>
        <w:jc w:val="both"/>
        <w:outlineLvl w:val="3"/>
      </w:pPr>
      <w:r>
        <w:rPr>
          <w:rFonts w:ascii="楷体_GB2312" w:hAnsi="楷体_GB2312" w:eastAsia="楷体_GB2312"/>
          <w:b/>
          <w:sz w:val="32"/>
        </w:rPr>
        <w:t>（一）机关运行经费及公用经费支出情况</w:t>
      </w:r>
    </w:p>
    <w:p w14:paraId="2F552C40">
      <w:pPr>
        <w:spacing w:line="580" w:lineRule="exact"/>
        <w:ind w:firstLine="640"/>
        <w:jc w:val="both"/>
      </w:pPr>
      <w:r>
        <w:rPr>
          <w:rFonts w:ascii="仿宋_GB2312" w:hAnsi="仿宋_GB2312" w:eastAsia="仿宋_GB2312"/>
          <w:b w:val="0"/>
          <w:sz w:val="32"/>
        </w:rPr>
        <w:t>2024年度霍城县青少年活动中心（事业单位）公用经费支出0.94万元，比上年减少0.33万元，下降25.98%，主要原因是：严格控制公用经费，合理节约办公用品，减少不必要开支。</w:t>
      </w:r>
    </w:p>
    <w:p w14:paraId="32594E16">
      <w:pPr>
        <w:spacing w:line="640" w:lineRule="exact"/>
        <w:ind w:firstLine="640"/>
        <w:jc w:val="both"/>
        <w:outlineLvl w:val="3"/>
      </w:pPr>
      <w:r>
        <w:rPr>
          <w:rFonts w:ascii="楷体_GB2312" w:hAnsi="楷体_GB2312" w:eastAsia="楷体_GB2312"/>
          <w:b/>
          <w:sz w:val="32"/>
        </w:rPr>
        <w:t>（二）政府采购情况</w:t>
      </w:r>
    </w:p>
    <w:p w14:paraId="52F456AC">
      <w:pPr>
        <w:spacing w:line="580" w:lineRule="exact"/>
        <w:ind w:firstLine="640"/>
        <w:jc w:val="both"/>
      </w:pPr>
      <w:r>
        <w:rPr>
          <w:rFonts w:ascii="仿宋_GB2312" w:hAnsi="仿宋_GB2312" w:eastAsia="仿宋_GB2312"/>
          <w:b w:val="0"/>
          <w:sz w:val="32"/>
        </w:rPr>
        <w:t>2024年度政府采购支出总额0.10万元，其中：政府采购货物支出0.10万元、政府采购工程支出0.00万元、政府采购服务支出0.00万元。</w:t>
      </w:r>
    </w:p>
    <w:p w14:paraId="2CB8B6F1">
      <w:pPr>
        <w:spacing w:line="580" w:lineRule="exact"/>
        <w:ind w:firstLine="640"/>
        <w:jc w:val="both"/>
      </w:pPr>
      <w:r>
        <w:rPr>
          <w:rFonts w:ascii="仿宋_GB2312" w:hAnsi="仿宋_GB2312" w:eastAsia="仿宋_GB2312"/>
          <w:b w:val="0"/>
          <w:sz w:val="32"/>
        </w:rPr>
        <w:t>授予中小企业合同金额0.10万元，占政府采购支出总额的100.00%，其中：授予小微企业合同金额0.10万元，占政府采购支出总额的100.00%。</w:t>
      </w:r>
    </w:p>
    <w:p w14:paraId="6B16912D">
      <w:pPr>
        <w:spacing w:line="640" w:lineRule="exact"/>
        <w:ind w:firstLine="640"/>
        <w:jc w:val="both"/>
        <w:outlineLvl w:val="3"/>
      </w:pPr>
      <w:r>
        <w:rPr>
          <w:rFonts w:ascii="楷体_GB2312" w:hAnsi="楷体_GB2312" w:eastAsia="楷体_GB2312"/>
          <w:b/>
          <w:sz w:val="32"/>
        </w:rPr>
        <w:t>（三）国有资产占用情况说明</w:t>
      </w:r>
    </w:p>
    <w:p w14:paraId="56F26419">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2679B63">
      <w:pPr>
        <w:spacing w:line="640" w:lineRule="exact"/>
        <w:ind w:firstLine="640"/>
        <w:jc w:val="both"/>
        <w:outlineLvl w:val="2"/>
      </w:pPr>
      <w:r>
        <w:rPr>
          <w:rFonts w:ascii="黑体" w:hAnsi="黑体" w:eastAsia="黑体"/>
          <w:sz w:val="32"/>
        </w:rPr>
        <w:t>十一、预算绩效的情况说明</w:t>
      </w:r>
    </w:p>
    <w:p w14:paraId="4A11281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92.29万元，实际执行总额92.29万元；预算绩效评价项目0个，全年预算数0.00万元，全年执行数0.00万元。预算绩效管理取得的成效：1.本单位为加强预算管理，规范财务行为，已制定《霍城县青少年活动中心预算绩效管理工作实施办法》《霍城县青少年活动中心财务管理制度》；同时按照财政要求基本支出分月度申报资金使用计划，由财政部门按照进度每月按期拨付，人员支出按照工资计划发放工资；项目支出属于政府采购的，按照《中华人民共和国政府采购法》《青少年活动中心采购与招标管理办法》组织人员制定采购计划，按照财政局采购部门批复，进行公开招标、政采云直采招标等方式进行；属于非政府采购的项目，按照“三重一大”制度规定，重大项目支出</w:t>
      </w:r>
      <w:r>
        <w:rPr>
          <w:rFonts w:hint="eastAsia" w:ascii="仿宋_GB2312" w:hAnsi="仿宋_GB2312" w:eastAsia="仿宋_GB2312"/>
          <w:b w:val="0"/>
          <w:sz w:val="32"/>
          <w:lang w:eastAsia="zh-CN"/>
        </w:rPr>
        <w:t>由</w:t>
      </w:r>
      <w:r>
        <w:rPr>
          <w:rFonts w:ascii="仿宋_GB2312" w:hAnsi="仿宋_GB2312" w:eastAsia="仿宋_GB2312"/>
          <w:b w:val="0"/>
          <w:sz w:val="32"/>
        </w:rPr>
        <w:t>党组会研究决定。多措并举有效保障</w:t>
      </w:r>
      <w:r>
        <w:rPr>
          <w:rFonts w:hint="eastAsia" w:ascii="仿宋_GB2312" w:hAnsi="仿宋_GB2312" w:eastAsia="仿宋_GB2312"/>
          <w:b w:val="0"/>
          <w:sz w:val="32"/>
          <w:lang w:eastAsia="zh-CN"/>
        </w:rPr>
        <w:t>本单位</w:t>
      </w:r>
      <w:r>
        <w:rPr>
          <w:rFonts w:ascii="仿宋_GB2312" w:hAnsi="仿宋_GB2312" w:eastAsia="仿宋_GB2312"/>
          <w:b w:val="0"/>
          <w:sz w:val="32"/>
        </w:rPr>
        <w:t>高效</w:t>
      </w:r>
      <w:r>
        <w:rPr>
          <w:rFonts w:hint="eastAsia" w:ascii="仿宋_GB2312" w:hAnsi="仿宋_GB2312" w:eastAsia="仿宋_GB2312"/>
          <w:b w:val="0"/>
          <w:sz w:val="32"/>
          <w:lang w:eastAsia="zh-CN"/>
        </w:rPr>
        <w:t>地</w:t>
      </w:r>
      <w:r>
        <w:rPr>
          <w:rFonts w:ascii="仿宋_GB2312" w:hAnsi="仿宋_GB2312" w:eastAsia="仿宋_GB2312"/>
          <w:b w:val="0"/>
          <w:sz w:val="32"/>
        </w:rPr>
        <w:t>履行工作职能，较好</w:t>
      </w:r>
      <w:r>
        <w:rPr>
          <w:rFonts w:hint="eastAsia" w:ascii="仿宋_GB2312" w:hAnsi="仿宋_GB2312" w:eastAsia="仿宋_GB2312"/>
          <w:b w:val="0"/>
          <w:sz w:val="32"/>
          <w:lang w:eastAsia="zh-CN"/>
        </w:rPr>
        <w:t>地</w:t>
      </w:r>
      <w:r>
        <w:rPr>
          <w:rFonts w:ascii="仿宋_GB2312" w:hAnsi="仿宋_GB2312" w:eastAsia="仿宋_GB2312"/>
          <w:b w:val="0"/>
          <w:sz w:val="32"/>
        </w:rPr>
        <w:t>促进事业发展。2. 资源配置优化：通过科学的预算绩效管理，学校能够更精准地将资金分配到教学、科研、师资建设等关键领域，提高了资源的利用效率。3.目标达成率提高：明确的预算绩效目标和定期的评估机制，使得学校各项工作计划的目标达成率显著提升，如教学质量的改善、科研成果的增加等。发现的问题及原因：1、预算执行完成后的绩效管理还有待完善和加强。2、内部管理制度不完善，内部管理流程不清晰。3、未实现全面预算的信息化管理，不能及时考核预算执行情况。4、绩效工作组织管理中存在实施事项与年初预算出现偏差，主要原因是对临时支出事项预测不精准，对突发事件预备不足。下一步改进措施：1、建立健全各项财务管理制度，并严格按照规定进行管理。2、逐步实现全面预算管理，加强事前控制，及时分析、总结及评估，不断提高预算编制的准确性，提高可操作性。3、年初预算充分准备基础数据，做到预算精细、精准。4、分析讨论中心各类开支事项的必要性和可能性，力求预算精细精准把握预算执行进度。5、</w:t>
      </w:r>
      <w:r>
        <w:rPr>
          <w:rFonts w:hint="eastAsia" w:ascii="仿宋_GB2312" w:hAnsi="仿宋_GB2312" w:eastAsia="仿宋_GB2312"/>
          <w:b w:val="0"/>
          <w:sz w:val="32"/>
          <w:lang w:eastAsia="zh-CN"/>
        </w:rPr>
        <w:t>加大</w:t>
      </w:r>
      <w:r>
        <w:rPr>
          <w:rFonts w:ascii="仿宋_GB2312" w:hAnsi="仿宋_GB2312" w:eastAsia="仿宋_GB2312"/>
          <w:b w:val="0"/>
          <w:sz w:val="32"/>
        </w:rPr>
        <w:t>绩效管理工作的宣传力度，强化自觉学习意识，熟悉掌握相关政策，提高监控工作人员综合素质。具体附整体支出绩效自评表。</w:t>
      </w:r>
      <w:bookmarkStart w:id="0" w:name="_GoBack"/>
      <w:bookmarkEnd w:id="0"/>
    </w:p>
    <w:p w14:paraId="4834916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2F90D1E">
        <w:tblPrEx>
          <w:tblCellMar>
            <w:top w:w="0" w:type="dxa"/>
            <w:left w:w="108" w:type="dxa"/>
            <w:bottom w:w="0" w:type="dxa"/>
            <w:right w:w="108" w:type="dxa"/>
          </w:tblCellMar>
        </w:tblPrEx>
        <w:tc>
          <w:tcPr>
            <w:tcW w:w="8840" w:type="dxa"/>
            <w:gridSpan w:val="8"/>
            <w:vAlign w:val="center"/>
          </w:tcPr>
          <w:p w14:paraId="7FEE474B">
            <w:pPr>
              <w:jc w:val="center"/>
            </w:pPr>
            <w:r>
              <w:rPr>
                <w:rFonts w:ascii="宋体" w:hAnsi="宋体" w:eastAsia="宋体"/>
                <w:sz w:val="24"/>
              </w:rPr>
              <w:t>单位整体支出绩效自评表</w:t>
            </w:r>
          </w:p>
        </w:tc>
      </w:tr>
      <w:tr w14:paraId="512672DD">
        <w:tblPrEx>
          <w:tblCellMar>
            <w:top w:w="0" w:type="dxa"/>
            <w:left w:w="108" w:type="dxa"/>
            <w:bottom w:w="0" w:type="dxa"/>
            <w:right w:w="108" w:type="dxa"/>
          </w:tblCellMar>
        </w:tblPrEx>
        <w:tc>
          <w:tcPr>
            <w:tcW w:w="8840" w:type="dxa"/>
            <w:gridSpan w:val="8"/>
            <w:vAlign w:val="center"/>
          </w:tcPr>
          <w:p w14:paraId="659A8D24">
            <w:pPr>
              <w:jc w:val="center"/>
            </w:pPr>
            <w:r>
              <w:rPr>
                <w:rFonts w:ascii="宋体" w:hAnsi="宋体" w:eastAsia="宋体"/>
                <w:sz w:val="24"/>
              </w:rPr>
              <w:t>（2024年度）</w:t>
            </w:r>
          </w:p>
        </w:tc>
      </w:tr>
      <w:tr w14:paraId="415B0FF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54E6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8B000">
            <w:pPr>
              <w:jc w:val="center"/>
            </w:pPr>
            <w:r>
              <w:rPr>
                <w:rFonts w:ascii="宋体" w:hAnsi="宋体" w:eastAsia="宋体"/>
                <w:sz w:val="16"/>
              </w:rPr>
              <w:t>霍城县青少年活动中心</w:t>
            </w:r>
          </w:p>
        </w:tc>
      </w:tr>
      <w:tr w14:paraId="31C36A0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67EB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C755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FED7C">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DD9B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415D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793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1B4C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1F13B">
            <w:pPr>
              <w:jc w:val="center"/>
            </w:pPr>
            <w:r>
              <w:rPr>
                <w:rFonts w:ascii="宋体" w:hAnsi="宋体" w:eastAsia="宋体"/>
                <w:sz w:val="16"/>
              </w:rPr>
              <w:t>得分</w:t>
            </w:r>
          </w:p>
        </w:tc>
      </w:tr>
      <w:tr w14:paraId="25FA8F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8494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9A6D7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3AAA6">
            <w:pPr>
              <w:jc w:val="center"/>
            </w:pPr>
            <w:r>
              <w:rPr>
                <w:rFonts w:ascii="宋体" w:hAnsi="宋体" w:eastAsia="宋体"/>
                <w:sz w:val="16"/>
              </w:rPr>
              <w:t>60.64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D2F0C">
            <w:pPr>
              <w:jc w:val="center"/>
            </w:pPr>
            <w:r>
              <w:rPr>
                <w:rFonts w:ascii="宋体" w:hAnsi="宋体" w:eastAsia="宋体"/>
                <w:sz w:val="16"/>
              </w:rPr>
              <w:t>92.29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8AAD3">
            <w:pPr>
              <w:jc w:val="center"/>
            </w:pPr>
            <w:r>
              <w:rPr>
                <w:rFonts w:ascii="宋体" w:hAnsi="宋体" w:eastAsia="宋体"/>
                <w:sz w:val="16"/>
              </w:rPr>
              <w:t>92.29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8A1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4896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D3953">
            <w:pPr>
              <w:jc w:val="center"/>
            </w:pPr>
            <w:r>
              <w:rPr>
                <w:rFonts w:ascii="宋体" w:hAnsi="宋体" w:eastAsia="宋体"/>
                <w:sz w:val="16"/>
              </w:rPr>
              <w:t>10</w:t>
            </w:r>
          </w:p>
        </w:tc>
      </w:tr>
      <w:tr w14:paraId="0DA3C66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9D9E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45D4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C4AF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9F34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374C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4F8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108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E3201">
            <w:pPr>
              <w:jc w:val="center"/>
            </w:pPr>
            <w:r>
              <w:rPr>
                <w:rFonts w:ascii="宋体" w:hAnsi="宋体" w:eastAsia="宋体"/>
                <w:sz w:val="16"/>
              </w:rPr>
              <w:t>-</w:t>
            </w:r>
          </w:p>
        </w:tc>
      </w:tr>
      <w:tr w14:paraId="1FF61D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6EA2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685F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9AFCE">
            <w:pPr>
              <w:jc w:val="center"/>
            </w:pPr>
            <w:r>
              <w:rPr>
                <w:rFonts w:ascii="宋体" w:hAnsi="宋体" w:eastAsia="宋体"/>
                <w:sz w:val="16"/>
              </w:rPr>
              <w:t>60.64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FDF1F">
            <w:pPr>
              <w:jc w:val="center"/>
            </w:pPr>
            <w:r>
              <w:rPr>
                <w:rFonts w:ascii="宋体" w:hAnsi="宋体" w:eastAsia="宋体"/>
                <w:sz w:val="16"/>
              </w:rPr>
              <w:t>92.29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CB1A0">
            <w:pPr>
              <w:jc w:val="center"/>
            </w:pPr>
            <w:r>
              <w:rPr>
                <w:rFonts w:ascii="宋体" w:hAnsi="宋体" w:eastAsia="宋体"/>
                <w:sz w:val="16"/>
              </w:rPr>
              <w:t>92.29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6178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FB0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05CF4">
            <w:pPr>
              <w:jc w:val="center"/>
            </w:pPr>
            <w:r>
              <w:rPr>
                <w:rFonts w:ascii="宋体" w:hAnsi="宋体" w:eastAsia="宋体"/>
                <w:sz w:val="16"/>
              </w:rPr>
              <w:t>-</w:t>
            </w:r>
          </w:p>
        </w:tc>
      </w:tr>
      <w:tr w14:paraId="79D9A2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D2EC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1D8E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EE9C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B550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36F0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D82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8B3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7AEB3">
            <w:pPr>
              <w:jc w:val="center"/>
            </w:pPr>
            <w:r>
              <w:rPr>
                <w:rFonts w:ascii="宋体" w:hAnsi="宋体" w:eastAsia="宋体"/>
                <w:sz w:val="16"/>
              </w:rPr>
              <w:t>-</w:t>
            </w:r>
          </w:p>
        </w:tc>
      </w:tr>
      <w:tr w14:paraId="7F5AE3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9401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10D04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39FB52">
            <w:pPr>
              <w:jc w:val="center"/>
            </w:pPr>
            <w:r>
              <w:rPr>
                <w:rFonts w:ascii="宋体" w:hAnsi="宋体" w:eastAsia="宋体"/>
                <w:sz w:val="16"/>
              </w:rPr>
              <w:t>实际完成情况</w:t>
            </w:r>
          </w:p>
        </w:tc>
      </w:tr>
      <w:tr w14:paraId="5295F6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59DD8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B9426B">
            <w:pPr>
              <w:jc w:val="both"/>
            </w:pPr>
            <w:r>
              <w:rPr>
                <w:rFonts w:ascii="宋体" w:hAnsi="宋体" w:eastAsia="宋体"/>
                <w:sz w:val="16"/>
              </w:rPr>
              <w:t>一、组织广大青少年开展丰富多彩的校外科技、艺术、体育等活动；二、通过特长培训培养孩子们的特长、兴趣爱好，提高他们的专业水平：三、通过开展科技文化活动普及科学文化知识，提高青少年学生的科技文化素质；四、通过传统性或专题性的校外活动，带动学校和乡村少年宫校外活动。组织广大青少年开展丰富多彩的校外科技、艺术、体育等活动，通过特长培训培养孩子们的特长、兴趣爱好，提高他们的专业水平。不断改善活动中心的办学条件，提升教师业务综合素质，保障学校教育教学正常运转。</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821477">
            <w:pPr>
              <w:jc w:val="left"/>
            </w:pPr>
            <w:r>
              <w:rPr>
                <w:rFonts w:ascii="宋体" w:hAnsi="宋体" w:eastAsia="宋体"/>
                <w:sz w:val="16"/>
              </w:rPr>
              <w:t>全面贯彻执行党和国家、自治区、自治州有关教育工作的方针、政策和法规；制定组织实施全县青少年活动的长期规划和短期计划，开展青少年各类培训工作，满足广大青少年不断增长的多层次、多样化的教育要求，努力构建有利于青少年健康成长的大环境，加强校外教育与学校教育的衔接，成为青少年搭建艺术实践、展现自我共同成长的平台。                                                                                                                                                                                                                                             1：完善青少年活动中心的教育、活动、培训和科研功能，全力打造具有独特性、持续性和知名度的校外教育优质品牌。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2：不断改善活动中心的办学条件，提升教师业务综合素质，保障学校教育教学正常运转。                                                                                                                                                                                                                                                                     3：树立学生正确对待环境的态度，并且鼓励学生积极参与改善环境，加强学生环保意识、改变不良生活习惯，让学生意识到保护环境的重要性，提高自身素质。</w:t>
            </w:r>
          </w:p>
        </w:tc>
      </w:tr>
      <w:tr w14:paraId="26607B0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5216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0AE5E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7878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771C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4FAB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7920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9256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A203F">
            <w:pPr>
              <w:jc w:val="center"/>
            </w:pPr>
            <w:r>
              <w:rPr>
                <w:rFonts w:ascii="宋体" w:hAnsi="宋体" w:eastAsia="宋体"/>
                <w:sz w:val="16"/>
              </w:rPr>
              <w:t>得分</w:t>
            </w:r>
          </w:p>
        </w:tc>
      </w:tr>
      <w:tr w14:paraId="6BB7B2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1F24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9658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BF29A">
            <w:pPr>
              <w:jc w:val="center"/>
            </w:pPr>
            <w:r>
              <w:rPr>
                <w:rFonts w:ascii="宋体" w:hAnsi="宋体" w:eastAsia="宋体"/>
                <w:sz w:val="16"/>
              </w:rPr>
              <w:t>开设兴趣班级数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C7B13">
            <w:pPr>
              <w:jc w:val="center"/>
            </w:pPr>
            <w:r>
              <w:rPr>
                <w:rFonts w:ascii="宋体" w:hAnsi="宋体" w:eastAsia="宋体"/>
                <w:sz w:val="16"/>
              </w:rPr>
              <w:t>&gt;=45个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3A28A">
            <w:pPr>
              <w:jc w:val="center"/>
            </w:pPr>
            <w:r>
              <w:rPr>
                <w:rFonts w:ascii="宋体" w:hAnsi="宋体" w:eastAsia="宋体"/>
                <w:sz w:val="16"/>
              </w:rPr>
              <w:t>2024年青少年活动中心收费标准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4D369">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B53B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EF5EF">
            <w:pPr>
              <w:jc w:val="center"/>
            </w:pPr>
            <w:r>
              <w:rPr>
                <w:rFonts w:ascii="宋体" w:hAnsi="宋体" w:eastAsia="宋体"/>
                <w:sz w:val="16"/>
              </w:rPr>
              <w:t>30</w:t>
            </w:r>
          </w:p>
        </w:tc>
      </w:tr>
      <w:tr w14:paraId="27FF41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80D9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E95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4F2E6">
            <w:pPr>
              <w:jc w:val="center"/>
            </w:pPr>
            <w:r>
              <w:rPr>
                <w:rFonts w:ascii="宋体" w:hAnsi="宋体" w:eastAsia="宋体"/>
                <w:sz w:val="16"/>
              </w:rPr>
              <w:t>培训学生人数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6F06B2">
            <w:pPr>
              <w:jc w:val="center"/>
            </w:pPr>
            <w:r>
              <w:rPr>
                <w:rFonts w:ascii="宋体" w:hAnsi="宋体" w:eastAsia="宋体"/>
                <w:sz w:val="16"/>
              </w:rPr>
              <w:t>&gt;=500人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91E7D">
            <w:pPr>
              <w:jc w:val="center"/>
            </w:pPr>
            <w:r>
              <w:rPr>
                <w:rFonts w:ascii="宋体" w:hAnsi="宋体" w:eastAsia="宋体"/>
                <w:sz w:val="16"/>
              </w:rPr>
              <w:t>2024年青少年活动中心春季班收费标准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6DF13">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E64BE">
            <w:pPr>
              <w:jc w:val="center"/>
            </w:pPr>
            <w:r>
              <w:rPr>
                <w:rFonts w:ascii="宋体" w:hAnsi="宋体" w:eastAsia="宋体"/>
                <w:sz w:val="16"/>
              </w:rPr>
              <w:t>456人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1FE9E">
            <w:pPr>
              <w:jc w:val="center"/>
            </w:pPr>
            <w:r>
              <w:rPr>
                <w:rFonts w:ascii="宋体" w:hAnsi="宋体" w:eastAsia="宋体"/>
                <w:sz w:val="16"/>
              </w:rPr>
              <w:t>27.36</w:t>
            </w:r>
          </w:p>
        </w:tc>
      </w:tr>
      <w:tr w14:paraId="427499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B68D6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6946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94A7D">
            <w:pPr>
              <w:jc w:val="center"/>
            </w:pPr>
            <w:r>
              <w:rPr>
                <w:rFonts w:ascii="宋体" w:hAnsi="宋体" w:eastAsia="宋体"/>
                <w:sz w:val="16"/>
              </w:rPr>
              <w:t>专业教师人数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AFFD7">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571AE">
            <w:pPr>
              <w:jc w:val="center"/>
            </w:pPr>
            <w:r>
              <w:rPr>
                <w:rFonts w:ascii="宋体" w:hAnsi="宋体" w:eastAsia="宋体"/>
                <w:sz w:val="16"/>
              </w:rPr>
              <w:t>2024年青少年活动中心专兼职教师基本情况表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93D27">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93A3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64BD2">
            <w:pPr>
              <w:jc w:val="center"/>
            </w:pPr>
            <w:r>
              <w:rPr>
                <w:rFonts w:ascii="宋体" w:hAnsi="宋体" w:eastAsia="宋体"/>
                <w:sz w:val="16"/>
              </w:rPr>
              <w:t>30</w:t>
            </w:r>
          </w:p>
        </w:tc>
      </w:tr>
    </w:tbl>
    <w:p w14:paraId="3D1F8328">
      <w:r>
        <w:br w:type="page"/>
      </w:r>
    </w:p>
    <w:p w14:paraId="6BE5F03E">
      <w:pPr>
        <w:spacing w:line="640" w:lineRule="exact"/>
        <w:ind w:firstLine="640"/>
        <w:jc w:val="both"/>
        <w:outlineLvl w:val="2"/>
      </w:pPr>
      <w:r>
        <w:rPr>
          <w:rFonts w:ascii="黑体" w:hAnsi="黑体" w:eastAsia="黑体"/>
          <w:sz w:val="32"/>
        </w:rPr>
        <w:t>十二、其他需说明的事项</w:t>
      </w:r>
    </w:p>
    <w:p w14:paraId="1434D38D">
      <w:pPr>
        <w:spacing w:line="580" w:lineRule="exact"/>
        <w:ind w:firstLine="640"/>
        <w:jc w:val="both"/>
      </w:pPr>
      <w:r>
        <w:rPr>
          <w:rFonts w:ascii="仿宋_GB2312" w:hAnsi="仿宋_GB2312" w:eastAsia="仿宋_GB2312"/>
          <w:b w:val="0"/>
          <w:sz w:val="32"/>
        </w:rPr>
        <w:t>本单位无其他需说明的事项。</w:t>
      </w:r>
    </w:p>
    <w:p w14:paraId="23B2E432">
      <w:r>
        <w:br w:type="page"/>
      </w:r>
    </w:p>
    <w:p w14:paraId="08569AE1">
      <w:pPr>
        <w:spacing w:line="240" w:lineRule="auto"/>
        <w:jc w:val="center"/>
        <w:outlineLvl w:val="1"/>
      </w:pPr>
      <w:r>
        <w:rPr>
          <w:rFonts w:ascii="黑体" w:hAnsi="黑体" w:eastAsia="黑体"/>
          <w:sz w:val="32"/>
        </w:rPr>
        <w:t>第三部分 专业名词解释</w:t>
      </w:r>
    </w:p>
    <w:p w14:paraId="25C42C0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66012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AE37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347F48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D6D43C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51B4F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C07BE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82118A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C8A9F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8829C7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E8103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80A9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62506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0973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2005AE8">
      <w:r>
        <w:br w:type="page"/>
      </w:r>
    </w:p>
    <w:p w14:paraId="5A696E68">
      <w:pPr>
        <w:spacing w:line="240" w:lineRule="auto"/>
        <w:jc w:val="center"/>
        <w:outlineLvl w:val="1"/>
      </w:pPr>
      <w:r>
        <w:rPr>
          <w:rFonts w:ascii="黑体" w:hAnsi="黑体" w:eastAsia="黑体"/>
          <w:sz w:val="32"/>
        </w:rPr>
        <w:t>第四部分 部门决算报表（见附表）</w:t>
      </w:r>
    </w:p>
    <w:p w14:paraId="30ECD8D1">
      <w:pPr>
        <w:spacing w:line="240" w:lineRule="auto"/>
        <w:ind w:firstLine="640"/>
        <w:jc w:val="both"/>
      </w:pPr>
      <w:r>
        <w:rPr>
          <w:rFonts w:ascii="仿宋_GB2312" w:hAnsi="仿宋_GB2312" w:eastAsia="仿宋_GB2312"/>
          <w:b w:val="0"/>
          <w:sz w:val="32"/>
        </w:rPr>
        <w:t>一、《收入支出决算总表》</w:t>
      </w:r>
    </w:p>
    <w:p w14:paraId="03160B6D">
      <w:pPr>
        <w:spacing w:line="240" w:lineRule="auto"/>
        <w:ind w:firstLine="640"/>
        <w:jc w:val="both"/>
      </w:pPr>
      <w:r>
        <w:rPr>
          <w:rFonts w:ascii="仿宋_GB2312" w:hAnsi="仿宋_GB2312" w:eastAsia="仿宋_GB2312"/>
          <w:b w:val="0"/>
          <w:sz w:val="32"/>
        </w:rPr>
        <w:t>二、《收入决算表》</w:t>
      </w:r>
    </w:p>
    <w:p w14:paraId="00F81812">
      <w:pPr>
        <w:spacing w:line="240" w:lineRule="auto"/>
        <w:ind w:firstLine="640"/>
        <w:jc w:val="both"/>
      </w:pPr>
      <w:r>
        <w:rPr>
          <w:rFonts w:ascii="仿宋_GB2312" w:hAnsi="仿宋_GB2312" w:eastAsia="仿宋_GB2312"/>
          <w:b w:val="0"/>
          <w:sz w:val="32"/>
        </w:rPr>
        <w:t>三、《支出决算表》</w:t>
      </w:r>
    </w:p>
    <w:p w14:paraId="4F9E7073">
      <w:pPr>
        <w:spacing w:line="240" w:lineRule="auto"/>
        <w:ind w:firstLine="640"/>
        <w:jc w:val="both"/>
      </w:pPr>
      <w:r>
        <w:rPr>
          <w:rFonts w:ascii="仿宋_GB2312" w:hAnsi="仿宋_GB2312" w:eastAsia="仿宋_GB2312"/>
          <w:b w:val="0"/>
          <w:sz w:val="32"/>
        </w:rPr>
        <w:t>四、《财政拨款收入支出决算总表》</w:t>
      </w:r>
    </w:p>
    <w:p w14:paraId="1C2E9B35">
      <w:pPr>
        <w:spacing w:line="240" w:lineRule="auto"/>
        <w:ind w:firstLine="640"/>
        <w:jc w:val="both"/>
      </w:pPr>
      <w:r>
        <w:rPr>
          <w:rFonts w:ascii="仿宋_GB2312" w:hAnsi="仿宋_GB2312" w:eastAsia="仿宋_GB2312"/>
          <w:b w:val="0"/>
          <w:sz w:val="32"/>
        </w:rPr>
        <w:t>五、《一般公共预算财政拨款支出决算表》</w:t>
      </w:r>
    </w:p>
    <w:p w14:paraId="066DB6BA">
      <w:pPr>
        <w:spacing w:line="240" w:lineRule="auto"/>
        <w:ind w:firstLine="640"/>
        <w:jc w:val="both"/>
      </w:pPr>
      <w:r>
        <w:rPr>
          <w:rFonts w:ascii="仿宋_GB2312" w:hAnsi="仿宋_GB2312" w:eastAsia="仿宋_GB2312"/>
          <w:b w:val="0"/>
          <w:sz w:val="32"/>
        </w:rPr>
        <w:t>六、《一般公共预算财政拨款基本支出决算表》</w:t>
      </w:r>
    </w:p>
    <w:p w14:paraId="33023689">
      <w:pPr>
        <w:spacing w:line="240" w:lineRule="auto"/>
        <w:ind w:firstLine="640"/>
        <w:jc w:val="both"/>
      </w:pPr>
      <w:r>
        <w:rPr>
          <w:rFonts w:ascii="仿宋_GB2312" w:hAnsi="仿宋_GB2312" w:eastAsia="仿宋_GB2312"/>
          <w:b w:val="0"/>
          <w:sz w:val="32"/>
        </w:rPr>
        <w:t>七、《政府性基金预算财政拨款收入支出决算表》</w:t>
      </w:r>
    </w:p>
    <w:p w14:paraId="39E6BB05">
      <w:pPr>
        <w:spacing w:line="240" w:lineRule="auto"/>
        <w:ind w:firstLine="640"/>
        <w:jc w:val="both"/>
      </w:pPr>
      <w:r>
        <w:rPr>
          <w:rFonts w:ascii="仿宋_GB2312" w:hAnsi="仿宋_GB2312" w:eastAsia="仿宋_GB2312"/>
          <w:b w:val="0"/>
          <w:sz w:val="32"/>
        </w:rPr>
        <w:t>八、《国有资本经营预算财政拨款收入支出决算表》</w:t>
      </w:r>
    </w:p>
    <w:p w14:paraId="4C0D10C8">
      <w:pPr>
        <w:spacing w:line="240" w:lineRule="auto"/>
        <w:ind w:firstLine="640"/>
        <w:jc w:val="both"/>
      </w:pPr>
      <w:r>
        <w:rPr>
          <w:rFonts w:ascii="仿宋_GB2312" w:hAnsi="仿宋_GB2312" w:eastAsia="仿宋_GB2312"/>
          <w:b w:val="0"/>
          <w:sz w:val="32"/>
        </w:rPr>
        <w:t>九、《财政拨款“三公”经费支出决算表》</w:t>
      </w:r>
    </w:p>
    <w:p w14:paraId="6720C138">
      <w:pPr>
        <w:spacing w:line="240" w:lineRule="auto"/>
        <w:ind w:firstLine="640"/>
        <w:jc w:val="both"/>
      </w:pPr>
    </w:p>
    <w:p w14:paraId="49A7651A">
      <w:pPr>
        <w:spacing w:line="240" w:lineRule="auto"/>
        <w:ind w:firstLine="640"/>
        <w:jc w:val="both"/>
      </w:pPr>
    </w:p>
    <w:p w14:paraId="762896A3">
      <w:pPr>
        <w:spacing w:line="240" w:lineRule="auto"/>
        <w:ind w:firstLine="640"/>
        <w:jc w:val="both"/>
      </w:pPr>
    </w:p>
    <w:p w14:paraId="1C5667A1">
      <w:pPr>
        <w:spacing w:line="240" w:lineRule="auto"/>
        <w:ind w:firstLine="640"/>
        <w:jc w:val="both"/>
      </w:pPr>
    </w:p>
    <w:p w14:paraId="6578E1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975730"/>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C70778"/>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6535</Words>
  <Characters>7204</Characters>
  <Lines>0</Lines>
  <Paragraphs>0</Paragraphs>
  <TotalTime>11</TotalTime>
  <ScaleCrop>false</ScaleCrop>
  <LinksUpToDate>false</LinksUpToDate>
  <CharactersWithSpaces>7714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