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05F9DA">
      <w:r>
        <w:br w:type="page"/>
      </w:r>
    </w:p>
    <w:p w14:paraId="64F6CCF7">
      <w:pPr>
        <w:spacing w:line="640" w:lineRule="exact"/>
        <w:jc w:val="center"/>
        <w:outlineLvl w:val="1"/>
      </w:pPr>
      <w:r>
        <w:rPr>
          <w:rFonts w:ascii="黑体" w:hAnsi="黑体" w:eastAsia="黑体"/>
          <w:sz w:val="32"/>
        </w:rPr>
        <w:t>第一部分 单位概况</w:t>
      </w:r>
    </w:p>
    <w:p w14:paraId="519F6E58">
      <w:pPr>
        <w:spacing w:line="640" w:lineRule="exact"/>
        <w:ind w:firstLine="640"/>
        <w:jc w:val="both"/>
        <w:outlineLvl w:val="2"/>
      </w:pPr>
      <w:r>
        <w:rPr>
          <w:rFonts w:ascii="黑体" w:hAnsi="黑体" w:eastAsia="黑体"/>
          <w:sz w:val="32"/>
        </w:rPr>
        <w:t>一、主要职能</w:t>
      </w:r>
    </w:p>
    <w:p w14:paraId="707BF98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贯彻执行国家、自治区退役军人思想政治、管理保障和安置优抚等工作的政策、法规,褒扬彰显退役军人为党、国家和人民牺牲奉献的精神风范和价值导向,发挥退役军人在社会稳定和长治久安总目标中的作用。</w:t>
      </w:r>
    </w:p>
    <w:p w14:paraId="3B79718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军队转业干部、复员干部、离休退休干部、退役士兵和无军籍退休退职职工的移交安置工作和自主择业、就业退役军人服务管理工作。落实退役军人留疆安置优惠优待政策。促进退役军人留在新疆,奉献基层,配合做好招录退役士兵留疆安置工作。</w:t>
      </w:r>
    </w:p>
    <w:p w14:paraId="1713257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组织指导退役军人培训工作,协调扶持退役军人和随军随调家属就业创业。</w:t>
      </w:r>
    </w:p>
    <w:p w14:paraId="289987B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组织落实移交地方的离休退休军人、符合条件的其他退役军人和无军籍退休退职职工的住房保障工作,以及退役军人医疗</w:t>
      </w:r>
      <w:r>
        <w:rPr>
          <w:rFonts w:hint="eastAsia" w:ascii="仿宋_GB2312" w:hAnsi="仿宋_GB2312" w:eastAsia="仿宋_GB2312"/>
          <w:sz w:val="32"/>
          <w:lang w:eastAsia="zh-CN"/>
        </w:rPr>
        <w:t>保障</w:t>
      </w:r>
      <w:r>
        <w:rPr>
          <w:rFonts w:ascii="仿宋_GB2312" w:hAnsi="仿宋_GB2312" w:eastAsia="仿宋_GB2312"/>
          <w:sz w:val="32"/>
        </w:rPr>
        <w:t>、社会保险等待遇保障政策落实工作。</w:t>
      </w:r>
    </w:p>
    <w:p w14:paraId="6C1CAEC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组织指导伤病残退役军人服务管理和抚恤工作,落实有关退役军人医疗、疗养、养老政策</w:t>
      </w:r>
      <w:r>
        <w:rPr>
          <w:rFonts w:hint="eastAsia" w:ascii="仿宋_GB2312" w:hAnsi="仿宋_GB2312" w:eastAsia="仿宋_GB2312"/>
          <w:sz w:val="32"/>
          <w:lang w:eastAsia="zh-CN"/>
        </w:rPr>
        <w:t>；</w:t>
      </w:r>
      <w:r>
        <w:rPr>
          <w:rFonts w:ascii="仿宋_GB2312" w:hAnsi="仿宋_GB2312" w:eastAsia="仿宋_GB2312"/>
          <w:sz w:val="32"/>
        </w:rPr>
        <w:t>承担</w:t>
      </w:r>
      <w:r>
        <w:rPr>
          <w:rFonts w:hint="eastAsia" w:ascii="仿宋_GB2312" w:hAnsi="仿宋_GB2312" w:eastAsia="仿宋_GB2312"/>
          <w:sz w:val="32"/>
          <w:lang w:eastAsia="zh-CN"/>
        </w:rPr>
        <w:t>不</w:t>
      </w:r>
      <w:r>
        <w:rPr>
          <w:rFonts w:ascii="仿宋_GB2312" w:hAnsi="仿宋_GB2312" w:eastAsia="仿宋_GB2312"/>
          <w:sz w:val="32"/>
        </w:rPr>
        <w:t>继续服役的</w:t>
      </w:r>
      <w:r>
        <w:rPr>
          <w:rFonts w:hint="eastAsia" w:ascii="仿宋_GB2312" w:hAnsi="仿宋_GB2312" w:eastAsia="仿宋_GB2312"/>
          <w:sz w:val="32"/>
          <w:lang w:eastAsia="zh-CN"/>
        </w:rPr>
        <w:t>伤残</w:t>
      </w:r>
      <w:r>
        <w:rPr>
          <w:rFonts w:ascii="仿宋_GB2312" w:hAnsi="仿宋_GB2312" w:eastAsia="仿宋_GB2312"/>
          <w:sz w:val="32"/>
        </w:rPr>
        <w:t>军人相关服务保障工作</w:t>
      </w:r>
      <w:r>
        <w:rPr>
          <w:rFonts w:hint="eastAsia" w:ascii="仿宋_GB2312" w:hAnsi="仿宋_GB2312" w:eastAsia="仿宋_GB2312"/>
          <w:sz w:val="32"/>
          <w:lang w:eastAsia="zh-CN"/>
        </w:rPr>
        <w:t>；</w:t>
      </w:r>
      <w:r>
        <w:rPr>
          <w:rFonts w:ascii="仿宋_GB2312" w:hAnsi="仿宋_GB2312" w:eastAsia="仿宋_GB2312"/>
          <w:sz w:val="32"/>
        </w:rPr>
        <w:t>指导实施军供服务保障工作。会同有关部门执行落实国家、自治区退役军人特殊保障政策。</w:t>
      </w:r>
    </w:p>
    <w:p w14:paraId="006F3E9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组织指导霍城县拥军优属工作,负责现役军人、退役军人、军队文职人员和军属优待、抚恤等工作,落实各类参战老兵和有关人员优待政策并组织实施。</w:t>
      </w:r>
    </w:p>
    <w:p w14:paraId="5B51C7B5">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负责烈士及退役军人荣誉奖励、烈士陵园管理维</w:t>
      </w:r>
      <w:r>
        <w:rPr>
          <w:rFonts w:hint="eastAsia" w:ascii="仿宋_GB2312" w:hAnsi="仿宋_GB2312" w:eastAsia="仿宋_GB2312"/>
          <w:sz w:val="32"/>
          <w:lang w:eastAsia="zh-CN"/>
        </w:rPr>
        <w:t>护和</w:t>
      </w:r>
      <w:r>
        <w:rPr>
          <w:rFonts w:ascii="仿宋_GB2312" w:hAnsi="仿宋_GB2312" w:eastAsia="仿宋_GB2312"/>
          <w:sz w:val="32"/>
        </w:rPr>
        <w:t>纪念活动等工作</w:t>
      </w:r>
      <w:r>
        <w:rPr>
          <w:rFonts w:hint="eastAsia" w:ascii="仿宋_GB2312" w:hAnsi="仿宋_GB2312" w:eastAsia="仿宋_GB2312"/>
          <w:sz w:val="32"/>
          <w:lang w:eastAsia="zh-CN"/>
        </w:rPr>
        <w:t>；</w:t>
      </w:r>
      <w:r>
        <w:rPr>
          <w:rFonts w:ascii="仿宋_GB2312" w:hAnsi="仿宋_GB2312" w:eastAsia="仿宋_GB2312"/>
          <w:sz w:val="32"/>
        </w:rPr>
        <w:t>依法承担英雄烈士保护相关工作</w:t>
      </w:r>
      <w:r>
        <w:rPr>
          <w:rFonts w:hint="eastAsia" w:ascii="仿宋_GB2312" w:hAnsi="仿宋_GB2312" w:eastAsia="仿宋_GB2312"/>
          <w:sz w:val="32"/>
          <w:lang w:eastAsia="zh-CN"/>
        </w:rPr>
        <w:t>；</w:t>
      </w:r>
      <w:r>
        <w:rPr>
          <w:rFonts w:ascii="仿宋_GB2312" w:hAnsi="仿宋_GB2312" w:eastAsia="仿宋_GB2312"/>
          <w:sz w:val="32"/>
        </w:rPr>
        <w:t>总结表彰和宣扬退役军人、退役军人工作单位和个人先进典型事迹。</w:t>
      </w:r>
    </w:p>
    <w:p w14:paraId="262CF35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指导并监督检查退役军人相关法律法规和政策措施的落实</w:t>
      </w:r>
      <w:r>
        <w:rPr>
          <w:rFonts w:hint="eastAsia" w:ascii="仿宋_GB2312" w:hAnsi="仿宋_GB2312" w:eastAsia="仿宋_GB2312"/>
          <w:sz w:val="32"/>
          <w:lang w:eastAsia="zh-CN"/>
        </w:rPr>
        <w:t>；</w:t>
      </w:r>
      <w:r>
        <w:rPr>
          <w:rFonts w:ascii="仿宋_GB2312" w:hAnsi="仿宋_GB2312" w:eastAsia="仿宋_GB2312"/>
          <w:sz w:val="32"/>
        </w:rPr>
        <w:t>负责优抚对象和生活困难的部分退役军人生活、医疗等救济工作</w:t>
      </w:r>
      <w:r>
        <w:rPr>
          <w:rFonts w:hint="eastAsia" w:ascii="仿宋_GB2312" w:hAnsi="仿宋_GB2312" w:eastAsia="仿宋_GB2312"/>
          <w:sz w:val="32"/>
          <w:lang w:eastAsia="zh-CN"/>
        </w:rPr>
        <w:t>；</w:t>
      </w:r>
      <w:r>
        <w:rPr>
          <w:rFonts w:ascii="仿宋_GB2312" w:hAnsi="仿宋_GB2312" w:eastAsia="仿宋_GB2312"/>
          <w:sz w:val="32"/>
        </w:rPr>
        <w:t>组织指导退役军人权益维护和落实有关人员的帮扶援助工作。</w:t>
      </w:r>
    </w:p>
    <w:p w14:paraId="65F6FFEC">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负责符合条件退役军人纳入优抚对象保障范围。</w:t>
      </w:r>
    </w:p>
    <w:p w14:paraId="406923E3">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承办县委、县人民政府交办的其他任务。</w:t>
      </w:r>
    </w:p>
    <w:p w14:paraId="0E76FCB4">
      <w:pPr>
        <w:spacing w:line="640" w:lineRule="exact"/>
        <w:ind w:firstLine="640"/>
        <w:jc w:val="both"/>
        <w:outlineLvl w:val="2"/>
      </w:pPr>
      <w:r>
        <w:rPr>
          <w:rFonts w:ascii="黑体" w:hAnsi="黑体" w:eastAsia="黑体"/>
          <w:sz w:val="32"/>
        </w:rPr>
        <w:t>二、机构设置及人员情况</w:t>
      </w:r>
    </w:p>
    <w:p w14:paraId="3F3BAFDB">
      <w:pPr>
        <w:spacing w:line="580" w:lineRule="exact"/>
        <w:ind w:firstLine="640"/>
        <w:jc w:val="both"/>
      </w:pPr>
      <w:r>
        <w:rPr>
          <w:rFonts w:ascii="仿宋_GB2312" w:hAnsi="仿宋_GB2312" w:eastAsia="仿宋_GB2312"/>
          <w:sz w:val="32"/>
        </w:rPr>
        <w:t>霍城县退役军人事务局2024年度，实有人数13人，其中：在职人员11人，增加0人；离休人员0人，增加0人；退休人员2人,增加0人。</w:t>
      </w:r>
    </w:p>
    <w:p w14:paraId="1577438D">
      <w:pPr>
        <w:spacing w:line="580" w:lineRule="exact"/>
        <w:ind w:firstLine="640"/>
        <w:jc w:val="both"/>
      </w:pPr>
      <w:r>
        <w:rPr>
          <w:rFonts w:ascii="仿宋_GB2312" w:hAnsi="仿宋_GB2312" w:eastAsia="仿宋_GB2312"/>
          <w:sz w:val="32"/>
        </w:rPr>
        <w:t>霍城县退役军人事务局无下属预算单位，下设2个科室，分别是：退役军人服务中心、惠远烈士陵园服务站。</w:t>
      </w:r>
    </w:p>
    <w:p w14:paraId="143EEB01">
      <w:r>
        <w:br w:type="page"/>
      </w:r>
    </w:p>
    <w:p w14:paraId="60922565">
      <w:pPr>
        <w:spacing w:line="240" w:lineRule="auto"/>
        <w:jc w:val="center"/>
        <w:outlineLvl w:val="1"/>
      </w:pPr>
      <w:r>
        <w:rPr>
          <w:rFonts w:ascii="黑体" w:hAnsi="黑体" w:eastAsia="黑体"/>
          <w:sz w:val="32"/>
        </w:rPr>
        <w:t>第二部分 部门决算情况说明</w:t>
      </w:r>
    </w:p>
    <w:p w14:paraId="472AE30E">
      <w:pPr>
        <w:spacing w:line="640" w:lineRule="exact"/>
        <w:ind w:firstLine="640"/>
        <w:jc w:val="both"/>
        <w:outlineLvl w:val="2"/>
      </w:pPr>
      <w:r>
        <w:rPr>
          <w:rFonts w:ascii="黑体" w:hAnsi="黑体" w:eastAsia="黑体"/>
          <w:sz w:val="32"/>
        </w:rPr>
        <w:t>一、收入支出决算总体情况说明</w:t>
      </w:r>
    </w:p>
    <w:p w14:paraId="5A48A818">
      <w:pPr>
        <w:spacing w:line="580" w:lineRule="exact"/>
        <w:ind w:firstLine="640"/>
        <w:jc w:val="both"/>
      </w:pPr>
      <w:r>
        <w:rPr>
          <w:rFonts w:ascii="仿宋_GB2312" w:hAnsi="仿宋_GB2312" w:eastAsia="仿宋_GB2312"/>
          <w:b/>
          <w:sz w:val="32"/>
        </w:rPr>
        <w:t>2024年度收入总计2,169.82万元，</w:t>
      </w:r>
      <w:r>
        <w:rPr>
          <w:rFonts w:ascii="仿宋_GB2312" w:hAnsi="仿宋_GB2312" w:eastAsia="仿宋_GB2312"/>
          <w:b w:val="0"/>
          <w:sz w:val="32"/>
        </w:rPr>
        <w:t>其中：本年收入合计2,169.82万元，使用非财政拨款结余（含专用结余）0.00万元，年初结转和结余0.00万元。</w:t>
      </w:r>
    </w:p>
    <w:p w14:paraId="24409048">
      <w:pPr>
        <w:spacing w:line="580" w:lineRule="exact"/>
        <w:ind w:firstLine="640"/>
        <w:jc w:val="both"/>
      </w:pPr>
      <w:r>
        <w:rPr>
          <w:rFonts w:ascii="仿宋_GB2312" w:hAnsi="仿宋_GB2312" w:eastAsia="仿宋_GB2312"/>
          <w:b/>
          <w:sz w:val="32"/>
        </w:rPr>
        <w:t>2024年度支出总计2,169.82万元，</w:t>
      </w:r>
      <w:r>
        <w:rPr>
          <w:rFonts w:ascii="仿宋_GB2312" w:hAnsi="仿宋_GB2312" w:eastAsia="仿宋_GB2312"/>
          <w:b w:val="0"/>
          <w:sz w:val="32"/>
        </w:rPr>
        <w:t>其中：本年支出合计2,169.82万元，结余分配0.00万元，年末结转和结余0.00万元。</w:t>
      </w:r>
    </w:p>
    <w:p w14:paraId="1DBD3ADA">
      <w:pPr>
        <w:spacing w:line="580" w:lineRule="exact"/>
        <w:ind w:firstLine="640"/>
        <w:jc w:val="both"/>
      </w:pPr>
      <w:r>
        <w:rPr>
          <w:rFonts w:ascii="仿宋_GB2312" w:hAnsi="仿宋_GB2312" w:eastAsia="仿宋_GB2312"/>
          <w:b w:val="0"/>
          <w:sz w:val="32"/>
        </w:rPr>
        <w:t>收入支出总体与上年相比，增加416.76万元，增长23.77%，主要原因是：1.本年在职人员工资调增，社保、公积金基数调增，人员经费增加；2、优抚对象标准提高，人员生活补助增加；3、60岁农村籍退役士兵、退役伤残军人有新增人员，人员补助经费增加；4、退役安置人员增多，领取一次性经济补助金人员增加。</w:t>
      </w:r>
    </w:p>
    <w:p w14:paraId="5ACD93A4">
      <w:pPr>
        <w:spacing w:line="640" w:lineRule="exact"/>
        <w:ind w:firstLine="640"/>
        <w:jc w:val="both"/>
        <w:outlineLvl w:val="2"/>
      </w:pPr>
      <w:r>
        <w:rPr>
          <w:rFonts w:ascii="黑体" w:hAnsi="黑体" w:eastAsia="黑体"/>
          <w:sz w:val="32"/>
        </w:rPr>
        <w:t>二、收入决算情况说明</w:t>
      </w:r>
    </w:p>
    <w:p w14:paraId="5FC80956">
      <w:pPr>
        <w:spacing w:line="580" w:lineRule="exact"/>
        <w:ind w:firstLine="640"/>
        <w:jc w:val="both"/>
      </w:pPr>
      <w:r>
        <w:rPr>
          <w:rFonts w:ascii="仿宋_GB2312" w:hAnsi="仿宋_GB2312" w:eastAsia="仿宋_GB2312"/>
          <w:b/>
          <w:sz w:val="32"/>
        </w:rPr>
        <w:t>本年收入2,169.82万元，</w:t>
      </w:r>
      <w:r>
        <w:rPr>
          <w:rFonts w:ascii="仿宋_GB2312" w:hAnsi="仿宋_GB2312" w:eastAsia="仿宋_GB2312"/>
          <w:b w:val="0"/>
          <w:sz w:val="32"/>
        </w:rPr>
        <w:t>其中：财政拨款收入2,169.82万元，占100.00%；上级补助收入0.00万元，占0.00%；事业收入0.00万元，占0.00%；经营收入0.00万元，占0.00%；附属单位上缴收入0.00万元，占0.00%；其他收入0.00万元，占0.00%。</w:t>
      </w:r>
    </w:p>
    <w:p w14:paraId="3BFCAE48">
      <w:pPr>
        <w:spacing w:line="640" w:lineRule="exact"/>
        <w:ind w:firstLine="640"/>
        <w:jc w:val="both"/>
        <w:outlineLvl w:val="2"/>
      </w:pPr>
      <w:r>
        <w:rPr>
          <w:rFonts w:ascii="黑体" w:hAnsi="黑体" w:eastAsia="黑体"/>
          <w:sz w:val="32"/>
        </w:rPr>
        <w:t>三、支出决算情况说明</w:t>
      </w:r>
    </w:p>
    <w:p w14:paraId="49DF5E8E">
      <w:pPr>
        <w:spacing w:line="580" w:lineRule="exact"/>
        <w:ind w:firstLine="640"/>
        <w:jc w:val="both"/>
      </w:pPr>
      <w:r>
        <w:rPr>
          <w:rFonts w:ascii="仿宋_GB2312" w:hAnsi="仿宋_GB2312" w:eastAsia="仿宋_GB2312"/>
          <w:b/>
          <w:sz w:val="32"/>
        </w:rPr>
        <w:t>本年支出2,169.82万元，</w:t>
      </w:r>
      <w:r>
        <w:rPr>
          <w:rFonts w:ascii="仿宋_GB2312" w:hAnsi="仿宋_GB2312" w:eastAsia="仿宋_GB2312"/>
          <w:b w:val="0"/>
          <w:sz w:val="32"/>
        </w:rPr>
        <w:t>其中：基本支出184.05万元，占8.48%；项目支出1,985.76万元，占91.52%；上缴上级支出0.00万元，占0.00%；经营支出0.00万元，占0.00%；对附属单位补助支出0.00万元，占0.00%。</w:t>
      </w:r>
    </w:p>
    <w:p w14:paraId="0775F55D">
      <w:pPr>
        <w:spacing w:line="640" w:lineRule="exact"/>
        <w:ind w:firstLine="640"/>
        <w:jc w:val="both"/>
        <w:outlineLvl w:val="2"/>
      </w:pPr>
      <w:r>
        <w:rPr>
          <w:rFonts w:ascii="黑体" w:hAnsi="黑体" w:eastAsia="黑体"/>
          <w:sz w:val="32"/>
        </w:rPr>
        <w:t>四、财政拨款收入支出决算总体情况说明</w:t>
      </w:r>
    </w:p>
    <w:p w14:paraId="6E7A51A5">
      <w:pPr>
        <w:spacing w:line="580" w:lineRule="exact"/>
        <w:ind w:firstLine="640"/>
        <w:jc w:val="both"/>
      </w:pPr>
      <w:r>
        <w:rPr>
          <w:rFonts w:ascii="仿宋_GB2312" w:hAnsi="仿宋_GB2312" w:eastAsia="仿宋_GB2312"/>
          <w:b/>
          <w:sz w:val="32"/>
        </w:rPr>
        <w:t>2024年度财政拨款收入总计2,169.82万元，</w:t>
      </w:r>
      <w:r>
        <w:rPr>
          <w:rFonts w:ascii="仿宋_GB2312" w:hAnsi="仿宋_GB2312" w:eastAsia="仿宋_GB2312"/>
          <w:b w:val="0"/>
          <w:sz w:val="32"/>
        </w:rPr>
        <w:t>其中：年初财政拨款结转和结余0.00万元，本年财政拨款收入2,169.82万元。</w:t>
      </w:r>
      <w:r>
        <w:rPr>
          <w:rFonts w:ascii="仿宋_GB2312" w:hAnsi="仿宋_GB2312" w:eastAsia="仿宋_GB2312"/>
          <w:b/>
          <w:sz w:val="32"/>
        </w:rPr>
        <w:t>财政拨款支出总计2,169.82万元，</w:t>
      </w:r>
      <w:r>
        <w:rPr>
          <w:rFonts w:ascii="仿宋_GB2312" w:hAnsi="仿宋_GB2312" w:eastAsia="仿宋_GB2312"/>
          <w:b w:val="0"/>
          <w:sz w:val="32"/>
        </w:rPr>
        <w:t>其中：年末财政拨款结转和结余0.00万元，本年财政拨款支出2,169.82万元。</w:t>
      </w:r>
    </w:p>
    <w:p w14:paraId="321464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443.34万元，增长25.68%，主要原因是：1.本年在职人员工资调增，社保、公积金基数调增，人员经费增加；2、优抚对象标准提高，人员生活补助增加；3、60岁农村籍退役士兵、退役伤残军人有新增人员，人员补助经费增加；4、退役安置人员增多，领取一次性经济补助金人员增加。</w:t>
      </w:r>
      <w:r>
        <w:rPr>
          <w:rFonts w:ascii="仿宋_GB2312" w:hAnsi="仿宋_GB2312" w:eastAsia="仿宋_GB2312"/>
          <w:b/>
          <w:sz w:val="32"/>
        </w:rPr>
        <w:t>与年初预算相比，</w:t>
      </w:r>
      <w:r>
        <w:rPr>
          <w:rFonts w:ascii="仿宋_GB2312" w:hAnsi="仿宋_GB2312" w:eastAsia="仿宋_GB2312"/>
          <w:b w:val="0"/>
          <w:sz w:val="32"/>
        </w:rPr>
        <w:t>年初预算数1,725.15万元，决算数2,169.82万元，预决算差异率25.78%，主要原因是：</w:t>
      </w:r>
      <w:r>
        <w:rPr>
          <w:rFonts w:hint="eastAsia" w:ascii="仿宋_GB2312" w:hAnsi="仿宋_GB2312" w:eastAsia="仿宋_GB2312"/>
          <w:b w:val="0"/>
          <w:sz w:val="32"/>
        </w:rPr>
        <w:t>年中追加人员工资、社保、公积金基数调增部分资金，</w:t>
      </w:r>
      <w:r>
        <w:rPr>
          <w:rFonts w:ascii="仿宋_GB2312" w:hAnsi="仿宋_GB2312" w:eastAsia="仿宋_GB2312"/>
          <w:b w:val="0"/>
          <w:sz w:val="32"/>
        </w:rPr>
        <w:t>年中追加烈士陵园维护项目</w:t>
      </w:r>
      <w:r>
        <w:rPr>
          <w:rFonts w:hint="eastAsia" w:ascii="仿宋_GB2312" w:hAnsi="仿宋_GB2312" w:eastAsia="仿宋_GB2312"/>
          <w:b w:val="0"/>
          <w:sz w:val="32"/>
          <w:lang w:eastAsia="zh-CN"/>
        </w:rPr>
        <w:t>、</w:t>
      </w:r>
      <w:r>
        <w:rPr>
          <w:rFonts w:ascii="仿宋_GB2312" w:hAnsi="仿宋_GB2312" w:eastAsia="仿宋_GB2312"/>
          <w:b w:val="0"/>
          <w:sz w:val="32"/>
        </w:rPr>
        <w:t>一次性经济补助金，导致预决算存在差异。</w:t>
      </w:r>
    </w:p>
    <w:p w14:paraId="17C3F3C6">
      <w:pPr>
        <w:spacing w:line="640" w:lineRule="exact"/>
        <w:ind w:firstLine="640"/>
        <w:jc w:val="both"/>
        <w:outlineLvl w:val="2"/>
      </w:pPr>
      <w:r>
        <w:rPr>
          <w:rFonts w:ascii="黑体" w:hAnsi="黑体" w:eastAsia="黑体"/>
          <w:sz w:val="32"/>
        </w:rPr>
        <w:t>五、一般公共预算财政拨款支出决算情况说明</w:t>
      </w:r>
    </w:p>
    <w:p w14:paraId="6AFEAA55">
      <w:pPr>
        <w:spacing w:line="640" w:lineRule="exact"/>
        <w:ind w:firstLine="640"/>
        <w:jc w:val="both"/>
        <w:outlineLvl w:val="3"/>
      </w:pPr>
      <w:r>
        <w:rPr>
          <w:rFonts w:ascii="楷体_GB2312" w:hAnsi="楷体_GB2312" w:eastAsia="楷体_GB2312"/>
          <w:b/>
          <w:sz w:val="32"/>
        </w:rPr>
        <w:t>（一）一般公共预算财政拨款支出决算总体情况</w:t>
      </w:r>
    </w:p>
    <w:p w14:paraId="44AE778F">
      <w:pPr>
        <w:spacing w:line="580" w:lineRule="exact"/>
        <w:ind w:firstLine="640"/>
        <w:jc w:val="both"/>
      </w:pPr>
      <w:r>
        <w:rPr>
          <w:rFonts w:ascii="仿宋_GB2312" w:hAnsi="仿宋_GB2312" w:eastAsia="仿宋_GB2312"/>
          <w:b/>
          <w:sz w:val="32"/>
        </w:rPr>
        <w:t>2024年度一般公共预算财政拨款支出2,168.86万元，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442.38万元，增长25.62%，主要原因是：1.本年在职人员工资调增，社保、公积金基数调增，人员经费增加；2、优抚对象标准提高，人员生活补助增加；3、60岁农村籍退役士兵、退役伤残军人有新增人员，人员补助经费增加；4、退役安置人员增多，领取一次性经济补助金人员增加。</w:t>
      </w:r>
      <w:r>
        <w:rPr>
          <w:rFonts w:ascii="仿宋_GB2312" w:hAnsi="仿宋_GB2312" w:eastAsia="仿宋_GB2312"/>
          <w:b/>
          <w:sz w:val="32"/>
        </w:rPr>
        <w:t>与年初预算相比,</w:t>
      </w:r>
      <w:r>
        <w:rPr>
          <w:rFonts w:ascii="仿宋_GB2312" w:hAnsi="仿宋_GB2312" w:eastAsia="仿宋_GB2312"/>
          <w:b w:val="0"/>
          <w:sz w:val="32"/>
        </w:rPr>
        <w:t>年初预算数1,725.15万元，决算数2,168.86万元，预决算差异率25.72%，主要原因是：</w:t>
      </w:r>
      <w:r>
        <w:rPr>
          <w:rFonts w:hint="eastAsia" w:ascii="仿宋_GB2312" w:hAnsi="仿宋_GB2312" w:eastAsia="仿宋_GB2312"/>
          <w:b w:val="0"/>
          <w:sz w:val="32"/>
        </w:rPr>
        <w:t>年中追加人员工资、社保、公积金基数调增部分资金，</w:t>
      </w:r>
      <w:r>
        <w:rPr>
          <w:rFonts w:ascii="仿宋_GB2312" w:hAnsi="仿宋_GB2312" w:eastAsia="仿宋_GB2312"/>
          <w:b w:val="0"/>
          <w:sz w:val="32"/>
        </w:rPr>
        <w:t>年中追加烈士陵园维护项目</w:t>
      </w:r>
      <w:r>
        <w:rPr>
          <w:rFonts w:hint="eastAsia" w:ascii="仿宋_GB2312" w:hAnsi="仿宋_GB2312" w:eastAsia="仿宋_GB2312"/>
          <w:b w:val="0"/>
          <w:sz w:val="32"/>
          <w:lang w:eastAsia="zh-CN"/>
        </w:rPr>
        <w:t>、</w:t>
      </w:r>
      <w:r>
        <w:rPr>
          <w:rFonts w:ascii="仿宋_GB2312" w:hAnsi="仿宋_GB2312" w:eastAsia="仿宋_GB2312"/>
          <w:b w:val="0"/>
          <w:sz w:val="32"/>
        </w:rPr>
        <w:t>一次性经济补助金，导致预决算存在差异。</w:t>
      </w:r>
    </w:p>
    <w:p w14:paraId="1C9E2CCD">
      <w:pPr>
        <w:spacing w:line="640" w:lineRule="exact"/>
        <w:ind w:firstLine="640"/>
        <w:jc w:val="both"/>
        <w:outlineLvl w:val="3"/>
      </w:pPr>
      <w:r>
        <w:rPr>
          <w:rFonts w:ascii="楷体_GB2312" w:hAnsi="楷体_GB2312" w:eastAsia="楷体_GB2312"/>
          <w:b/>
          <w:sz w:val="32"/>
        </w:rPr>
        <w:t>（二）一般公共预算财政拨款支出决算结构情况</w:t>
      </w:r>
    </w:p>
    <w:p w14:paraId="09B7EC70">
      <w:pPr>
        <w:spacing w:line="580" w:lineRule="exact"/>
        <w:ind w:firstLine="640"/>
        <w:jc w:val="both"/>
      </w:pPr>
      <w:r>
        <w:rPr>
          <w:rFonts w:ascii="仿宋_GB2312" w:hAnsi="仿宋_GB2312" w:eastAsia="仿宋_GB2312"/>
          <w:b w:val="0"/>
          <w:sz w:val="32"/>
        </w:rPr>
        <w:t>1.社会保障和就业支出(类)2,131.44万元,占98.27%。</w:t>
      </w:r>
    </w:p>
    <w:p w14:paraId="14F6797D">
      <w:pPr>
        <w:spacing w:line="580" w:lineRule="exact"/>
        <w:ind w:firstLine="640"/>
        <w:jc w:val="both"/>
      </w:pPr>
      <w:r>
        <w:rPr>
          <w:rFonts w:ascii="仿宋_GB2312" w:hAnsi="仿宋_GB2312" w:eastAsia="仿宋_GB2312"/>
          <w:b w:val="0"/>
          <w:sz w:val="32"/>
        </w:rPr>
        <w:t>2.卫生健康支出(类)21.93万元,占1.01%。</w:t>
      </w:r>
    </w:p>
    <w:p w14:paraId="0A4EDD59">
      <w:pPr>
        <w:spacing w:line="580" w:lineRule="exact"/>
        <w:ind w:firstLine="640"/>
        <w:jc w:val="both"/>
      </w:pPr>
      <w:r>
        <w:rPr>
          <w:rFonts w:ascii="仿宋_GB2312" w:hAnsi="仿宋_GB2312" w:eastAsia="仿宋_GB2312"/>
          <w:b w:val="0"/>
          <w:sz w:val="32"/>
        </w:rPr>
        <w:t>3.住房保障支出(类)15.49万元,占0.71%。</w:t>
      </w:r>
    </w:p>
    <w:p w14:paraId="3F84EC6C">
      <w:pPr>
        <w:spacing w:line="640" w:lineRule="exact"/>
        <w:ind w:firstLine="640"/>
        <w:jc w:val="both"/>
        <w:outlineLvl w:val="3"/>
      </w:pPr>
      <w:r>
        <w:rPr>
          <w:rFonts w:ascii="楷体_GB2312" w:hAnsi="楷体_GB2312" w:eastAsia="楷体_GB2312"/>
          <w:b/>
          <w:sz w:val="32"/>
        </w:rPr>
        <w:t>（三）一般公共预算财政拨款支出决算具体情况</w:t>
      </w:r>
    </w:p>
    <w:p w14:paraId="2F430C34">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1.社会保障和就业支出(类)行政事业单位养老支出(款)行政单位离退休(项):支出决算数为1.16万元，比上年决算增加0.84万元，增长262.50%,主要原因是：本年增加退休人员基础绩效奖，退休费支出增加。</w:t>
      </w:r>
    </w:p>
    <w:p w14:paraId="1EF35C0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19.69万元，比上年决算增加4.04万元，增长25.81%,主要原因是：本年在职人员工资基数调增，养老缴费基数上涨，相应支出增加。</w:t>
      </w:r>
    </w:p>
    <w:p w14:paraId="3DC6F5C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7.20万元，下降100.00%,主要原因是：本年无新增退休人员，职业年金缴费较上年减少。</w:t>
      </w:r>
    </w:p>
    <w:p w14:paraId="637C7D78">
      <w:pPr>
        <w:spacing w:line="580" w:lineRule="exact"/>
        <w:ind w:firstLine="640"/>
        <w:jc w:val="both"/>
      </w:pPr>
      <w:r>
        <w:rPr>
          <w:rFonts w:ascii="仿宋_GB2312" w:hAnsi="仿宋_GB2312" w:eastAsia="仿宋_GB2312"/>
          <w:b w:val="0"/>
          <w:sz w:val="32"/>
        </w:rPr>
        <w:t>4.社会保障和就业支出(类)抚恤(款)死亡抚恤(项):支出决算数为11.82万元，比上年决算增加11.82万元，增长100.00%,主要原因是：本年新增死亡人员，死亡抚恤支出增加。</w:t>
      </w:r>
    </w:p>
    <w:p w14:paraId="43FFBF91">
      <w:pPr>
        <w:spacing w:line="580" w:lineRule="exact"/>
        <w:ind w:firstLine="640"/>
        <w:jc w:val="both"/>
      </w:pPr>
      <w:r>
        <w:rPr>
          <w:rFonts w:ascii="仿宋_GB2312" w:hAnsi="仿宋_GB2312" w:eastAsia="仿宋_GB2312"/>
          <w:b w:val="0"/>
          <w:sz w:val="32"/>
        </w:rPr>
        <w:t>5.社会保障和就业支出(类)抚恤(款)伤残抚恤(项):支出决算数为123.05万元，比上年决算增加123.05万元，增长100.00%,主要原因是：本年功能科目调整，伤残抚恤上年度在主科目列支，本年单独列支，导致经费较上年增加。</w:t>
      </w:r>
    </w:p>
    <w:p w14:paraId="5505C7F8">
      <w:pPr>
        <w:spacing w:line="580" w:lineRule="exact"/>
        <w:ind w:firstLine="640"/>
        <w:jc w:val="both"/>
      </w:pPr>
      <w:r>
        <w:rPr>
          <w:rFonts w:ascii="仿宋_GB2312" w:hAnsi="仿宋_GB2312" w:eastAsia="仿宋_GB2312"/>
          <w:b w:val="0"/>
          <w:sz w:val="32"/>
        </w:rPr>
        <w:t>6.社会保障和就业支出(类)抚恤(款)在乡复员、退伍军人生活补助(项):支出决算数为169.04万元，比上年决算增加169.04万元，增长100.00%,主要原因是：本年功能科目调整，在乡复员、退伍军人生活补助上年度在主科目列支，本年单独科目列支，导致经费较上年增加。</w:t>
      </w:r>
    </w:p>
    <w:p w14:paraId="25A1F230">
      <w:pPr>
        <w:spacing w:line="580" w:lineRule="exact"/>
        <w:ind w:firstLine="640"/>
        <w:jc w:val="both"/>
      </w:pPr>
      <w:r>
        <w:rPr>
          <w:rFonts w:ascii="仿宋_GB2312" w:hAnsi="仿宋_GB2312" w:eastAsia="仿宋_GB2312"/>
          <w:b w:val="0"/>
          <w:sz w:val="32"/>
        </w:rPr>
        <w:t>7.社会保障和就业支出(类)抚恤(款)义务兵优待(项):支出决算数为122.08万元，比上年决算减少113.54万元，下降48.19%,主要原因是：2024年新兵入伍人员减少，义务兵优待金补助经费减少。</w:t>
      </w:r>
    </w:p>
    <w:p w14:paraId="1134E4B2">
      <w:pPr>
        <w:spacing w:line="580" w:lineRule="exact"/>
        <w:ind w:firstLine="640"/>
        <w:jc w:val="both"/>
      </w:pPr>
      <w:r>
        <w:rPr>
          <w:rFonts w:ascii="仿宋_GB2312" w:hAnsi="仿宋_GB2312" w:eastAsia="仿宋_GB2312"/>
          <w:b w:val="0"/>
          <w:sz w:val="32"/>
        </w:rPr>
        <w:t>8.社会保障和就业支出(类)抚恤(款)农村籍退役士兵老年生活补助(项):支出决算数为363.87万元，比上年决算增加363.87万元，增长100.00%,主要原因是：本年功能科目调整，农村籍退役士兵老年生活补助上年度在主科目列支，本年单独科目列支，导致经费较上年增加。</w:t>
      </w:r>
    </w:p>
    <w:p w14:paraId="25761A32">
      <w:pPr>
        <w:spacing w:line="580" w:lineRule="exact"/>
        <w:ind w:firstLine="640"/>
        <w:jc w:val="both"/>
      </w:pPr>
      <w:r>
        <w:rPr>
          <w:rFonts w:ascii="仿宋_GB2312" w:hAnsi="仿宋_GB2312" w:eastAsia="仿宋_GB2312"/>
          <w:b w:val="0"/>
          <w:sz w:val="32"/>
        </w:rPr>
        <w:t>9.社会保障和就业支出(类)抚恤(款)褒扬纪念(项):支出决算数为520.11万元，比上年决算增加520.11万元，增长100.00%,主要原因是：本年功能科目调整，褒扬纪念项目资金上年度在主科目列支，本年单独科目列支，导致经费较上年增加。</w:t>
      </w:r>
    </w:p>
    <w:p w14:paraId="48F89020">
      <w:pPr>
        <w:spacing w:line="580" w:lineRule="exact"/>
        <w:ind w:firstLine="640"/>
        <w:jc w:val="both"/>
      </w:pPr>
      <w:r>
        <w:rPr>
          <w:rFonts w:ascii="仿宋_GB2312" w:hAnsi="仿宋_GB2312" w:eastAsia="仿宋_GB2312"/>
          <w:b w:val="0"/>
          <w:sz w:val="32"/>
        </w:rPr>
        <w:t>10.社会保障和就业支出(类)抚恤(款)其他优抚支出(项):支出决算数为205.79万元，比上年决算减少676.61万元，下降76.68%,主要原因是：本年度减少优抚对象经费。</w:t>
      </w:r>
    </w:p>
    <w:p w14:paraId="173A2845">
      <w:pPr>
        <w:spacing w:line="580" w:lineRule="exact"/>
        <w:ind w:firstLine="640"/>
        <w:jc w:val="both"/>
      </w:pPr>
      <w:r>
        <w:rPr>
          <w:rFonts w:ascii="仿宋_GB2312" w:hAnsi="仿宋_GB2312" w:eastAsia="仿宋_GB2312"/>
          <w:b w:val="0"/>
          <w:sz w:val="32"/>
        </w:rPr>
        <w:t>11.社会保障和就业支出(类)退役安置(款)退役士兵安置(项):支出决算数为137.80万元，比上年决算减少85.40万元，下降38.26%,主要原因是：本年度减少退役士兵安置经费。</w:t>
      </w:r>
    </w:p>
    <w:p w14:paraId="38C64618">
      <w:pPr>
        <w:spacing w:line="580" w:lineRule="exact"/>
        <w:ind w:firstLine="640"/>
        <w:jc w:val="both"/>
      </w:pPr>
      <w:r>
        <w:rPr>
          <w:rFonts w:ascii="仿宋_GB2312" w:hAnsi="仿宋_GB2312" w:eastAsia="仿宋_GB2312"/>
          <w:b w:val="0"/>
          <w:sz w:val="32"/>
        </w:rPr>
        <w:t>12.社会保障和就业支出(类)退役安置(款)军队转业干部安置(项):支出决算数为9.13万元，比上年决算减少105.06万元，下降92.00%,主要原因是：本年度减少军队转业干部安置经费。</w:t>
      </w:r>
    </w:p>
    <w:p w14:paraId="2EE3B14C">
      <w:pPr>
        <w:spacing w:line="580" w:lineRule="exact"/>
        <w:ind w:firstLine="640"/>
        <w:jc w:val="both"/>
      </w:pPr>
      <w:r>
        <w:rPr>
          <w:rFonts w:ascii="仿宋_GB2312" w:hAnsi="仿宋_GB2312" w:eastAsia="仿宋_GB2312"/>
          <w:b w:val="0"/>
          <w:sz w:val="32"/>
        </w:rPr>
        <w:t>13.社会保障和就业支出(类)退役安置(款)其他退役安置支出(项):支出决算数为302.96万元，比上年决算增加223.46万元，增长281.08%,主要原因是：本年度增加一次性经济补助金领取人员，经费较上年增加。</w:t>
      </w:r>
    </w:p>
    <w:p w14:paraId="46949A87">
      <w:pPr>
        <w:spacing w:line="580" w:lineRule="exact"/>
        <w:ind w:firstLine="640"/>
        <w:jc w:val="both"/>
      </w:pPr>
      <w:r>
        <w:rPr>
          <w:rFonts w:ascii="仿宋_GB2312" w:hAnsi="仿宋_GB2312" w:eastAsia="仿宋_GB2312"/>
          <w:b w:val="0"/>
          <w:sz w:val="32"/>
        </w:rPr>
        <w:t>14.社会保障和就业支出(类)退役军人管理事务(款)行政运行(项):支出决算数为87.32万元，比上年决算增加11.64万元，增长15.38%,主要原因是：本年在职人员工资调增，导致相关人员经费较上年有所增加。</w:t>
      </w:r>
    </w:p>
    <w:p w14:paraId="30B89FF9">
      <w:pPr>
        <w:spacing w:line="580" w:lineRule="exact"/>
        <w:ind w:firstLine="640"/>
        <w:jc w:val="both"/>
      </w:pPr>
      <w:r>
        <w:rPr>
          <w:rFonts w:ascii="仿宋_GB2312" w:hAnsi="仿宋_GB2312" w:eastAsia="仿宋_GB2312"/>
          <w:b w:val="0"/>
          <w:sz w:val="32"/>
        </w:rPr>
        <w:t>15.社会保障和就业支出(类)退役军人管理事务(款)拥军优属(项):支出决算数为7.00万元，比上年决算增加7.00万元，增长100.00%,主要原因是：本年功能科目调整，拥军优属上年度在主科目列支，本年单独列支，导致经费较上年增加。</w:t>
      </w:r>
    </w:p>
    <w:p w14:paraId="40DDC4D4">
      <w:pPr>
        <w:spacing w:line="580" w:lineRule="exact"/>
        <w:ind w:firstLine="640"/>
        <w:jc w:val="both"/>
      </w:pPr>
      <w:r>
        <w:rPr>
          <w:rFonts w:ascii="仿宋_GB2312" w:hAnsi="仿宋_GB2312" w:eastAsia="仿宋_GB2312"/>
          <w:b w:val="0"/>
          <w:sz w:val="32"/>
        </w:rPr>
        <w:t>16.社会保障和就业支出(类)退役军人管理事务(款)事业运行(项):支出决算数为50.62万元，比上年决算减少4.03万元，下降7.37%,主要原因是：本年在职人员调入调出，人员职级不同，工资基数不同，导致人员经费较上年减少。</w:t>
      </w:r>
    </w:p>
    <w:p w14:paraId="1A085C37">
      <w:pPr>
        <w:spacing w:line="580" w:lineRule="exact"/>
        <w:ind w:firstLine="640"/>
        <w:jc w:val="both"/>
      </w:pPr>
      <w:r>
        <w:rPr>
          <w:rFonts w:ascii="仿宋_GB2312" w:hAnsi="仿宋_GB2312" w:eastAsia="仿宋_GB2312"/>
          <w:b w:val="0"/>
          <w:sz w:val="32"/>
        </w:rPr>
        <w:t>17.卫生健康支出(类)行政事业单位医疗(款)行政单位医疗(项):支出决算数为6.03万元，比上年决算增加0.89万元，增长17.32%,主要原因是：本年在职人员工资基数调增，医疗缴费基数上涨，相应支出增加。</w:t>
      </w:r>
    </w:p>
    <w:p w14:paraId="5CDB3BBA">
      <w:pPr>
        <w:spacing w:line="580" w:lineRule="exact"/>
        <w:ind w:firstLine="640"/>
        <w:jc w:val="both"/>
      </w:pPr>
      <w:r>
        <w:rPr>
          <w:rFonts w:ascii="仿宋_GB2312" w:hAnsi="仿宋_GB2312" w:eastAsia="仿宋_GB2312"/>
          <w:b w:val="0"/>
          <w:sz w:val="32"/>
        </w:rPr>
        <w:t>18.卫生健康支出(类)行政事业单位医疗(款)事业单位医疗(项):支出决算数为3.72万元，比上年决算增加0.48万元，增长14.81%,主要原因是：本年在职人员工资基数调增，医疗缴费基数上涨，相应支出增加。</w:t>
      </w:r>
    </w:p>
    <w:p w14:paraId="5A76BED2">
      <w:pPr>
        <w:spacing w:line="580" w:lineRule="exact"/>
        <w:ind w:firstLine="640"/>
        <w:jc w:val="both"/>
      </w:pPr>
      <w:r>
        <w:rPr>
          <w:rFonts w:ascii="仿宋_GB2312" w:hAnsi="仿宋_GB2312" w:eastAsia="仿宋_GB2312"/>
          <w:b w:val="0"/>
          <w:sz w:val="32"/>
        </w:rPr>
        <w:t>19.卫生健康支出(类)行政事业单位医疗(款)公务员医疗补助(项):支出决算数为0.01万元，比上年决算减少0.17万元，下降94.44%,主要原因是：因退休人员医疗保险制度改革，退休人员医疗不再由单位缴纳，导致经费较上年减少。</w:t>
      </w:r>
    </w:p>
    <w:p w14:paraId="5A82C948">
      <w:pPr>
        <w:spacing w:line="580" w:lineRule="exact"/>
        <w:ind w:firstLine="640"/>
        <w:jc w:val="both"/>
      </w:pPr>
      <w:r>
        <w:rPr>
          <w:rFonts w:ascii="仿宋_GB2312" w:hAnsi="仿宋_GB2312" w:eastAsia="仿宋_GB2312"/>
          <w:b w:val="0"/>
          <w:sz w:val="32"/>
        </w:rPr>
        <w:t>20.卫生健康支出(类)优抚对象医疗(款)其他优抚对象医疗支出(项):支出决算数为12.16万元，比上年决算减少4.43万元，下降26.70%,主要原因是：本年减少优抚对象医疗支出，导致经费较上年减少。</w:t>
      </w:r>
    </w:p>
    <w:p w14:paraId="788EBC55">
      <w:pPr>
        <w:spacing w:line="580" w:lineRule="exact"/>
        <w:ind w:firstLine="640"/>
        <w:jc w:val="both"/>
      </w:pPr>
      <w:r>
        <w:rPr>
          <w:rFonts w:ascii="仿宋_GB2312" w:hAnsi="仿宋_GB2312" w:eastAsia="仿宋_GB2312"/>
          <w:b w:val="0"/>
          <w:sz w:val="32"/>
        </w:rPr>
        <w:t>21.住房保障支出(类)住房改革支出(款)住房公积金(项):支出决算数为15.49万元，比上年决算增加2.57万元，增长19.89%,主要原因是：本年在职人员工资基数调增，公积金缴费基数上涨，相应支出增加。</w:t>
      </w:r>
    </w:p>
    <w:p w14:paraId="52630942">
      <w:pPr>
        <w:spacing w:line="640" w:lineRule="exact"/>
        <w:ind w:firstLine="640"/>
        <w:jc w:val="both"/>
        <w:outlineLvl w:val="2"/>
      </w:pPr>
      <w:r>
        <w:rPr>
          <w:rFonts w:ascii="黑体" w:hAnsi="黑体" w:eastAsia="黑体"/>
          <w:sz w:val="32"/>
        </w:rPr>
        <w:t>六、一般公共预算财政拨款基本支出决算情况说明</w:t>
      </w:r>
    </w:p>
    <w:p w14:paraId="07DBE466">
      <w:pPr>
        <w:spacing w:line="580" w:lineRule="exact"/>
        <w:ind w:firstLine="640"/>
        <w:jc w:val="both"/>
      </w:pPr>
      <w:r>
        <w:rPr>
          <w:rFonts w:ascii="仿宋_GB2312" w:hAnsi="仿宋_GB2312" w:eastAsia="仿宋_GB2312"/>
          <w:b w:val="0"/>
          <w:sz w:val="32"/>
        </w:rPr>
        <w:t>2024年度一般公共预算财政拨款基本支出184.05万元，其中：</w:t>
      </w:r>
      <w:r>
        <w:rPr>
          <w:rFonts w:ascii="仿宋_GB2312" w:hAnsi="仿宋_GB2312" w:eastAsia="仿宋_GB2312"/>
          <w:b/>
          <w:sz w:val="32"/>
        </w:rPr>
        <w:t>人员经费179.84万元，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4C981B73">
      <w:pPr>
        <w:spacing w:line="580" w:lineRule="exact"/>
        <w:ind w:firstLine="640"/>
        <w:jc w:val="both"/>
      </w:pPr>
      <w:r>
        <w:rPr>
          <w:rFonts w:ascii="仿宋_GB2312" w:hAnsi="仿宋_GB2312" w:eastAsia="仿宋_GB2312"/>
          <w:b/>
          <w:sz w:val="32"/>
        </w:rPr>
        <w:t>公用经费4.21万元，</w:t>
      </w:r>
      <w:r>
        <w:rPr>
          <w:rFonts w:ascii="仿宋_GB2312" w:hAnsi="仿宋_GB2312" w:eastAsia="仿宋_GB2312"/>
          <w:b w:val="0"/>
          <w:sz w:val="32"/>
        </w:rPr>
        <w:t>包括：办公费、印刷费、电费、邮电费、差旅费、工会经费、福利费、公务用车运行维护费。</w:t>
      </w:r>
    </w:p>
    <w:p w14:paraId="10D90A44">
      <w:pPr>
        <w:spacing w:line="640" w:lineRule="exact"/>
        <w:ind w:firstLine="640"/>
        <w:jc w:val="both"/>
        <w:outlineLvl w:val="2"/>
      </w:pPr>
      <w:r>
        <w:rPr>
          <w:rFonts w:ascii="黑体" w:hAnsi="黑体" w:eastAsia="黑体"/>
          <w:sz w:val="32"/>
        </w:rPr>
        <w:t>七、政府性基金预算财政拨款收入支出决算情况说明</w:t>
      </w:r>
    </w:p>
    <w:p w14:paraId="1ADB0195">
      <w:pPr>
        <w:spacing w:line="580" w:lineRule="exact"/>
        <w:ind w:firstLine="640"/>
        <w:jc w:val="both"/>
      </w:pPr>
      <w:r>
        <w:rPr>
          <w:rFonts w:ascii="仿宋_GB2312" w:hAnsi="仿宋_GB2312" w:eastAsia="仿宋_GB2312"/>
          <w:b/>
          <w:sz w:val="32"/>
        </w:rPr>
        <w:t>2024年度政府性基金预算财政拨款收入总计0.95万元，</w:t>
      </w:r>
      <w:r>
        <w:rPr>
          <w:rFonts w:ascii="仿宋_GB2312" w:hAnsi="仿宋_GB2312" w:eastAsia="仿宋_GB2312"/>
          <w:b w:val="0"/>
          <w:sz w:val="32"/>
        </w:rPr>
        <w:t>其中：年初结转和结余0.00万元，本年收入0.95万元。</w:t>
      </w:r>
      <w:r>
        <w:rPr>
          <w:rFonts w:ascii="仿宋_GB2312" w:hAnsi="仿宋_GB2312" w:eastAsia="仿宋_GB2312"/>
          <w:b/>
          <w:sz w:val="32"/>
        </w:rPr>
        <w:t>政府性基金预算财政拨款支出总计0.95万元，</w:t>
      </w:r>
      <w:r>
        <w:rPr>
          <w:rFonts w:ascii="仿宋_GB2312" w:hAnsi="仿宋_GB2312" w:eastAsia="仿宋_GB2312"/>
          <w:b w:val="0"/>
          <w:sz w:val="32"/>
        </w:rPr>
        <w:t>其中：年末结转和结余0.00万元，本年支出0.95万元。</w:t>
      </w:r>
    </w:p>
    <w:p w14:paraId="758DAAA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增加0.95万元，增长100.00%，主要原因是：本年增加占用耕地税项目，导致经费较上年增加。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年初预算数0.00万元，决算数0.95万元，预决算差异率100.00%，主要原因是：年中追加占用耕地税项目，导致预决算差异。</w:t>
      </w:r>
    </w:p>
    <w:p w14:paraId="479ED5C4">
      <w:pPr>
        <w:spacing w:line="580" w:lineRule="exact"/>
        <w:ind w:firstLine="640"/>
        <w:jc w:val="both"/>
      </w:pPr>
      <w:r>
        <w:rPr>
          <w:rFonts w:ascii="仿宋_GB2312" w:hAnsi="仿宋_GB2312" w:eastAsia="仿宋_GB2312"/>
          <w:b w:val="0"/>
          <w:sz w:val="32"/>
        </w:rPr>
        <w:t>政府性基金预算财政拨款支出0.95万元。</w:t>
      </w:r>
    </w:p>
    <w:p w14:paraId="62CF5741">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1.城乡社区支出(类)国有土地使用权出让收入安排的支出(款)农村社会事业支出(项):支出决算数为0.95万元，比上年决算增加0.95万元，增长100.00%,主要原因是：本年增加占用耕地税项目。</w:t>
      </w:r>
    </w:p>
    <w:p w14:paraId="25AB7882">
      <w:pPr>
        <w:spacing w:line="640" w:lineRule="exact"/>
        <w:ind w:firstLine="640"/>
        <w:jc w:val="both"/>
        <w:outlineLvl w:val="2"/>
      </w:pPr>
      <w:r>
        <w:rPr>
          <w:rFonts w:ascii="黑体" w:hAnsi="黑体" w:eastAsia="黑体"/>
          <w:sz w:val="32"/>
        </w:rPr>
        <w:t>八、国有资本经营预算财政拨款收入支出决算情况说明</w:t>
      </w:r>
    </w:p>
    <w:p w14:paraId="714EE4E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65A71B">
      <w:pPr>
        <w:spacing w:line="640" w:lineRule="exact"/>
        <w:ind w:firstLine="640"/>
        <w:jc w:val="both"/>
        <w:outlineLvl w:val="2"/>
      </w:pPr>
      <w:r>
        <w:rPr>
          <w:rFonts w:ascii="黑体" w:hAnsi="黑体" w:eastAsia="黑体"/>
          <w:sz w:val="32"/>
        </w:rPr>
        <w:t>九、财政拨款“三公”经费支出决算情况说明</w:t>
      </w:r>
    </w:p>
    <w:p w14:paraId="15B59DEF">
      <w:pPr>
        <w:spacing w:line="580" w:lineRule="exact"/>
        <w:ind w:firstLine="640"/>
        <w:jc w:val="both"/>
      </w:pPr>
      <w:r>
        <w:rPr>
          <w:rFonts w:ascii="仿宋_GB2312" w:hAnsi="仿宋_GB2312" w:eastAsia="仿宋_GB2312"/>
          <w:b/>
          <w:sz w:val="32"/>
        </w:rPr>
        <w:t>2024年度财政拨款“三公”经费支出0.95万元，</w:t>
      </w:r>
      <w:r>
        <w:rPr>
          <w:rFonts w:ascii="仿宋_GB2312" w:hAnsi="仿宋_GB2312" w:eastAsia="仿宋_GB2312"/>
          <w:b w:val="0"/>
          <w:sz w:val="32"/>
        </w:rPr>
        <w:t>比上年增加0.45万元，增长90.00%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0.95万元，占100.00%，比上年增加0.45万元，增长90.00%，主要原因是：本单位公务用车日渐老化，维修维护成本增加，导致公务用车运行维护费较上年增加。公务接待费支出0.00万元，占0.00%，比上年增加0.00万元，增长0.00%，主要原因是：2023年与2024年均未安排公务接待费支出。</w:t>
      </w:r>
    </w:p>
    <w:p w14:paraId="55E1C3F7">
      <w:pPr>
        <w:spacing w:line="580" w:lineRule="exact"/>
        <w:ind w:firstLine="640"/>
        <w:jc w:val="both"/>
      </w:pPr>
      <w:r>
        <w:rPr>
          <w:rFonts w:ascii="仿宋_GB2312" w:hAnsi="仿宋_GB2312" w:eastAsia="仿宋_GB2312"/>
          <w:b/>
          <w:sz w:val="32"/>
        </w:rPr>
        <w:t>具体情况如下：</w:t>
      </w:r>
    </w:p>
    <w:p w14:paraId="7C801E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BB0E88">
      <w:pPr>
        <w:spacing w:line="580" w:lineRule="exact"/>
        <w:ind w:firstLine="640"/>
        <w:jc w:val="both"/>
      </w:pPr>
      <w:r>
        <w:rPr>
          <w:rFonts w:ascii="仿宋_GB2312" w:hAnsi="仿宋_GB2312" w:eastAsia="仿宋_GB2312"/>
          <w:b w:val="0"/>
          <w:sz w:val="32"/>
        </w:rPr>
        <w:t>公务用车购置及运行维护费0.95万元，其中：公务用车购置费0.00万元，公务用车运行维护费0.95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14:paraId="6A99913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B324C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0.95万元，决算数0.95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0.95万元，决算数0.95万元，预决算差异率0.00%，主要原因是：严格按照预算执行，预决算无差异。公务接待费全年预算数0.00万元，决算数0.00万元，预决算差异率0.00%，主要原因是：本单位无公务接待费。</w:t>
      </w:r>
    </w:p>
    <w:p w14:paraId="73678EA1">
      <w:pPr>
        <w:spacing w:line="640" w:lineRule="exact"/>
        <w:ind w:firstLine="640"/>
        <w:jc w:val="both"/>
        <w:outlineLvl w:val="2"/>
      </w:pPr>
      <w:r>
        <w:rPr>
          <w:rFonts w:ascii="黑体" w:hAnsi="黑体" w:eastAsia="黑体"/>
          <w:sz w:val="32"/>
        </w:rPr>
        <w:t>十、其他重要事项的情况说明</w:t>
      </w:r>
    </w:p>
    <w:p w14:paraId="011DF151">
      <w:pPr>
        <w:spacing w:line="640" w:lineRule="exact"/>
        <w:ind w:firstLine="640"/>
        <w:jc w:val="both"/>
        <w:outlineLvl w:val="3"/>
      </w:pPr>
      <w:r>
        <w:rPr>
          <w:rFonts w:ascii="楷体_GB2312" w:hAnsi="楷体_GB2312" w:eastAsia="楷体_GB2312"/>
          <w:b/>
          <w:sz w:val="32"/>
        </w:rPr>
        <w:t>（一）机关运行经费及公用经费支出情况</w:t>
      </w:r>
    </w:p>
    <w:p w14:paraId="0C35DB46">
      <w:pPr>
        <w:spacing w:line="580" w:lineRule="exact"/>
        <w:ind w:firstLine="640"/>
        <w:jc w:val="both"/>
      </w:pPr>
      <w:r>
        <w:rPr>
          <w:rFonts w:ascii="仿宋_GB2312" w:hAnsi="仿宋_GB2312" w:eastAsia="仿宋_GB2312"/>
          <w:b w:val="0"/>
          <w:sz w:val="32"/>
        </w:rPr>
        <w:t>2024年度霍城县退役军人事务局（行政单位和参照公务员法管理事业单位）机关运行经费支出4.21万元，比上年增加0.18万元，增长4.47%，主要原因是：本年车辆维修费增加，导致机关运行经费较上年增加。</w:t>
      </w:r>
    </w:p>
    <w:p w14:paraId="7358E0B8">
      <w:pPr>
        <w:spacing w:line="640" w:lineRule="exact"/>
        <w:ind w:firstLine="640"/>
        <w:jc w:val="both"/>
        <w:outlineLvl w:val="3"/>
      </w:pPr>
      <w:r>
        <w:rPr>
          <w:rFonts w:ascii="楷体_GB2312" w:hAnsi="楷体_GB2312" w:eastAsia="楷体_GB2312"/>
          <w:b/>
          <w:sz w:val="32"/>
        </w:rPr>
        <w:t>（二）政府采购情况</w:t>
      </w:r>
    </w:p>
    <w:p w14:paraId="6356E412">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63D199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9C099C6">
      <w:pPr>
        <w:spacing w:line="640" w:lineRule="exact"/>
        <w:ind w:firstLine="640"/>
        <w:jc w:val="both"/>
        <w:outlineLvl w:val="3"/>
      </w:pPr>
      <w:r>
        <w:rPr>
          <w:rFonts w:ascii="楷体_GB2312" w:hAnsi="楷体_GB2312" w:eastAsia="楷体_GB2312"/>
          <w:b/>
          <w:sz w:val="32"/>
        </w:rPr>
        <w:t>（三）国有资产占用情况说明</w:t>
      </w:r>
    </w:p>
    <w:p w14:paraId="3B7E4B57">
      <w:pPr>
        <w:spacing w:line="580" w:lineRule="exact"/>
        <w:ind w:firstLine="640"/>
        <w:jc w:val="both"/>
      </w:pPr>
      <w:r>
        <w:rPr>
          <w:rFonts w:ascii="仿宋_GB2312" w:hAnsi="仿宋_GB2312" w:eastAsia="仿宋_GB2312"/>
          <w:b w:val="0"/>
          <w:sz w:val="32"/>
        </w:rPr>
        <w:t>截至2024年12月31日，房屋10,875.00平方米，价值604.64万元。车辆1辆，价值24.38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E082398">
      <w:pPr>
        <w:spacing w:line="640" w:lineRule="exact"/>
        <w:ind w:firstLine="640"/>
        <w:jc w:val="both"/>
        <w:outlineLvl w:val="2"/>
      </w:pPr>
      <w:r>
        <w:rPr>
          <w:rFonts w:ascii="黑体" w:hAnsi="黑体" w:eastAsia="黑体"/>
          <w:sz w:val="32"/>
        </w:rPr>
        <w:t>十一、预算绩效的情况说明</w:t>
      </w:r>
    </w:p>
    <w:p w14:paraId="06EEA31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169.82</w:t>
      </w:r>
      <w:r>
        <w:rPr>
          <w:rFonts w:ascii="仿宋_GB2312" w:hAnsi="仿宋_GB2312" w:eastAsia="仿宋_GB2312"/>
          <w:b w:val="0"/>
          <w:sz w:val="32"/>
        </w:rPr>
        <w:t>万元，实际执行总额</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169.82</w:t>
      </w:r>
      <w:r>
        <w:rPr>
          <w:rFonts w:ascii="仿宋_GB2312" w:hAnsi="仿宋_GB2312" w:eastAsia="仿宋_GB2312"/>
          <w:b w:val="0"/>
          <w:sz w:val="32"/>
        </w:rPr>
        <w:t>万元；预算</w:t>
      </w:r>
      <w:bookmarkStart w:id="0" w:name="_GoBack"/>
      <w:bookmarkEnd w:id="0"/>
      <w:r>
        <w:rPr>
          <w:rFonts w:ascii="仿宋_GB2312" w:hAnsi="仿宋_GB2312" w:eastAsia="仿宋_GB2312"/>
          <w:b w:val="0"/>
          <w:sz w:val="32"/>
        </w:rPr>
        <w:t>绩效评价项目3个，全年预算数807.95万元，全年执行数528.06万元。预算绩效管理取得的成效：1.管理制度健全性。本部门为加强预算管理，规范财务行为，已制定《霍城县退役军人事务局预算绩效管理工作实施办法》《霍城县退役军人事务局财务管理制度》等健全完整的各项管理制度，有效保障了我部门</w:t>
      </w:r>
      <w:r>
        <w:rPr>
          <w:rFonts w:hint="eastAsia" w:ascii="仿宋_GB2312" w:hAnsi="仿宋_GB2312" w:eastAsia="仿宋_GB2312"/>
          <w:b w:val="0"/>
          <w:sz w:val="32"/>
          <w:lang w:eastAsia="zh-CN"/>
        </w:rPr>
        <w:t>高效地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事业发展。2.资金使用合规性和安全性部门预算资金使用符合国家法规和财务管理制度；预算资金拨付有完整的审批程序和手续，符合项目预算批复或合同规定的用途；不存在截留、挤占、挪用、虚列支出等情况，确保我部门预算资金规范运行。发现的问题及原因：1.针对指标值偏差较大，采取加强学习，进一步明确如何参照考核体系，科学合理提高绩效指标值，合理提高指标值设置，充分发挥预算绩效管理工作效用。2、提高财务人员素质是纠正绩效偏离的根本单位绩效管理的成败根本因素在于单位成员素质的高低，尤其是科室</w:t>
      </w:r>
      <w:r>
        <w:rPr>
          <w:rFonts w:hint="eastAsia" w:ascii="仿宋_GB2312" w:hAnsi="仿宋_GB2312" w:eastAsia="仿宋_GB2312"/>
          <w:b w:val="0"/>
          <w:sz w:val="32"/>
          <w:lang w:eastAsia="zh-CN"/>
        </w:rPr>
        <w:t>负责人</w:t>
      </w:r>
      <w:r>
        <w:rPr>
          <w:rFonts w:ascii="仿宋_GB2312" w:hAnsi="仿宋_GB2312" w:eastAsia="仿宋_GB2312"/>
          <w:b w:val="0"/>
          <w:sz w:val="32"/>
        </w:rPr>
        <w:t>和财会人员。业务培训是提高财务人员素质的有效手段，通过培训使行政事业单位的会计人员政策法律意识不断增强，知识不断更新，技能不断提高，会计职业道德不断提升。有“能”才有“力”，只有财务人员素质提高了，其执行单位整体绩效的实际工作中，执行力和监督力才能不断增强。下一步改进措施：单位负责人要充分认识整体绩效管理在保护资产的安全与完整、防范欺诈和舞弊行为、实现单位经济目标等方面的重要性，加强单位绩效管理，并明确各个负责人在绩效管理中的责任和要求，建立有效的相互制衡、激励奖惩的机制，充分调动整个绩效管理队伍的积极性，形成单位绩效管理人人参与、人人有责的良好氛围。具体附项目支出绩效自评表和评价报告。</w:t>
      </w:r>
    </w:p>
    <w:p w14:paraId="5D0D16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54B47FB7">
        <w:tblPrEx>
          <w:tblCellMar>
            <w:top w:w="0" w:type="dxa"/>
            <w:left w:w="108" w:type="dxa"/>
            <w:bottom w:w="0" w:type="dxa"/>
            <w:right w:w="108" w:type="dxa"/>
          </w:tblCellMar>
        </w:tblPrEx>
        <w:tc>
          <w:tcPr>
            <w:tcW w:w="8848" w:type="dxa"/>
            <w:gridSpan w:val="14"/>
            <w:vAlign w:val="center"/>
          </w:tcPr>
          <w:p w14:paraId="3A385BD8">
            <w:pPr>
              <w:jc w:val="center"/>
            </w:pPr>
            <w:r>
              <w:rPr>
                <w:rFonts w:ascii="宋体" w:hAnsi="宋体" w:eastAsia="宋体"/>
                <w:sz w:val="24"/>
              </w:rPr>
              <w:t>项目支出绩效自评表</w:t>
            </w:r>
          </w:p>
        </w:tc>
      </w:tr>
      <w:tr w14:paraId="70CAB326">
        <w:tblPrEx>
          <w:tblCellMar>
            <w:top w:w="0" w:type="dxa"/>
            <w:left w:w="108" w:type="dxa"/>
            <w:bottom w:w="0" w:type="dxa"/>
            <w:right w:w="108" w:type="dxa"/>
          </w:tblCellMar>
        </w:tblPrEx>
        <w:tc>
          <w:tcPr>
            <w:tcW w:w="8848" w:type="dxa"/>
            <w:gridSpan w:val="14"/>
            <w:vAlign w:val="center"/>
          </w:tcPr>
          <w:p w14:paraId="7FE13F68">
            <w:pPr>
              <w:jc w:val="center"/>
            </w:pPr>
            <w:r>
              <w:rPr>
                <w:rFonts w:ascii="宋体" w:hAnsi="宋体" w:eastAsia="宋体"/>
                <w:sz w:val="24"/>
              </w:rPr>
              <w:t>(2024年度)</w:t>
            </w:r>
          </w:p>
        </w:tc>
      </w:tr>
      <w:tr w14:paraId="54329B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EF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BE9E89">
            <w:pPr>
              <w:jc w:val="center"/>
            </w:pPr>
            <w:r>
              <w:rPr>
                <w:rFonts w:ascii="宋体" w:hAnsi="宋体" w:eastAsia="宋体"/>
                <w:sz w:val="16"/>
              </w:rPr>
              <w:t>惠远烈士陵园烈士纪念设施建设项目</w:t>
            </w:r>
          </w:p>
        </w:tc>
      </w:tr>
      <w:tr w14:paraId="7F89CA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87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E9EDF">
            <w:pPr>
              <w:jc w:val="center"/>
            </w:pPr>
            <w:r>
              <w:rPr>
                <w:rFonts w:ascii="宋体" w:hAnsi="宋体" w:eastAsia="宋体"/>
                <w:sz w:val="16"/>
              </w:rPr>
              <w:t>霍城县退役军人事务局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09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344B78">
            <w:pPr>
              <w:jc w:val="center"/>
            </w:pPr>
            <w:r>
              <w:rPr>
                <w:rFonts w:ascii="宋体" w:hAnsi="宋体" w:eastAsia="宋体"/>
                <w:sz w:val="16"/>
              </w:rPr>
              <w:t>霍城县退役军人事务局</w:t>
            </w:r>
          </w:p>
        </w:tc>
      </w:tr>
      <w:tr w14:paraId="44422A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64A7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6A1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09F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33F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FB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A76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631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DF4A">
            <w:pPr>
              <w:jc w:val="center"/>
            </w:pPr>
            <w:r>
              <w:rPr>
                <w:rFonts w:ascii="宋体" w:hAnsi="宋体" w:eastAsia="宋体"/>
                <w:sz w:val="16"/>
              </w:rPr>
              <w:t>得分</w:t>
            </w:r>
          </w:p>
        </w:tc>
      </w:tr>
      <w:tr w14:paraId="287B9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0FC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135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F4D7C">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B3317">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49E18">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587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77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DBA1">
            <w:pPr>
              <w:jc w:val="center"/>
            </w:pPr>
            <w:r>
              <w:rPr>
                <w:rFonts w:ascii="宋体" w:hAnsi="宋体" w:eastAsia="宋体"/>
                <w:sz w:val="16"/>
              </w:rPr>
              <w:t>10.00</w:t>
            </w:r>
          </w:p>
        </w:tc>
      </w:tr>
      <w:tr w14:paraId="040AE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800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4C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BF7C">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EF9A">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7CECF">
            <w:pPr>
              <w:jc w:val="center"/>
            </w:pPr>
            <w:r>
              <w:rPr>
                <w:rFonts w:ascii="宋体" w:hAnsi="宋体" w:eastAsia="宋体"/>
                <w:sz w:val="16"/>
              </w:rPr>
              <w:t>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1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3EF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C451">
            <w:pPr>
              <w:jc w:val="center"/>
            </w:pPr>
            <w:r>
              <w:rPr>
                <w:rFonts w:ascii="宋体" w:hAnsi="宋体" w:eastAsia="宋体"/>
                <w:sz w:val="16"/>
              </w:rPr>
              <w:t>—</w:t>
            </w:r>
          </w:p>
        </w:tc>
      </w:tr>
      <w:tr w14:paraId="7C234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467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EC9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55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4A2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5D4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50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E26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5641">
            <w:pPr>
              <w:jc w:val="center"/>
            </w:pPr>
            <w:r>
              <w:rPr>
                <w:rFonts w:ascii="宋体" w:hAnsi="宋体" w:eastAsia="宋体"/>
                <w:sz w:val="16"/>
              </w:rPr>
              <w:t>—</w:t>
            </w:r>
          </w:p>
        </w:tc>
      </w:tr>
      <w:tr w14:paraId="7C07BF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C52D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727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DCA01F">
            <w:pPr>
              <w:jc w:val="center"/>
            </w:pPr>
            <w:r>
              <w:rPr>
                <w:rFonts w:ascii="宋体" w:hAnsi="宋体" w:eastAsia="宋体"/>
                <w:sz w:val="16"/>
              </w:rPr>
              <w:t>实际完成情况</w:t>
            </w:r>
          </w:p>
        </w:tc>
      </w:tr>
      <w:tr w14:paraId="22053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B1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906432">
            <w:pPr>
              <w:jc w:val="both"/>
            </w:pPr>
            <w:r>
              <w:rPr>
                <w:rFonts w:ascii="宋体" w:hAnsi="宋体" w:eastAsia="宋体"/>
                <w:sz w:val="16"/>
              </w:rPr>
              <w:t>通过项目建设不仅提供了缅怀革命先烈、传承红色基因、接受爱国主义教育的精神资源，为促进新疆红色旅游，弘扬时代精神提供了很好的精神载体。对进一步加强弘扬烈士精神、促进社会和谐稳定和全面进步具有重要而深远的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48B9AD">
            <w:pPr>
              <w:jc w:val="both"/>
            </w:pPr>
            <w:r>
              <w:rPr>
                <w:rFonts w:ascii="宋体" w:hAnsi="宋体" w:eastAsia="宋体"/>
                <w:sz w:val="16"/>
              </w:rPr>
              <w:t>通过项目建设，完成237场祭扫活动，0.21公顷开垦面积。丰富缅怀革命先烈、传承红色基因、接受爱国主义教育的氛围，进一步加强弘扬烈士精神、促进社会和谐稳定和全面进步。</w:t>
            </w:r>
          </w:p>
        </w:tc>
      </w:tr>
      <w:tr w14:paraId="4D59C2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C392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9E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5F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83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9C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1C9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5E3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487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631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4F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39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34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2B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4332">
            <w:pPr>
              <w:jc w:val="center"/>
            </w:pPr>
            <w:r>
              <w:rPr>
                <w:rFonts w:ascii="宋体" w:hAnsi="宋体" w:eastAsia="宋体"/>
                <w:sz w:val="16"/>
              </w:rPr>
              <w:t>偏差原因分析及改进措施</w:t>
            </w:r>
          </w:p>
        </w:tc>
      </w:tr>
      <w:tr w14:paraId="2D72A6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F6B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0D2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CC2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2D7F">
            <w:pPr>
              <w:jc w:val="center"/>
            </w:pPr>
            <w:r>
              <w:rPr>
                <w:rFonts w:ascii="宋体" w:hAnsi="宋体" w:eastAsia="宋体"/>
                <w:sz w:val="16"/>
              </w:rPr>
              <w:t>开展清明祭扫、祭奠英烈活动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20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1274">
            <w:pPr>
              <w:jc w:val="center"/>
            </w:pPr>
            <w:r>
              <w:rPr>
                <w:rFonts w:ascii="宋体" w:hAnsi="宋体" w:eastAsia="宋体"/>
                <w:sz w:val="16"/>
              </w:rPr>
              <w:t>=120场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B805">
            <w:pPr>
              <w:jc w:val="center"/>
            </w:pPr>
            <w:r>
              <w:rPr>
                <w:rFonts w:ascii="宋体" w:hAnsi="宋体" w:eastAsia="宋体"/>
                <w:sz w:val="16"/>
              </w:rPr>
              <w:t>237场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5636">
            <w:pPr>
              <w:jc w:val="center"/>
            </w:pPr>
            <w:r>
              <w:rPr>
                <w:rFonts w:ascii="宋体" w:hAnsi="宋体" w:eastAsia="宋体"/>
                <w:sz w:val="16"/>
              </w:rPr>
              <w:t>197.5%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847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4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88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F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06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B724">
            <w:pPr>
              <w:jc w:val="center"/>
            </w:pPr>
            <w:r>
              <w:rPr>
                <w:rFonts w:ascii="宋体" w:hAnsi="宋体" w:eastAsia="宋体"/>
                <w:sz w:val="16"/>
              </w:rPr>
              <w:t>加大宣传范围，2024年祭扫活动场次较高。</w:t>
            </w:r>
          </w:p>
        </w:tc>
      </w:tr>
      <w:tr w14:paraId="6E6D5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DF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58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99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F0C8">
            <w:pPr>
              <w:jc w:val="center"/>
            </w:pPr>
            <w:r>
              <w:rPr>
                <w:rFonts w:ascii="宋体" w:hAnsi="宋体" w:eastAsia="宋体"/>
                <w:sz w:val="16"/>
              </w:rPr>
              <w:t>烈士陵园耕地开垦面积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081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72BE">
            <w:pPr>
              <w:jc w:val="center"/>
            </w:pPr>
            <w:r>
              <w:rPr>
                <w:rFonts w:ascii="宋体" w:hAnsi="宋体" w:eastAsia="宋体"/>
                <w:sz w:val="16"/>
              </w:rPr>
              <w:t>=0.21公顷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2CAF">
            <w:pPr>
              <w:jc w:val="center"/>
            </w:pPr>
            <w:r>
              <w:rPr>
                <w:rFonts w:ascii="宋体" w:hAnsi="宋体" w:eastAsia="宋体"/>
                <w:sz w:val="16"/>
              </w:rPr>
              <w:t>0.12公顷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3CDC">
            <w:pPr>
              <w:jc w:val="center"/>
            </w:pPr>
            <w:r>
              <w:rPr>
                <w:rFonts w:ascii="宋体" w:hAnsi="宋体" w:eastAsia="宋体"/>
                <w:sz w:val="16"/>
              </w:rPr>
              <w:t>57.14%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3E4A">
            <w:pPr>
              <w:jc w:val="center"/>
            </w:pPr>
            <w:r>
              <w:rPr>
                <w:rFonts w:ascii="宋体" w:hAnsi="宋体" w:eastAsia="宋体"/>
                <w:sz w:val="16"/>
              </w:rPr>
              <w:t>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91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6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F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5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ED12">
            <w:pPr>
              <w:jc w:val="center"/>
            </w:pPr>
            <w:r>
              <w:rPr>
                <w:rFonts w:ascii="宋体" w:hAnsi="宋体" w:eastAsia="宋体"/>
                <w:sz w:val="16"/>
              </w:rPr>
              <w:t>经测算，陵园开垦面积为0.12公顷。</w:t>
            </w:r>
          </w:p>
        </w:tc>
      </w:tr>
      <w:tr w14:paraId="19FB9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B3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2A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E7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B654">
            <w:pPr>
              <w:jc w:val="center"/>
            </w:pPr>
            <w:r>
              <w:rPr>
                <w:rFonts w:ascii="宋体" w:hAnsi="宋体" w:eastAsia="宋体"/>
                <w:sz w:val="16"/>
              </w:rPr>
              <w:t>前期费用支付准确率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2DD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5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9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2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B21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8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B6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D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51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3EA6">
            <w:pPr>
              <w:jc w:val="center"/>
            </w:pPr>
          </w:p>
        </w:tc>
      </w:tr>
      <w:tr w14:paraId="6074A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13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F8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04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2E5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215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8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B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E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DB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A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6E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82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BF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BC89">
            <w:pPr>
              <w:jc w:val="center"/>
            </w:pPr>
          </w:p>
        </w:tc>
      </w:tr>
      <w:tr w14:paraId="5AED0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7F3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E5E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41F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76DC">
            <w:pPr>
              <w:jc w:val="center"/>
            </w:pPr>
            <w:r>
              <w:rPr>
                <w:rFonts w:ascii="宋体" w:hAnsi="宋体" w:eastAsia="宋体"/>
                <w:sz w:val="16"/>
              </w:rPr>
              <w:t>提升烈士陵园整体品质及形象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D4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426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C550">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D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85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0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79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2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67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1561">
            <w:pPr>
              <w:jc w:val="center"/>
            </w:pPr>
          </w:p>
        </w:tc>
      </w:tr>
      <w:tr w14:paraId="13F8D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FEC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C7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C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623D">
            <w:pPr>
              <w:jc w:val="center"/>
            </w:pPr>
            <w:r>
              <w:rPr>
                <w:rFonts w:ascii="宋体" w:hAnsi="宋体" w:eastAsia="宋体"/>
                <w:sz w:val="16"/>
              </w:rPr>
              <w:t>加强弘扬烈士精神，促进社会稳定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E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A71D">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24E2">
            <w:pPr>
              <w:jc w:val="center"/>
            </w:pPr>
            <w:r>
              <w:rPr>
                <w:rFonts w:ascii="宋体" w:hAnsi="宋体" w:eastAsia="宋体"/>
                <w:sz w:val="16"/>
              </w:rPr>
              <w:t>有所加强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0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1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9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D7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9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3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594D">
            <w:pPr>
              <w:jc w:val="center"/>
            </w:pPr>
          </w:p>
        </w:tc>
      </w:tr>
      <w:tr w14:paraId="1E9D3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78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D9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D9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9420">
            <w:pPr>
              <w:jc w:val="center"/>
            </w:pPr>
            <w:r>
              <w:rPr>
                <w:rFonts w:ascii="宋体" w:hAnsi="宋体" w:eastAsia="宋体"/>
                <w:sz w:val="16"/>
              </w:rPr>
              <w:t>烈士家属及社会满意度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C7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63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A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346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F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7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0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2F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67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9046">
            <w:pPr>
              <w:jc w:val="center"/>
            </w:pPr>
            <w:r>
              <w:rPr>
                <w:rFonts w:ascii="宋体" w:hAnsi="宋体" w:eastAsia="宋体"/>
                <w:sz w:val="16"/>
              </w:rPr>
              <w:t>本单位加强弘扬烈士精神，烈士家属较往年参加祭扫活动较多。</w:t>
            </w:r>
          </w:p>
        </w:tc>
      </w:tr>
      <w:tr w14:paraId="76BD8F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F600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8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5DD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6A9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E44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142A">
            <w:pPr>
              <w:jc w:val="center"/>
            </w:pPr>
            <w:r>
              <w:rPr>
                <w:rFonts w:ascii="宋体" w:hAnsi="宋体" w:eastAsia="宋体"/>
                <w:sz w:val="16"/>
              </w:rPr>
              <w:t>93.57分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2E02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276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A706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1C78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E8D20D"/>
        </w:tc>
      </w:tr>
    </w:tbl>
    <w:p w14:paraId="6BA778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ED126EE">
        <w:tblPrEx>
          <w:tblCellMar>
            <w:top w:w="0" w:type="dxa"/>
            <w:left w:w="108" w:type="dxa"/>
            <w:bottom w:w="0" w:type="dxa"/>
            <w:right w:w="108" w:type="dxa"/>
          </w:tblCellMar>
        </w:tblPrEx>
        <w:tc>
          <w:tcPr>
            <w:tcW w:w="8848" w:type="dxa"/>
            <w:gridSpan w:val="14"/>
            <w:vAlign w:val="center"/>
          </w:tcPr>
          <w:p w14:paraId="7A732271">
            <w:pPr>
              <w:jc w:val="center"/>
            </w:pPr>
            <w:r>
              <w:rPr>
                <w:rFonts w:ascii="宋体" w:hAnsi="宋体" w:eastAsia="宋体"/>
                <w:sz w:val="24"/>
              </w:rPr>
              <w:t>项目支出绩效自评表</w:t>
            </w:r>
          </w:p>
        </w:tc>
      </w:tr>
      <w:tr w14:paraId="3E859C43">
        <w:tblPrEx>
          <w:tblCellMar>
            <w:top w:w="0" w:type="dxa"/>
            <w:left w:w="108" w:type="dxa"/>
            <w:bottom w:w="0" w:type="dxa"/>
            <w:right w:w="108" w:type="dxa"/>
          </w:tblCellMar>
        </w:tblPrEx>
        <w:tc>
          <w:tcPr>
            <w:tcW w:w="8848" w:type="dxa"/>
            <w:gridSpan w:val="14"/>
            <w:vAlign w:val="center"/>
          </w:tcPr>
          <w:p w14:paraId="2E607D55">
            <w:pPr>
              <w:jc w:val="center"/>
            </w:pPr>
            <w:r>
              <w:rPr>
                <w:rFonts w:ascii="宋体" w:hAnsi="宋体" w:eastAsia="宋体"/>
                <w:sz w:val="24"/>
              </w:rPr>
              <w:t>(2024年度)</w:t>
            </w:r>
          </w:p>
        </w:tc>
      </w:tr>
      <w:tr w14:paraId="758CBF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B8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49A7BB">
            <w:pPr>
              <w:jc w:val="center"/>
            </w:pPr>
            <w:r>
              <w:rPr>
                <w:rFonts w:ascii="宋体" w:hAnsi="宋体" w:eastAsia="宋体"/>
                <w:sz w:val="16"/>
              </w:rPr>
              <w:t>惠远烈士陵园运行维护经费</w:t>
            </w:r>
          </w:p>
        </w:tc>
      </w:tr>
      <w:tr w14:paraId="770B41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AC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7F3C6">
            <w:pPr>
              <w:jc w:val="center"/>
            </w:pPr>
            <w:r>
              <w:rPr>
                <w:rFonts w:ascii="宋体" w:hAnsi="宋体" w:eastAsia="宋体"/>
                <w:sz w:val="16"/>
              </w:rPr>
              <w:t>霍城县退役军人事务局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32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6A977A">
            <w:pPr>
              <w:jc w:val="center"/>
            </w:pPr>
            <w:r>
              <w:rPr>
                <w:rFonts w:ascii="宋体" w:hAnsi="宋体" w:eastAsia="宋体"/>
                <w:sz w:val="16"/>
              </w:rPr>
              <w:t>霍城县退役军人事务局</w:t>
            </w:r>
          </w:p>
        </w:tc>
      </w:tr>
      <w:tr w14:paraId="244445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7A15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FA4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DD3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F2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62C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5F1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304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6CB6">
            <w:pPr>
              <w:jc w:val="center"/>
            </w:pPr>
            <w:r>
              <w:rPr>
                <w:rFonts w:ascii="宋体" w:hAnsi="宋体" w:eastAsia="宋体"/>
                <w:sz w:val="16"/>
              </w:rPr>
              <w:t>得分</w:t>
            </w:r>
          </w:p>
        </w:tc>
      </w:tr>
      <w:tr w14:paraId="05531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02A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1B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279B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B9EB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01C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A49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5F6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D11A">
            <w:pPr>
              <w:jc w:val="center"/>
            </w:pPr>
            <w:r>
              <w:rPr>
                <w:rFonts w:ascii="宋体" w:hAnsi="宋体" w:eastAsia="宋体"/>
                <w:sz w:val="16"/>
              </w:rPr>
              <w:t>10.00</w:t>
            </w:r>
          </w:p>
        </w:tc>
      </w:tr>
      <w:tr w14:paraId="7B3B9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B6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9AE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5ACB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204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65E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B99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338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2BB2">
            <w:pPr>
              <w:jc w:val="center"/>
            </w:pPr>
            <w:r>
              <w:rPr>
                <w:rFonts w:ascii="宋体" w:hAnsi="宋体" w:eastAsia="宋体"/>
                <w:sz w:val="16"/>
              </w:rPr>
              <w:t>—</w:t>
            </w:r>
          </w:p>
        </w:tc>
      </w:tr>
      <w:tr w14:paraId="0D479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3FB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D8E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01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C20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B6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22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B79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DA63">
            <w:pPr>
              <w:jc w:val="center"/>
            </w:pPr>
            <w:r>
              <w:rPr>
                <w:rFonts w:ascii="宋体" w:hAnsi="宋体" w:eastAsia="宋体"/>
                <w:sz w:val="16"/>
              </w:rPr>
              <w:t>—</w:t>
            </w:r>
          </w:p>
        </w:tc>
      </w:tr>
      <w:tr w14:paraId="4BA28C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7A6B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43D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4FC8D">
            <w:pPr>
              <w:jc w:val="center"/>
            </w:pPr>
            <w:r>
              <w:rPr>
                <w:rFonts w:ascii="宋体" w:hAnsi="宋体" w:eastAsia="宋体"/>
                <w:sz w:val="16"/>
              </w:rPr>
              <w:t>实际完成情况</w:t>
            </w:r>
          </w:p>
        </w:tc>
      </w:tr>
      <w:tr w14:paraId="7F0F2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625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F53EB">
            <w:pPr>
              <w:jc w:val="both"/>
            </w:pPr>
            <w:r>
              <w:rPr>
                <w:rFonts w:ascii="宋体" w:hAnsi="宋体" w:eastAsia="宋体"/>
                <w:sz w:val="16"/>
              </w:rPr>
              <w:t>维护水电路面积640平方米，56座墓碑、浮雕、雕塑。提升烈士陵园整体品质及形象。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69982">
            <w:pPr>
              <w:jc w:val="both"/>
            </w:pPr>
            <w:r>
              <w:rPr>
                <w:rFonts w:hint="eastAsia" w:ascii="宋体" w:hAnsi="宋体"/>
                <w:sz w:val="16"/>
                <w:lang w:eastAsia="zh-CN"/>
              </w:rPr>
              <w:t>截至</w:t>
            </w:r>
            <w:r>
              <w:rPr>
                <w:rFonts w:ascii="宋体" w:hAnsi="宋体" w:eastAsia="宋体"/>
                <w:sz w:val="16"/>
              </w:rPr>
              <w:t>2024年12月底，完成维护水电路面积640平方米，56座墓碑、浮雕、雕塑，提升烈士陵园整体品质形象。</w:t>
            </w:r>
          </w:p>
        </w:tc>
      </w:tr>
      <w:tr w14:paraId="51A625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11C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4A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DD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79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36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7A0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BDD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5AD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5AE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F0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15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74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AD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BA26">
            <w:pPr>
              <w:jc w:val="center"/>
            </w:pPr>
            <w:r>
              <w:rPr>
                <w:rFonts w:ascii="宋体" w:hAnsi="宋体" w:eastAsia="宋体"/>
                <w:sz w:val="16"/>
              </w:rPr>
              <w:t>偏差原因分析及改进措施</w:t>
            </w:r>
          </w:p>
        </w:tc>
      </w:tr>
      <w:tr w14:paraId="4436B3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AC4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DA2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0C1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B039">
            <w:pPr>
              <w:jc w:val="center"/>
            </w:pPr>
            <w:r>
              <w:rPr>
                <w:rFonts w:ascii="宋体" w:hAnsi="宋体" w:eastAsia="宋体"/>
                <w:sz w:val="16"/>
              </w:rPr>
              <w:t>惠远烈士陵园运行维护面积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8D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6E38">
            <w:pPr>
              <w:jc w:val="center"/>
            </w:pPr>
            <w:r>
              <w:rPr>
                <w:rFonts w:ascii="宋体" w:hAnsi="宋体" w:eastAsia="宋体"/>
                <w:sz w:val="16"/>
              </w:rPr>
              <w:t>=640平方米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6B4F">
            <w:pPr>
              <w:jc w:val="center"/>
            </w:pPr>
            <w:r>
              <w:rPr>
                <w:rFonts w:ascii="宋体" w:hAnsi="宋体" w:eastAsia="宋体"/>
                <w:sz w:val="16"/>
              </w:rPr>
              <w:t>640平方米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A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B0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7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0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1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3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5D73">
            <w:pPr>
              <w:jc w:val="center"/>
            </w:pPr>
          </w:p>
        </w:tc>
      </w:tr>
      <w:tr w14:paraId="2E8CE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60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C3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B2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608A">
            <w:pPr>
              <w:jc w:val="center"/>
            </w:pPr>
            <w:r>
              <w:rPr>
                <w:rFonts w:ascii="宋体" w:hAnsi="宋体" w:eastAsia="宋体"/>
                <w:sz w:val="16"/>
              </w:rPr>
              <w:t>修缮墓碑、浮雕墙、</w:t>
            </w:r>
            <w:r>
              <w:rPr>
                <w:rFonts w:hint="eastAsia" w:ascii="宋体" w:hAnsi="宋体"/>
                <w:sz w:val="16"/>
                <w:lang w:eastAsia="zh-CN"/>
              </w:rPr>
              <w:t>英名</w:t>
            </w:r>
            <w:r>
              <w:rPr>
                <w:rFonts w:ascii="宋体" w:hAnsi="宋体" w:eastAsia="宋体"/>
                <w:sz w:val="16"/>
              </w:rPr>
              <w:t>墙、雕塑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4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656D">
            <w:pPr>
              <w:jc w:val="center"/>
            </w:pPr>
            <w:r>
              <w:rPr>
                <w:rFonts w:ascii="宋体" w:hAnsi="宋体" w:eastAsia="宋体"/>
                <w:sz w:val="16"/>
              </w:rPr>
              <w:t>=56座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1362">
            <w:pPr>
              <w:jc w:val="center"/>
            </w:pPr>
            <w:r>
              <w:rPr>
                <w:rFonts w:ascii="宋体" w:hAnsi="宋体" w:eastAsia="宋体"/>
                <w:sz w:val="16"/>
              </w:rPr>
              <w:t>56座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7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6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1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9D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3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4A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40A0">
            <w:pPr>
              <w:jc w:val="center"/>
            </w:pPr>
          </w:p>
        </w:tc>
      </w:tr>
      <w:tr w14:paraId="0DC68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8F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4C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F0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1727">
            <w:pPr>
              <w:jc w:val="center"/>
            </w:pPr>
            <w:r>
              <w:rPr>
                <w:rFonts w:ascii="宋体" w:hAnsi="宋体" w:eastAsia="宋体"/>
                <w:sz w:val="16"/>
              </w:rPr>
              <w:t>保安工资发放人数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FC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69A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4B6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9494">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7A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7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0D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62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C9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0B7C">
            <w:pPr>
              <w:jc w:val="center"/>
            </w:pPr>
            <w:r>
              <w:rPr>
                <w:rFonts w:ascii="宋体" w:hAnsi="宋体" w:eastAsia="宋体"/>
                <w:sz w:val="16"/>
              </w:rPr>
              <w:t>年底陵园整修树木，临聘人员一人，支付服务费。</w:t>
            </w:r>
          </w:p>
        </w:tc>
      </w:tr>
      <w:tr w14:paraId="6CC4C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D9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E5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6E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62F6">
            <w:pPr>
              <w:jc w:val="center"/>
            </w:pPr>
            <w:r>
              <w:rPr>
                <w:rFonts w:ascii="宋体" w:hAnsi="宋体" w:eastAsia="宋体"/>
                <w:sz w:val="16"/>
              </w:rPr>
              <w:t>修缮质量合格率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DB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5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7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2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9E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A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F7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E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8D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7B33">
            <w:pPr>
              <w:jc w:val="center"/>
            </w:pPr>
          </w:p>
        </w:tc>
      </w:tr>
      <w:tr w14:paraId="4F5DB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95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90A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F87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A967">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83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4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F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7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5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3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CF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F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6C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0422">
            <w:pPr>
              <w:jc w:val="center"/>
            </w:pPr>
          </w:p>
        </w:tc>
      </w:tr>
      <w:tr w14:paraId="43387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B2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3B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9A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6AF9">
            <w:pPr>
              <w:jc w:val="center"/>
            </w:pPr>
            <w:r>
              <w:rPr>
                <w:rFonts w:ascii="宋体" w:hAnsi="宋体" w:eastAsia="宋体"/>
                <w:sz w:val="16"/>
              </w:rPr>
              <w:t>保安工资发放及时率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C2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66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2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F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9E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C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97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0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A7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3FD0">
            <w:pPr>
              <w:jc w:val="center"/>
            </w:pPr>
          </w:p>
        </w:tc>
      </w:tr>
      <w:tr w14:paraId="442C7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88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61D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4D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D34F">
            <w:pPr>
              <w:jc w:val="center"/>
            </w:pPr>
            <w:r>
              <w:rPr>
                <w:rFonts w:ascii="宋体" w:hAnsi="宋体" w:eastAsia="宋体"/>
                <w:sz w:val="16"/>
              </w:rPr>
              <w:t>烈士陵园运行维护费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12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1E0E">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4F9B">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2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DE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7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6A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6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D9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7238">
            <w:pPr>
              <w:jc w:val="center"/>
            </w:pPr>
          </w:p>
        </w:tc>
      </w:tr>
      <w:tr w14:paraId="78708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FE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C1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4B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33B9">
            <w:pPr>
              <w:jc w:val="center"/>
            </w:pPr>
            <w:r>
              <w:rPr>
                <w:rFonts w:ascii="宋体" w:hAnsi="宋体" w:eastAsia="宋体"/>
                <w:sz w:val="16"/>
              </w:rPr>
              <w:t>提升烈士陵园整体品质形象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21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1801">
            <w:pPr>
              <w:jc w:val="center"/>
            </w:pPr>
            <w:r>
              <w:rPr>
                <w:rFonts w:ascii="宋体" w:hAnsi="宋体" w:eastAsia="宋体"/>
                <w:sz w:val="16"/>
              </w:rPr>
              <w:t>有限提升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E64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C2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D1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8E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DD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07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1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147D">
            <w:pPr>
              <w:jc w:val="center"/>
            </w:pPr>
          </w:p>
        </w:tc>
      </w:tr>
      <w:tr w14:paraId="35026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8E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05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72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E3B2">
            <w:pPr>
              <w:jc w:val="center"/>
            </w:pPr>
            <w:r>
              <w:rPr>
                <w:rFonts w:ascii="宋体" w:hAnsi="宋体" w:eastAsia="宋体"/>
                <w:sz w:val="16"/>
              </w:rPr>
              <w:t>烈士家属及社会满意度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C2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B5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3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7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F4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4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0C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90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D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FA2A">
            <w:pPr>
              <w:jc w:val="center"/>
            </w:pPr>
          </w:p>
        </w:tc>
      </w:tr>
      <w:tr w14:paraId="564674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B71C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1F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C1D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40E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3B5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97B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AFC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0A81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072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07A8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27F1F"/>
        </w:tc>
      </w:tr>
    </w:tbl>
    <w:p w14:paraId="2E4ED59A">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620"/>
        <w:gridCol w:w="856"/>
        <w:gridCol w:w="696"/>
        <w:gridCol w:w="696"/>
        <w:gridCol w:w="631"/>
        <w:gridCol w:w="614"/>
        <w:gridCol w:w="614"/>
        <w:gridCol w:w="614"/>
        <w:gridCol w:w="615"/>
        <w:gridCol w:w="626"/>
      </w:tblGrid>
      <w:tr w14:paraId="15F5FF57">
        <w:tblPrEx>
          <w:tblCellMar>
            <w:top w:w="0" w:type="dxa"/>
            <w:left w:w="108" w:type="dxa"/>
            <w:bottom w:w="0" w:type="dxa"/>
            <w:right w:w="108" w:type="dxa"/>
          </w:tblCellMar>
        </w:tblPrEx>
        <w:tc>
          <w:tcPr>
            <w:tcW w:w="8848" w:type="dxa"/>
            <w:gridSpan w:val="14"/>
            <w:vAlign w:val="center"/>
          </w:tcPr>
          <w:p w14:paraId="5CD5B368">
            <w:pPr>
              <w:jc w:val="center"/>
            </w:pPr>
            <w:r>
              <w:rPr>
                <w:rFonts w:ascii="宋体" w:hAnsi="宋体" w:eastAsia="宋体"/>
                <w:sz w:val="24"/>
              </w:rPr>
              <w:t>项目支出绩效自评表</w:t>
            </w:r>
          </w:p>
        </w:tc>
      </w:tr>
      <w:tr w14:paraId="172F978C">
        <w:tblPrEx>
          <w:tblCellMar>
            <w:top w:w="0" w:type="dxa"/>
            <w:left w:w="108" w:type="dxa"/>
            <w:bottom w:w="0" w:type="dxa"/>
            <w:right w:w="108" w:type="dxa"/>
          </w:tblCellMar>
        </w:tblPrEx>
        <w:tc>
          <w:tcPr>
            <w:tcW w:w="8848" w:type="dxa"/>
            <w:gridSpan w:val="14"/>
            <w:vAlign w:val="center"/>
          </w:tcPr>
          <w:p w14:paraId="5299C490">
            <w:pPr>
              <w:jc w:val="center"/>
            </w:pPr>
            <w:r>
              <w:rPr>
                <w:rFonts w:ascii="宋体" w:hAnsi="宋体" w:eastAsia="宋体"/>
                <w:sz w:val="24"/>
              </w:rPr>
              <w:t>(2024年度)</w:t>
            </w:r>
          </w:p>
        </w:tc>
      </w:tr>
      <w:tr w14:paraId="5BFF6E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DB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BCCFCB">
            <w:pPr>
              <w:jc w:val="center"/>
            </w:pPr>
            <w:r>
              <w:rPr>
                <w:rFonts w:ascii="宋体" w:hAnsi="宋体" w:eastAsia="宋体"/>
                <w:sz w:val="16"/>
              </w:rPr>
              <w:t>霍城县惠远烈士纪念设施建设项目</w:t>
            </w:r>
          </w:p>
        </w:tc>
      </w:tr>
      <w:tr w14:paraId="6082D5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BE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88C5C1">
            <w:pPr>
              <w:jc w:val="center"/>
            </w:pPr>
            <w:r>
              <w:rPr>
                <w:rFonts w:ascii="宋体" w:hAnsi="宋体" w:eastAsia="宋体"/>
                <w:sz w:val="16"/>
              </w:rPr>
              <w:t>霍城县退役军人事务局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C0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812A78">
            <w:pPr>
              <w:jc w:val="center"/>
            </w:pPr>
            <w:r>
              <w:rPr>
                <w:rFonts w:ascii="宋体" w:hAnsi="宋体" w:eastAsia="宋体"/>
                <w:sz w:val="16"/>
              </w:rPr>
              <w:t>霍城县退役军人事务局</w:t>
            </w:r>
          </w:p>
        </w:tc>
      </w:tr>
      <w:tr w14:paraId="27CBE7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D213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340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B87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AD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A33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36D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558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2BED">
            <w:pPr>
              <w:jc w:val="center"/>
            </w:pPr>
            <w:r>
              <w:rPr>
                <w:rFonts w:ascii="宋体" w:hAnsi="宋体" w:eastAsia="宋体"/>
                <w:sz w:val="16"/>
              </w:rPr>
              <w:t>得分</w:t>
            </w:r>
          </w:p>
        </w:tc>
      </w:tr>
      <w:tr w14:paraId="73D5B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83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BBD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0252">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0039">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022C">
            <w:pPr>
              <w:jc w:val="center"/>
            </w:pPr>
            <w:r>
              <w:rPr>
                <w:rFonts w:ascii="宋体" w:hAnsi="宋体" w:eastAsia="宋体"/>
                <w:sz w:val="16"/>
              </w:rPr>
              <w:t>520.11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D6E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F523B">
            <w:pPr>
              <w:jc w:val="center"/>
            </w:pPr>
            <w:r>
              <w:rPr>
                <w:rFonts w:ascii="宋体" w:hAnsi="宋体" w:eastAsia="宋体"/>
                <w:sz w:val="16"/>
              </w:rPr>
              <w:t>65.01%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602B">
            <w:pPr>
              <w:jc w:val="center"/>
            </w:pPr>
            <w:r>
              <w:rPr>
                <w:rFonts w:ascii="宋体" w:hAnsi="宋体" w:eastAsia="宋体"/>
                <w:sz w:val="16"/>
              </w:rPr>
              <w:t>1.25</w:t>
            </w:r>
          </w:p>
        </w:tc>
      </w:tr>
      <w:tr w14:paraId="1625B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EE6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5F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B5F7">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E846">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5930">
            <w:pPr>
              <w:jc w:val="center"/>
            </w:pPr>
            <w:r>
              <w:rPr>
                <w:rFonts w:ascii="宋体" w:hAnsi="宋体" w:eastAsia="宋体"/>
                <w:sz w:val="16"/>
              </w:rPr>
              <w:t>520.11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02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C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D768">
            <w:pPr>
              <w:jc w:val="center"/>
            </w:pPr>
            <w:r>
              <w:rPr>
                <w:rFonts w:ascii="宋体" w:hAnsi="宋体" w:eastAsia="宋体"/>
                <w:sz w:val="16"/>
              </w:rPr>
              <w:t>—</w:t>
            </w:r>
          </w:p>
        </w:tc>
      </w:tr>
      <w:tr w14:paraId="63A35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F43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DA5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FF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8FB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CFD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C15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E1E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2EB6">
            <w:pPr>
              <w:jc w:val="center"/>
            </w:pPr>
            <w:r>
              <w:rPr>
                <w:rFonts w:ascii="宋体" w:hAnsi="宋体" w:eastAsia="宋体"/>
                <w:sz w:val="16"/>
              </w:rPr>
              <w:t>—</w:t>
            </w:r>
          </w:p>
        </w:tc>
      </w:tr>
      <w:tr w14:paraId="3F439C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5F24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00A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42251">
            <w:pPr>
              <w:jc w:val="center"/>
            </w:pPr>
            <w:r>
              <w:rPr>
                <w:rFonts w:ascii="宋体" w:hAnsi="宋体" w:eastAsia="宋体"/>
                <w:sz w:val="16"/>
              </w:rPr>
              <w:t>实际完成情况</w:t>
            </w:r>
          </w:p>
        </w:tc>
      </w:tr>
      <w:tr w14:paraId="37AE4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693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6D473">
            <w:pPr>
              <w:jc w:val="both"/>
            </w:pPr>
            <w:r>
              <w:rPr>
                <w:rFonts w:ascii="宋体" w:hAnsi="宋体" w:eastAsia="宋体"/>
                <w:sz w:val="16"/>
              </w:rPr>
              <w:t>根据发改社会</w:t>
            </w:r>
            <w:r>
              <w:rPr>
                <w:rFonts w:hint="eastAsia" w:ascii="宋体" w:hAnsi="宋体"/>
                <w:sz w:val="16"/>
                <w:lang w:eastAsia="zh-CN"/>
              </w:rPr>
              <w:t>〔2021〕560号</w:t>
            </w:r>
            <w:r>
              <w:rPr>
                <w:rFonts w:ascii="宋体" w:hAnsi="宋体" w:eastAsia="宋体"/>
                <w:sz w:val="16"/>
              </w:rPr>
              <w:t>，关于印发《“十四五”时期社会服务设施兜底线工程实施方案》的通知，改扩建纪念堂馆面积1198平方米，87座墓碑、浮雕、雕塑。提升烈士陵园整体品质及形象。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E6E2A">
            <w:pPr>
              <w:jc w:val="both"/>
            </w:pPr>
            <w:r>
              <w:rPr>
                <w:rFonts w:ascii="宋体" w:hAnsi="宋体" w:eastAsia="宋体"/>
                <w:sz w:val="16"/>
              </w:rPr>
              <w:t>2024年已完成改扩建纪念堂馆面积778.7平方米，57座墓碑、浮雕、雕塑。提升烈士陵园整体品质及形象。</w:t>
            </w:r>
          </w:p>
        </w:tc>
      </w:tr>
      <w:tr w14:paraId="78F05B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73D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E2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CC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7C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29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C6E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3A0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79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443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8D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21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D1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7A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88A2">
            <w:pPr>
              <w:jc w:val="center"/>
            </w:pPr>
            <w:r>
              <w:rPr>
                <w:rFonts w:ascii="宋体" w:hAnsi="宋体" w:eastAsia="宋体"/>
                <w:sz w:val="16"/>
              </w:rPr>
              <w:t>偏差原因分析及改进措施</w:t>
            </w:r>
          </w:p>
        </w:tc>
      </w:tr>
      <w:tr w14:paraId="71139F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73E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00D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DBE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31DB">
            <w:pPr>
              <w:jc w:val="center"/>
            </w:pPr>
            <w:r>
              <w:rPr>
                <w:rFonts w:ascii="宋体" w:hAnsi="宋体" w:eastAsia="宋体"/>
                <w:sz w:val="16"/>
              </w:rPr>
              <w:t>改扩建纪念堂馆面积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E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12E1">
            <w:pPr>
              <w:jc w:val="center"/>
            </w:pPr>
            <w:r>
              <w:rPr>
                <w:rFonts w:ascii="宋体" w:hAnsi="宋体" w:eastAsia="宋体"/>
                <w:sz w:val="16"/>
              </w:rPr>
              <w:t>=1198平方米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7FFA">
            <w:pPr>
              <w:jc w:val="center"/>
            </w:pPr>
            <w:r>
              <w:rPr>
                <w:rFonts w:ascii="宋体" w:hAnsi="宋体" w:eastAsia="宋体"/>
                <w:sz w:val="16"/>
              </w:rPr>
              <w:t>778.7平方米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103F">
            <w:pPr>
              <w:jc w:val="center"/>
            </w:pPr>
            <w:r>
              <w:rPr>
                <w:rFonts w:ascii="宋体" w:hAnsi="宋体" w:eastAsia="宋体"/>
                <w:sz w:val="16"/>
              </w:rPr>
              <w:t>65.11%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C39E">
            <w:pPr>
              <w:jc w:val="center"/>
            </w:pPr>
            <w:r>
              <w:rPr>
                <w:rFonts w:ascii="宋体" w:hAnsi="宋体" w:eastAsia="宋体"/>
                <w:sz w:val="16"/>
              </w:rPr>
              <w:t>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B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F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0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6A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E7B0">
            <w:pPr>
              <w:jc w:val="center"/>
            </w:pPr>
            <w:r>
              <w:rPr>
                <w:rFonts w:hint="eastAsia" w:ascii="宋体" w:hAnsi="宋体"/>
                <w:sz w:val="16"/>
                <w:lang w:eastAsia="zh-CN"/>
              </w:rPr>
              <w:t>1.</w:t>
            </w:r>
            <w:r>
              <w:rPr>
                <w:rFonts w:ascii="宋体" w:hAnsi="宋体" w:eastAsia="宋体"/>
                <w:sz w:val="16"/>
              </w:rPr>
              <w:t>审核流程繁琐、复杂</w:t>
            </w:r>
            <w:r>
              <w:rPr>
                <w:rFonts w:hint="eastAsia" w:ascii="宋体" w:hAnsi="宋体"/>
                <w:sz w:val="16"/>
                <w:lang w:eastAsia="zh-CN"/>
              </w:rPr>
              <w:t>。</w:t>
            </w:r>
            <w:r>
              <w:rPr>
                <w:rFonts w:ascii="宋体" w:hAnsi="宋体" w:eastAsia="宋体"/>
                <w:sz w:val="16"/>
              </w:rPr>
              <w:t>2、此项目是2年的工期</w:t>
            </w:r>
          </w:p>
        </w:tc>
      </w:tr>
      <w:tr w14:paraId="6BB4C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F0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2E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BF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06C6">
            <w:pPr>
              <w:jc w:val="center"/>
            </w:pPr>
            <w:r>
              <w:rPr>
                <w:rFonts w:ascii="宋体" w:hAnsi="宋体" w:eastAsia="宋体"/>
                <w:sz w:val="16"/>
              </w:rPr>
              <w:t>改扩建墓碑、浮雕墙、英名墙、雕塑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F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0597">
            <w:pPr>
              <w:jc w:val="center"/>
            </w:pPr>
            <w:r>
              <w:rPr>
                <w:rFonts w:ascii="宋体" w:hAnsi="宋体" w:eastAsia="宋体"/>
                <w:sz w:val="16"/>
              </w:rPr>
              <w:t>=87座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9B59">
            <w:pPr>
              <w:jc w:val="center"/>
            </w:pPr>
            <w:r>
              <w:rPr>
                <w:rFonts w:ascii="宋体" w:hAnsi="宋体" w:eastAsia="宋体"/>
                <w:sz w:val="16"/>
              </w:rPr>
              <w:t>57座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411F">
            <w:pPr>
              <w:jc w:val="center"/>
            </w:pPr>
            <w:r>
              <w:rPr>
                <w:rFonts w:ascii="宋体" w:hAnsi="宋体" w:eastAsia="宋体"/>
                <w:sz w:val="16"/>
              </w:rPr>
              <w:t>65.61%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3ED0">
            <w:pPr>
              <w:jc w:val="center"/>
            </w:pPr>
            <w:r>
              <w:rPr>
                <w:rFonts w:ascii="宋体" w:hAnsi="宋体" w:eastAsia="宋体"/>
                <w:sz w:val="16"/>
              </w:rPr>
              <w:t>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E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AD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A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F0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15CF">
            <w:pPr>
              <w:jc w:val="center"/>
            </w:pPr>
            <w:r>
              <w:rPr>
                <w:rFonts w:hint="eastAsia" w:ascii="宋体" w:hAnsi="宋体"/>
                <w:sz w:val="16"/>
                <w:lang w:eastAsia="zh-CN"/>
              </w:rPr>
              <w:t>1.</w:t>
            </w:r>
            <w:r>
              <w:rPr>
                <w:rFonts w:ascii="宋体" w:hAnsi="宋体" w:eastAsia="宋体"/>
                <w:sz w:val="16"/>
              </w:rPr>
              <w:t>审核流程繁琐、复杂</w:t>
            </w:r>
            <w:r>
              <w:rPr>
                <w:rFonts w:hint="eastAsia" w:ascii="宋体" w:hAnsi="宋体"/>
                <w:sz w:val="16"/>
                <w:lang w:eastAsia="zh-CN"/>
              </w:rPr>
              <w:t>。</w:t>
            </w:r>
            <w:r>
              <w:rPr>
                <w:rFonts w:ascii="宋体" w:hAnsi="宋体" w:eastAsia="宋体"/>
                <w:sz w:val="16"/>
              </w:rPr>
              <w:t>2、此项目是2年的工期</w:t>
            </w:r>
          </w:p>
        </w:tc>
      </w:tr>
      <w:tr w14:paraId="2426F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44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87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5B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14EE">
            <w:pPr>
              <w:jc w:val="center"/>
            </w:pPr>
            <w:r>
              <w:rPr>
                <w:rFonts w:ascii="宋体" w:hAnsi="宋体" w:eastAsia="宋体"/>
                <w:sz w:val="16"/>
              </w:rPr>
              <w:t>工程建设使用时间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E9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78B6">
            <w:pPr>
              <w:jc w:val="center"/>
            </w:pPr>
            <w:r>
              <w:rPr>
                <w:rFonts w:ascii="宋体" w:hAnsi="宋体" w:eastAsia="宋体"/>
                <w:sz w:val="16"/>
              </w:rPr>
              <w:t>&gt;=10年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E840">
            <w:pPr>
              <w:jc w:val="center"/>
            </w:pPr>
            <w:r>
              <w:rPr>
                <w:rFonts w:ascii="宋体" w:hAnsi="宋体" w:eastAsia="宋体"/>
                <w:sz w:val="16"/>
              </w:rPr>
              <w: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2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4A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D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B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1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D5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59B8">
            <w:pPr>
              <w:jc w:val="center"/>
            </w:pPr>
          </w:p>
        </w:tc>
      </w:tr>
      <w:tr w14:paraId="07735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34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CD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4E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CBBD">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BB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F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3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9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87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74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41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1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15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7655">
            <w:pPr>
              <w:jc w:val="center"/>
            </w:pPr>
          </w:p>
        </w:tc>
      </w:tr>
      <w:tr w14:paraId="74D34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C28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D91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0F2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3666">
            <w:pPr>
              <w:jc w:val="center"/>
            </w:pPr>
            <w:r>
              <w:rPr>
                <w:rFonts w:ascii="宋体" w:hAnsi="宋体" w:eastAsia="宋体"/>
                <w:sz w:val="16"/>
              </w:rPr>
              <w:t>改扩建纪念堂馆资金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FE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F130">
            <w:pPr>
              <w:jc w:val="center"/>
            </w:pPr>
            <w:r>
              <w:rPr>
                <w:rFonts w:ascii="宋体" w:hAnsi="宋体" w:eastAsia="宋体"/>
                <w:sz w:val="16"/>
              </w:rPr>
              <w:t>&lt;=601.02万元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D05C">
            <w:pPr>
              <w:jc w:val="center"/>
            </w:pPr>
            <w:r>
              <w:rPr>
                <w:rFonts w:ascii="宋体" w:hAnsi="宋体" w:eastAsia="宋体"/>
                <w:sz w:val="16"/>
              </w:rPr>
              <w:t>397.41万元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30C3">
            <w:pPr>
              <w:jc w:val="center"/>
            </w:pPr>
            <w:r>
              <w:rPr>
                <w:rFonts w:ascii="宋体" w:hAnsi="宋体" w:eastAsia="宋体"/>
                <w:sz w:val="16"/>
              </w:rPr>
              <w:t>66.12%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563C">
            <w:pPr>
              <w:jc w:val="center"/>
            </w:pPr>
            <w:r>
              <w:rPr>
                <w:rFonts w:ascii="宋体" w:hAnsi="宋体" w:eastAsia="宋体"/>
                <w:sz w:val="16"/>
              </w:rPr>
              <w:t>6.61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A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94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6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59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F282">
            <w:pPr>
              <w:jc w:val="center"/>
            </w:pPr>
            <w:r>
              <w:rPr>
                <w:rFonts w:hint="eastAsia" w:ascii="宋体" w:hAnsi="宋体"/>
                <w:sz w:val="16"/>
                <w:lang w:eastAsia="zh-CN"/>
              </w:rPr>
              <w:t>1.</w:t>
            </w:r>
            <w:r>
              <w:rPr>
                <w:rFonts w:ascii="宋体" w:hAnsi="宋体" w:eastAsia="宋体"/>
                <w:sz w:val="16"/>
              </w:rPr>
              <w:t>审核流程繁琐、复杂</w:t>
            </w:r>
            <w:r>
              <w:rPr>
                <w:rFonts w:hint="eastAsia" w:ascii="宋体" w:hAnsi="宋体"/>
                <w:sz w:val="16"/>
                <w:lang w:eastAsia="zh-CN"/>
              </w:rPr>
              <w:t>。</w:t>
            </w:r>
            <w:r>
              <w:rPr>
                <w:rFonts w:ascii="宋体" w:hAnsi="宋体" w:eastAsia="宋体"/>
                <w:sz w:val="16"/>
              </w:rPr>
              <w:t>2、此项目是2年的工期</w:t>
            </w:r>
          </w:p>
        </w:tc>
      </w:tr>
      <w:tr w14:paraId="231D3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2F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6C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7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F0B5">
            <w:pPr>
              <w:jc w:val="center"/>
            </w:pPr>
            <w:r>
              <w:rPr>
                <w:rFonts w:ascii="宋体" w:hAnsi="宋体" w:eastAsia="宋体"/>
                <w:sz w:val="16"/>
              </w:rPr>
              <w:t>改扩建墓碑金额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0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021A">
            <w:pPr>
              <w:jc w:val="center"/>
            </w:pPr>
            <w:r>
              <w:rPr>
                <w:rFonts w:ascii="宋体" w:hAnsi="宋体" w:eastAsia="宋体"/>
                <w:sz w:val="16"/>
              </w:rPr>
              <w:t>&lt;=198.98万元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7203">
            <w:pPr>
              <w:jc w:val="center"/>
            </w:pPr>
            <w:r>
              <w:rPr>
                <w:rFonts w:ascii="宋体" w:hAnsi="宋体" w:eastAsia="宋体"/>
                <w:sz w:val="16"/>
              </w:rPr>
              <w:t>130.37万元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5A95">
            <w:pPr>
              <w:jc w:val="center"/>
            </w:pPr>
            <w:r>
              <w:rPr>
                <w:rFonts w:ascii="宋体" w:hAnsi="宋体" w:eastAsia="宋体"/>
                <w:sz w:val="16"/>
              </w:rPr>
              <w:t>65.51%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8D72">
            <w:pPr>
              <w:jc w:val="center"/>
            </w:pPr>
            <w:r>
              <w:rPr>
                <w:rFonts w:ascii="宋体" w:hAnsi="宋体" w:eastAsia="宋体"/>
                <w:sz w:val="16"/>
              </w:rPr>
              <w:t>6.55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17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9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11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57D2">
            <w:pPr>
              <w:jc w:val="center"/>
            </w:pPr>
            <w:r>
              <w:rPr>
                <w:rFonts w:hint="eastAsia" w:ascii="宋体" w:hAnsi="宋体"/>
                <w:sz w:val="16"/>
                <w:lang w:eastAsia="zh-CN"/>
              </w:rPr>
              <w:t>1.</w:t>
            </w:r>
            <w:r>
              <w:rPr>
                <w:rFonts w:ascii="宋体" w:hAnsi="宋体" w:eastAsia="宋体"/>
                <w:sz w:val="16"/>
              </w:rPr>
              <w:t>审核流程繁琐、复杂</w:t>
            </w:r>
            <w:r>
              <w:rPr>
                <w:rFonts w:hint="eastAsia" w:ascii="宋体" w:hAnsi="宋体"/>
                <w:sz w:val="16"/>
                <w:lang w:eastAsia="zh-CN"/>
              </w:rPr>
              <w:t>。</w:t>
            </w:r>
            <w:r>
              <w:rPr>
                <w:rFonts w:ascii="宋体" w:hAnsi="宋体" w:eastAsia="宋体"/>
                <w:sz w:val="16"/>
              </w:rPr>
              <w:t>2、此项目是2年的工期</w:t>
            </w:r>
          </w:p>
        </w:tc>
      </w:tr>
      <w:tr w14:paraId="22800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4E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FC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BD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2E2B">
            <w:pPr>
              <w:jc w:val="center"/>
            </w:pPr>
            <w:r>
              <w:rPr>
                <w:rFonts w:ascii="宋体" w:hAnsi="宋体" w:eastAsia="宋体"/>
                <w:sz w:val="16"/>
              </w:rPr>
              <w:t>提升烈士陵园整体品质及形象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91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6B8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80B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7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0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F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AA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77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E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7F70">
            <w:pPr>
              <w:jc w:val="center"/>
            </w:pPr>
          </w:p>
        </w:tc>
      </w:tr>
      <w:tr w14:paraId="123B5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8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0E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35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0D65">
            <w:pPr>
              <w:jc w:val="center"/>
            </w:pPr>
            <w:r>
              <w:rPr>
                <w:rFonts w:ascii="宋体" w:hAnsi="宋体" w:eastAsia="宋体"/>
                <w:sz w:val="16"/>
              </w:rPr>
              <w:t>烈士家属及社会满意度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47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56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C7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8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C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F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2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AD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86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3EDF">
            <w:pPr>
              <w:jc w:val="center"/>
            </w:pPr>
          </w:p>
        </w:tc>
      </w:tr>
      <w:tr w14:paraId="5A8804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32D9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6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F77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EC05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CDE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7D27">
            <w:pPr>
              <w:jc w:val="center"/>
            </w:pPr>
            <w:r>
              <w:rPr>
                <w:rFonts w:ascii="宋体" w:hAnsi="宋体" w:eastAsia="宋体"/>
                <w:sz w:val="16"/>
              </w:rPr>
              <w:t>77.48分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731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EC5D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54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C08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42B417"/>
        </w:tc>
      </w:tr>
    </w:tbl>
    <w:p w14:paraId="7EA114F7">
      <w:r>
        <w:br w:type="page"/>
      </w:r>
    </w:p>
    <w:p w14:paraId="594F0420">
      <w:pPr>
        <w:spacing w:line="640" w:lineRule="exact"/>
        <w:ind w:firstLine="640"/>
        <w:jc w:val="both"/>
        <w:outlineLvl w:val="2"/>
      </w:pPr>
      <w:r>
        <w:rPr>
          <w:rFonts w:ascii="黑体" w:hAnsi="黑体" w:eastAsia="黑体"/>
          <w:sz w:val="32"/>
        </w:rPr>
        <w:t>十二、其他需说明的事项</w:t>
      </w:r>
    </w:p>
    <w:p w14:paraId="194EF008">
      <w:pPr>
        <w:spacing w:line="580" w:lineRule="exact"/>
        <w:ind w:firstLine="640"/>
        <w:jc w:val="both"/>
      </w:pPr>
      <w:r>
        <w:rPr>
          <w:rFonts w:ascii="仿宋_GB2312" w:hAnsi="仿宋_GB2312" w:eastAsia="仿宋_GB2312"/>
          <w:b w:val="0"/>
          <w:sz w:val="32"/>
        </w:rPr>
        <w:t>本年度本单位整体绩效自评表不予公开。</w:t>
      </w:r>
    </w:p>
    <w:p w14:paraId="777E14EF">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67B189B">
      <w:r>
        <w:br w:type="page"/>
      </w:r>
    </w:p>
    <w:p w14:paraId="4610894F">
      <w:pPr>
        <w:spacing w:line="240" w:lineRule="auto"/>
        <w:jc w:val="center"/>
        <w:outlineLvl w:val="1"/>
      </w:pPr>
      <w:r>
        <w:rPr>
          <w:rFonts w:ascii="黑体" w:hAnsi="黑体" w:eastAsia="黑体"/>
          <w:sz w:val="32"/>
        </w:rPr>
        <w:t>第三部分 专业名词解释</w:t>
      </w:r>
    </w:p>
    <w:p w14:paraId="491F94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ED2B1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D9E1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9124C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4D4C8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F7D84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0E551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86633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3756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47E73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0E7CA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AFB4E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0139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6BF3A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53AFAC">
      <w:r>
        <w:br w:type="page"/>
      </w:r>
    </w:p>
    <w:p w14:paraId="386E1942">
      <w:pPr>
        <w:spacing w:line="240" w:lineRule="auto"/>
        <w:jc w:val="center"/>
        <w:outlineLvl w:val="1"/>
      </w:pPr>
      <w:r>
        <w:rPr>
          <w:rFonts w:ascii="黑体" w:hAnsi="黑体" w:eastAsia="黑体"/>
          <w:sz w:val="32"/>
        </w:rPr>
        <w:t>第四部分 部门决算报表（见附表）</w:t>
      </w:r>
    </w:p>
    <w:p w14:paraId="52BC1C6C">
      <w:pPr>
        <w:spacing w:line="240" w:lineRule="auto"/>
        <w:ind w:firstLine="640"/>
        <w:jc w:val="both"/>
      </w:pPr>
      <w:r>
        <w:rPr>
          <w:rFonts w:ascii="仿宋_GB2312" w:hAnsi="仿宋_GB2312" w:eastAsia="仿宋_GB2312"/>
          <w:b w:val="0"/>
          <w:sz w:val="32"/>
        </w:rPr>
        <w:t>一、《收入支出决算总表》</w:t>
      </w:r>
    </w:p>
    <w:p w14:paraId="7F2C0602">
      <w:pPr>
        <w:spacing w:line="240" w:lineRule="auto"/>
        <w:ind w:firstLine="640"/>
        <w:jc w:val="both"/>
      </w:pPr>
      <w:r>
        <w:rPr>
          <w:rFonts w:ascii="仿宋_GB2312" w:hAnsi="仿宋_GB2312" w:eastAsia="仿宋_GB2312"/>
          <w:b w:val="0"/>
          <w:sz w:val="32"/>
        </w:rPr>
        <w:t>二、《收入决算表》</w:t>
      </w:r>
    </w:p>
    <w:p w14:paraId="354D6C56">
      <w:pPr>
        <w:spacing w:line="240" w:lineRule="auto"/>
        <w:ind w:firstLine="640"/>
        <w:jc w:val="both"/>
      </w:pPr>
      <w:r>
        <w:rPr>
          <w:rFonts w:ascii="仿宋_GB2312" w:hAnsi="仿宋_GB2312" w:eastAsia="仿宋_GB2312"/>
          <w:b w:val="0"/>
          <w:sz w:val="32"/>
        </w:rPr>
        <w:t>三、《支出决算表》</w:t>
      </w:r>
    </w:p>
    <w:p w14:paraId="21767E4E">
      <w:pPr>
        <w:spacing w:line="240" w:lineRule="auto"/>
        <w:ind w:firstLine="640"/>
        <w:jc w:val="both"/>
      </w:pPr>
      <w:r>
        <w:rPr>
          <w:rFonts w:ascii="仿宋_GB2312" w:hAnsi="仿宋_GB2312" w:eastAsia="仿宋_GB2312"/>
          <w:b w:val="0"/>
          <w:sz w:val="32"/>
        </w:rPr>
        <w:t>四、《财政拨款收入支出决算总表》</w:t>
      </w:r>
    </w:p>
    <w:p w14:paraId="3EDF71D4">
      <w:pPr>
        <w:spacing w:line="240" w:lineRule="auto"/>
        <w:ind w:firstLine="640"/>
        <w:jc w:val="both"/>
      </w:pPr>
      <w:r>
        <w:rPr>
          <w:rFonts w:ascii="仿宋_GB2312" w:hAnsi="仿宋_GB2312" w:eastAsia="仿宋_GB2312"/>
          <w:b w:val="0"/>
          <w:sz w:val="32"/>
        </w:rPr>
        <w:t>五、《一般公共预算财政拨款支出决算表》</w:t>
      </w:r>
    </w:p>
    <w:p w14:paraId="521F35FF">
      <w:pPr>
        <w:spacing w:line="240" w:lineRule="auto"/>
        <w:ind w:firstLine="640"/>
        <w:jc w:val="both"/>
      </w:pPr>
      <w:r>
        <w:rPr>
          <w:rFonts w:ascii="仿宋_GB2312" w:hAnsi="仿宋_GB2312" w:eastAsia="仿宋_GB2312"/>
          <w:b w:val="0"/>
          <w:sz w:val="32"/>
        </w:rPr>
        <w:t>六、《一般公共预算财政拨款基本支出决算表》</w:t>
      </w:r>
    </w:p>
    <w:p w14:paraId="2F566A07">
      <w:pPr>
        <w:spacing w:line="240" w:lineRule="auto"/>
        <w:ind w:firstLine="640"/>
        <w:jc w:val="both"/>
      </w:pPr>
      <w:r>
        <w:rPr>
          <w:rFonts w:ascii="仿宋_GB2312" w:hAnsi="仿宋_GB2312" w:eastAsia="仿宋_GB2312"/>
          <w:b w:val="0"/>
          <w:sz w:val="32"/>
        </w:rPr>
        <w:t>七、《政府性基金预算财政拨款收入支出决算表》</w:t>
      </w:r>
    </w:p>
    <w:p w14:paraId="77AB8333">
      <w:pPr>
        <w:spacing w:line="240" w:lineRule="auto"/>
        <w:ind w:firstLine="640"/>
        <w:jc w:val="both"/>
      </w:pPr>
      <w:r>
        <w:rPr>
          <w:rFonts w:ascii="仿宋_GB2312" w:hAnsi="仿宋_GB2312" w:eastAsia="仿宋_GB2312"/>
          <w:b w:val="0"/>
          <w:sz w:val="32"/>
        </w:rPr>
        <w:t>八、《国有资本经营预算财政拨款收入支出决算表》</w:t>
      </w:r>
    </w:p>
    <w:p w14:paraId="272BC742">
      <w:pPr>
        <w:spacing w:line="240" w:lineRule="auto"/>
        <w:ind w:firstLine="640"/>
        <w:jc w:val="both"/>
      </w:pPr>
      <w:r>
        <w:rPr>
          <w:rFonts w:ascii="仿宋_GB2312" w:hAnsi="仿宋_GB2312" w:eastAsia="仿宋_GB2312"/>
          <w:b w:val="0"/>
          <w:sz w:val="32"/>
        </w:rPr>
        <w:t>九、《财政拨款“三公”经费支出决算表》</w:t>
      </w:r>
    </w:p>
    <w:p w14:paraId="71BF49C2">
      <w:pPr>
        <w:spacing w:line="240" w:lineRule="auto"/>
        <w:ind w:firstLine="640"/>
        <w:jc w:val="both"/>
      </w:pPr>
    </w:p>
    <w:p w14:paraId="0539917D">
      <w:pPr>
        <w:spacing w:line="240" w:lineRule="auto"/>
        <w:ind w:firstLine="640"/>
        <w:jc w:val="both"/>
      </w:pPr>
    </w:p>
    <w:p w14:paraId="626D2E55">
      <w:pPr>
        <w:spacing w:line="240" w:lineRule="auto"/>
        <w:ind w:firstLine="640"/>
        <w:jc w:val="both"/>
      </w:pPr>
    </w:p>
    <w:p w14:paraId="1C20C1E2">
      <w:pPr>
        <w:spacing w:line="240" w:lineRule="auto"/>
        <w:ind w:firstLine="640"/>
        <w:jc w:val="both"/>
      </w:pPr>
    </w:p>
    <w:p w14:paraId="48679D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6FC29E-EE7E-4FBB-B2DD-E5CB3780B9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9BF1C14-7F5A-456F-9FE1-10AE09B54FA8}"/>
  </w:font>
  <w:font w:name="仿宋_GB2312">
    <w:panose1 w:val="02010609030101010101"/>
    <w:charset w:val="86"/>
    <w:family w:val="auto"/>
    <w:pitch w:val="default"/>
    <w:sig w:usb0="00000001" w:usb1="080E0000" w:usb2="00000000" w:usb3="00000000" w:csb0="00040000" w:csb1="00000000"/>
    <w:embedRegular r:id="rId3" w:fontKey="{FCEBBD17-B38C-4831-9EEC-4D123B034BCB}"/>
  </w:font>
  <w:font w:name="楷体_GB2312">
    <w:panose1 w:val="02010609030101010101"/>
    <w:charset w:val="86"/>
    <w:family w:val="auto"/>
    <w:pitch w:val="default"/>
    <w:sig w:usb0="00000001" w:usb1="080E0000" w:usb2="00000000" w:usb3="00000000" w:csb0="00040000" w:csb1="00000000"/>
    <w:embedRegular r:id="rId4" w:fontKey="{73AA8A22-42F2-4CCF-9992-710CE1437DE4}"/>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454B97"/>
    <w:rsid w:val="0F9811B3"/>
    <w:rsid w:val="11E15093"/>
    <w:rsid w:val="120E0809"/>
    <w:rsid w:val="19071D6C"/>
    <w:rsid w:val="19B5554D"/>
    <w:rsid w:val="1B8F2D19"/>
    <w:rsid w:val="1C317E4F"/>
    <w:rsid w:val="1C472464"/>
    <w:rsid w:val="1DAF458D"/>
    <w:rsid w:val="1E086ACE"/>
    <w:rsid w:val="1E4B5CA5"/>
    <w:rsid w:val="1EAA4A5F"/>
    <w:rsid w:val="1F587A0B"/>
    <w:rsid w:val="1F9B53E7"/>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B778DE"/>
    <w:rsid w:val="464B7E04"/>
    <w:rsid w:val="464F7E64"/>
    <w:rsid w:val="46901EEE"/>
    <w:rsid w:val="469C74D2"/>
    <w:rsid w:val="47445515"/>
    <w:rsid w:val="4B4C0111"/>
    <w:rsid w:val="4BB23021"/>
    <w:rsid w:val="4F3F074E"/>
    <w:rsid w:val="50DB5F45"/>
    <w:rsid w:val="52F92565"/>
    <w:rsid w:val="541A5C08"/>
    <w:rsid w:val="543D17CB"/>
    <w:rsid w:val="55DA564E"/>
    <w:rsid w:val="56E07045"/>
    <w:rsid w:val="583059FA"/>
    <w:rsid w:val="587E6212"/>
    <w:rsid w:val="5AFC6609"/>
    <w:rsid w:val="5E710B1A"/>
    <w:rsid w:val="5E960581"/>
    <w:rsid w:val="5FA17648"/>
    <w:rsid w:val="5FD320BD"/>
    <w:rsid w:val="60DE4D57"/>
    <w:rsid w:val="613409CB"/>
    <w:rsid w:val="61A46A97"/>
    <w:rsid w:val="620360F1"/>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8B7E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7056</Words>
  <Characters>8085</Characters>
  <Lines>0</Lines>
  <Paragraphs>0</Paragraphs>
  <TotalTime>15</TotalTime>
  <ScaleCrop>false</ScaleCrop>
  <LinksUpToDate>false</LinksUpToDate>
  <CharactersWithSpaces>8095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2025-09-25T08:27:35Z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