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0CAEAC">
      <w:r>
        <w:br w:type="page"/>
      </w:r>
    </w:p>
    <w:p w14:paraId="20263292">
      <w:pPr>
        <w:spacing w:line="640" w:lineRule="exact"/>
        <w:jc w:val="center"/>
        <w:outlineLvl w:val="1"/>
      </w:pPr>
      <w:r>
        <w:rPr>
          <w:rFonts w:ascii="黑体" w:hAnsi="黑体" w:eastAsia="黑体"/>
          <w:sz w:val="32"/>
        </w:rPr>
        <w:t>第一部分 单位概况</w:t>
      </w:r>
    </w:p>
    <w:p w14:paraId="06EBB42F">
      <w:pPr>
        <w:spacing w:line="640" w:lineRule="exact"/>
        <w:ind w:firstLine="640"/>
        <w:jc w:val="both"/>
        <w:outlineLvl w:val="2"/>
      </w:pPr>
      <w:r>
        <w:rPr>
          <w:rFonts w:ascii="黑体" w:hAnsi="黑体" w:eastAsia="黑体"/>
          <w:sz w:val="32"/>
        </w:rPr>
        <w:t>一、主要职能</w:t>
      </w:r>
    </w:p>
    <w:p w14:paraId="476A2465">
      <w:pPr>
        <w:spacing w:line="580" w:lineRule="exact"/>
        <w:ind w:firstLine="640"/>
        <w:jc w:val="both"/>
      </w:pPr>
      <w:r>
        <w:rPr>
          <w:rFonts w:ascii="仿宋_GB2312" w:hAnsi="仿宋_GB2312" w:eastAsia="仿宋_GB2312"/>
          <w:sz w:val="32"/>
        </w:rPr>
        <w:t>(一)贯彻执行国家和自治区有关财政、税收方针政策和法律法规，拟订和执行财政、税收发展战略、中长期规划、改革方案及相关政策。拟订乡镇的财政体制和财政分配政策，完善鼓励公益事业发展的财税政策。</w:t>
      </w:r>
    </w:p>
    <w:p w14:paraId="560DD119">
      <w:pPr>
        <w:spacing w:line="580" w:lineRule="exact"/>
        <w:ind w:firstLine="640"/>
        <w:jc w:val="both"/>
      </w:pPr>
      <w:r>
        <w:rPr>
          <w:rFonts w:ascii="仿宋_GB2312" w:hAnsi="仿宋_GB2312" w:eastAsia="仿宋_GB2312"/>
          <w:sz w:val="32"/>
        </w:rPr>
        <w:t>(二)负责全县财政收支管理工作，承担县级财政收支管理的责任。负责编制年度县级财政预决算草案并组织执行；受县政府委托，向县人民代表大会报告全县和县级预算及其执行情况，向县人大常委会报告决算；组织拟订经费开支标准、定额，负责审核批复部门(单位)的年度预决算。</w:t>
      </w:r>
    </w:p>
    <w:p w14:paraId="67073FFA">
      <w:pPr>
        <w:spacing w:line="580" w:lineRule="exact"/>
        <w:ind w:firstLine="640"/>
        <w:jc w:val="both"/>
      </w:pPr>
      <w:r>
        <w:rPr>
          <w:rFonts w:ascii="仿宋_GB2312" w:hAnsi="仿宋_GB2312" w:eastAsia="仿宋_GB2312"/>
          <w:sz w:val="32"/>
        </w:rPr>
        <w:t>(三)组织拟订全县国库管理制度、国库集中收付制度，指导和监督全县国库业务，按规定开展国库现金管理工作。贯彻执行税收法律、法规，协调监督税收政策的执行。拟订全县行政事业单位财务管理制度和对各种财政资金的管理监督办法。</w:t>
      </w:r>
    </w:p>
    <w:p w14:paraId="778055BE">
      <w:pPr>
        <w:spacing w:line="580" w:lineRule="exact"/>
        <w:ind w:firstLine="640"/>
        <w:jc w:val="both"/>
      </w:pPr>
      <w:r>
        <w:rPr>
          <w:rFonts w:ascii="仿宋_GB2312" w:hAnsi="仿宋_GB2312" w:eastAsia="仿宋_GB2312"/>
          <w:sz w:val="32"/>
        </w:rPr>
        <w:t>(四)根据相关法律、法规履行出资人职责，加强国有企业管理工作。负责拟订全县行政事业单位国有资产管理制度，拟订需要全县统一规定的资产配置管理办法，管理全县行政事业单位国有资产；负责拟订政府购买服务政策和相关制度；负责拟订政府采购制度并监督管理。</w:t>
      </w:r>
    </w:p>
    <w:p w14:paraId="3A074B8F">
      <w:pPr>
        <w:spacing w:line="580" w:lineRule="exact"/>
        <w:ind w:firstLine="640"/>
        <w:jc w:val="both"/>
      </w:pPr>
      <w:r>
        <w:rPr>
          <w:rFonts w:ascii="仿宋_GB2312" w:hAnsi="仿宋_GB2312" w:eastAsia="仿宋_GB2312"/>
          <w:sz w:val="32"/>
        </w:rPr>
        <w:t>(五)负责审核和汇总编制全县</w:t>
      </w:r>
      <w:bookmarkStart w:id="0" w:name="_GoBack"/>
      <w:r>
        <w:rPr>
          <w:rFonts w:hint="eastAsia" w:ascii="仿宋_GB2312" w:hAnsi="仿宋_GB2312" w:eastAsia="仿宋_GB2312"/>
          <w:sz w:val="32"/>
          <w:lang w:eastAsia="zh-CN"/>
        </w:rPr>
        <w:t>国有资本经营预算</w:t>
      </w:r>
      <w:bookmarkEnd w:id="0"/>
      <w:r>
        <w:rPr>
          <w:rFonts w:ascii="仿宋_GB2312" w:hAnsi="仿宋_GB2312" w:eastAsia="仿宋_GB2312"/>
          <w:sz w:val="32"/>
        </w:rPr>
        <w:t>草案，拟订全县国有资本经营预算的制度和办法，收取县本级企业国有资本收益，组织贯彻实施企业财务制度，管理资产评估工作，拟订并执行政府与企业的分配制度和办法。</w:t>
      </w:r>
    </w:p>
    <w:p w14:paraId="3E59482F">
      <w:pPr>
        <w:spacing w:line="580" w:lineRule="exact"/>
        <w:ind w:firstLine="640"/>
        <w:jc w:val="both"/>
      </w:pPr>
      <w:r>
        <w:rPr>
          <w:rFonts w:ascii="仿宋_GB2312" w:hAnsi="仿宋_GB2312" w:eastAsia="仿宋_GB2312"/>
          <w:sz w:val="32"/>
        </w:rPr>
        <w:t>(六)执行地方政府债务管理制度和政策，拟订具体管理办法。负责管理地方政府债务，加强乡镇债务管理，防范财政风险。研究建立预算绩效评价体系和财政资金绩效管理机制。组织开展财政资金绩效管理和财政支出绩效评价工作。研究分析金融运行情况；指导金融机构服务实体经济。协调组织防范和处置非法集资、防范化解、处置地方金融风险和突发事件。</w:t>
      </w:r>
    </w:p>
    <w:p w14:paraId="5BC5E1B7">
      <w:pPr>
        <w:spacing w:line="580" w:lineRule="exact"/>
        <w:ind w:firstLine="640"/>
        <w:jc w:val="both"/>
      </w:pPr>
      <w:r>
        <w:rPr>
          <w:rFonts w:ascii="仿宋_GB2312" w:hAnsi="仿宋_GB2312" w:eastAsia="仿宋_GB2312"/>
          <w:sz w:val="32"/>
        </w:rPr>
        <w:t>(七)会同有关部门管理财政社会保障和就业及医疗卫生支出，负责全县各项社会保障资金(基金)的财务管理和监督，编制本县社会保障预决算草案并组织实施。</w:t>
      </w:r>
    </w:p>
    <w:p w14:paraId="29F6BDE0">
      <w:pPr>
        <w:spacing w:line="580" w:lineRule="exact"/>
        <w:ind w:firstLine="640"/>
        <w:jc w:val="both"/>
      </w:pPr>
      <w:r>
        <w:rPr>
          <w:rFonts w:ascii="仿宋_GB2312" w:hAnsi="仿宋_GB2312" w:eastAsia="仿宋_GB2312"/>
          <w:sz w:val="32"/>
        </w:rPr>
        <w:t>(八)负责管理全县的会计工作，宣传贯彻《</w:t>
      </w:r>
      <w:r>
        <w:rPr>
          <w:rFonts w:hint="eastAsia" w:ascii="仿宋_GB2312" w:hAnsi="仿宋_GB2312" w:eastAsia="仿宋_GB2312"/>
          <w:sz w:val="32"/>
          <w:lang w:eastAsia="zh-CN"/>
        </w:rPr>
        <w:t>中华人民共和国会计法</w:t>
      </w:r>
      <w:r>
        <w:rPr>
          <w:rFonts w:ascii="仿宋_GB2312" w:hAnsi="仿宋_GB2312" w:eastAsia="仿宋_GB2312"/>
          <w:sz w:val="32"/>
        </w:rPr>
        <w:t>》及相关会计制度，组织实施内部控制规范、会计信息化，监督和规范会计行为，组织管理会计人员的业务培训。</w:t>
      </w:r>
    </w:p>
    <w:p w14:paraId="6F524671">
      <w:pPr>
        <w:spacing w:line="580" w:lineRule="exact"/>
        <w:ind w:firstLine="640"/>
        <w:jc w:val="both"/>
      </w:pPr>
      <w:r>
        <w:rPr>
          <w:rFonts w:ascii="仿宋_GB2312" w:hAnsi="仿宋_GB2312" w:eastAsia="仿宋_GB2312"/>
          <w:sz w:val="32"/>
        </w:rPr>
        <w:t>(九)监督财税法规、政策的执行情况，组织协调重大或专项财政监督检查和会计监督检查工作，依法查处违法违规行为。</w:t>
      </w:r>
    </w:p>
    <w:p w14:paraId="434C1FBB">
      <w:pPr>
        <w:spacing w:line="580" w:lineRule="exact"/>
        <w:ind w:firstLine="640"/>
        <w:jc w:val="both"/>
      </w:pPr>
      <w:r>
        <w:rPr>
          <w:rFonts w:ascii="仿宋_GB2312" w:hAnsi="仿宋_GB2312" w:eastAsia="仿宋_GB2312"/>
          <w:sz w:val="32"/>
        </w:rPr>
        <w:t>(十)完成县委、县人民政府交办的其他任务。</w:t>
      </w:r>
    </w:p>
    <w:p w14:paraId="17DF1A23">
      <w:pPr>
        <w:spacing w:line="640" w:lineRule="exact"/>
        <w:ind w:firstLine="640"/>
        <w:jc w:val="both"/>
        <w:outlineLvl w:val="2"/>
      </w:pPr>
      <w:r>
        <w:rPr>
          <w:rFonts w:ascii="黑体" w:hAnsi="黑体" w:eastAsia="黑体"/>
          <w:sz w:val="32"/>
        </w:rPr>
        <w:t>二、机构设置及人员情况</w:t>
      </w:r>
    </w:p>
    <w:p w14:paraId="2B212392">
      <w:pPr>
        <w:spacing w:line="580" w:lineRule="exact"/>
        <w:ind w:firstLine="640"/>
        <w:jc w:val="both"/>
      </w:pPr>
      <w:r>
        <w:rPr>
          <w:rFonts w:ascii="仿宋_GB2312" w:hAnsi="仿宋_GB2312" w:eastAsia="仿宋_GB2312"/>
          <w:sz w:val="32"/>
        </w:rPr>
        <w:t>霍城县财政局2024年度，实有人数76人，其中：在职人员48人，减少1人；离休人员0人，增加0人；退休人员28人,增加0人。</w:t>
      </w:r>
    </w:p>
    <w:p w14:paraId="11D38E9F">
      <w:pPr>
        <w:spacing w:line="580" w:lineRule="exact"/>
        <w:ind w:firstLine="640"/>
        <w:jc w:val="both"/>
      </w:pPr>
      <w:r>
        <w:rPr>
          <w:rFonts w:ascii="仿宋_GB2312" w:hAnsi="仿宋_GB2312" w:eastAsia="仿宋_GB2312"/>
          <w:sz w:val="32"/>
        </w:rPr>
        <w:t>霍城县财政局无下属预算单位，下设6个科室，分别是：办公室、综合业务科、农业农村科、国库科、预算科、国有资产保障中心。</w:t>
      </w:r>
    </w:p>
    <w:p w14:paraId="2A889BE7">
      <w:r>
        <w:br w:type="page"/>
      </w:r>
    </w:p>
    <w:p w14:paraId="4CB44D63">
      <w:pPr>
        <w:spacing w:line="240" w:lineRule="auto"/>
        <w:jc w:val="center"/>
        <w:outlineLvl w:val="1"/>
      </w:pPr>
      <w:r>
        <w:rPr>
          <w:rFonts w:ascii="黑体" w:hAnsi="黑体" w:eastAsia="黑体"/>
          <w:sz w:val="32"/>
        </w:rPr>
        <w:t>第二部分 部门决算情况说明</w:t>
      </w:r>
    </w:p>
    <w:p w14:paraId="1C1994F0">
      <w:pPr>
        <w:spacing w:line="640" w:lineRule="exact"/>
        <w:ind w:firstLine="640"/>
        <w:jc w:val="both"/>
        <w:outlineLvl w:val="2"/>
      </w:pPr>
      <w:r>
        <w:rPr>
          <w:rFonts w:ascii="黑体" w:hAnsi="黑体" w:eastAsia="黑体"/>
          <w:sz w:val="32"/>
        </w:rPr>
        <w:t>一、收入支出决算总体情况说明</w:t>
      </w:r>
    </w:p>
    <w:p w14:paraId="6B044CC6">
      <w:pPr>
        <w:spacing w:line="580" w:lineRule="exact"/>
        <w:ind w:firstLine="640"/>
        <w:jc w:val="both"/>
      </w:pPr>
      <w:r>
        <w:rPr>
          <w:rFonts w:ascii="仿宋_GB2312" w:hAnsi="仿宋_GB2312" w:eastAsia="仿宋_GB2312"/>
          <w:b/>
          <w:sz w:val="32"/>
        </w:rPr>
        <w:t>2024年度收入总计2,887.14万元，</w:t>
      </w:r>
      <w:r>
        <w:rPr>
          <w:rFonts w:ascii="仿宋_GB2312" w:hAnsi="仿宋_GB2312" w:eastAsia="仿宋_GB2312"/>
          <w:b w:val="0"/>
          <w:sz w:val="32"/>
        </w:rPr>
        <w:t>其中：本年收入合计2,887.14万元，使用非财政拨款结余（含专用结余）0.00万元，年初结转和结余0.00万元。</w:t>
      </w:r>
    </w:p>
    <w:p w14:paraId="438D1E6A">
      <w:pPr>
        <w:spacing w:line="580" w:lineRule="exact"/>
        <w:ind w:firstLine="640"/>
        <w:jc w:val="both"/>
      </w:pPr>
      <w:r>
        <w:rPr>
          <w:rFonts w:ascii="仿宋_GB2312" w:hAnsi="仿宋_GB2312" w:eastAsia="仿宋_GB2312"/>
          <w:b/>
          <w:sz w:val="32"/>
        </w:rPr>
        <w:t>2024年度支出总计2,887.14万元，</w:t>
      </w:r>
      <w:r>
        <w:rPr>
          <w:rFonts w:ascii="仿宋_GB2312" w:hAnsi="仿宋_GB2312" w:eastAsia="仿宋_GB2312"/>
          <w:b w:val="0"/>
          <w:sz w:val="32"/>
        </w:rPr>
        <w:t>其中：本年支出合计2,880.88万元，结余分配0.00万元，年末结转和结余6.26万元。</w:t>
      </w:r>
    </w:p>
    <w:p w14:paraId="73924E64">
      <w:pPr>
        <w:spacing w:line="580" w:lineRule="exact"/>
        <w:ind w:firstLine="640"/>
        <w:jc w:val="both"/>
      </w:pPr>
      <w:r>
        <w:rPr>
          <w:rFonts w:ascii="仿宋_GB2312" w:hAnsi="仿宋_GB2312" w:eastAsia="仿宋_GB2312"/>
          <w:b w:val="0"/>
          <w:sz w:val="32"/>
        </w:rPr>
        <w:t>收入支出总体与上年相比，减少14,817.15万元，下降83.69%，主要原因是：本年减少芦草沟镇煤改电集中供暖建设项目、霍城县芦草沟镇农村环境整治项目、2021年棚户区改造建设项目等基础设施项目资金等，导致经费较上年减少。</w:t>
      </w:r>
    </w:p>
    <w:p w14:paraId="25E34DE7">
      <w:pPr>
        <w:spacing w:line="640" w:lineRule="exact"/>
        <w:ind w:firstLine="640"/>
        <w:jc w:val="both"/>
        <w:outlineLvl w:val="2"/>
      </w:pPr>
      <w:r>
        <w:rPr>
          <w:rFonts w:ascii="黑体" w:hAnsi="黑体" w:eastAsia="黑体"/>
          <w:sz w:val="32"/>
        </w:rPr>
        <w:t>二、收入决算情况说明</w:t>
      </w:r>
    </w:p>
    <w:p w14:paraId="2FC39DAD">
      <w:pPr>
        <w:spacing w:line="580" w:lineRule="exact"/>
        <w:ind w:firstLine="640"/>
        <w:jc w:val="both"/>
      </w:pPr>
      <w:r>
        <w:rPr>
          <w:rFonts w:ascii="仿宋_GB2312" w:hAnsi="仿宋_GB2312" w:eastAsia="仿宋_GB2312"/>
          <w:b/>
          <w:sz w:val="32"/>
        </w:rPr>
        <w:t>本年收入2,887.14万元，</w:t>
      </w:r>
      <w:r>
        <w:rPr>
          <w:rFonts w:ascii="仿宋_GB2312" w:hAnsi="仿宋_GB2312" w:eastAsia="仿宋_GB2312"/>
          <w:b w:val="0"/>
          <w:sz w:val="32"/>
        </w:rPr>
        <w:t>其中：财政拨款收入2,786.79万元，占96.52%；上级补助收入0.00万元，占0.00%；事业收入0.00万元，占0.00%；经营收入0.00万元，占0.00%；附属单位上缴收入0.00万元，占0.00%；其他收入100.35万元，占3.48%。</w:t>
      </w:r>
    </w:p>
    <w:p w14:paraId="58C1C263">
      <w:pPr>
        <w:spacing w:line="640" w:lineRule="exact"/>
        <w:ind w:firstLine="640"/>
        <w:jc w:val="both"/>
        <w:outlineLvl w:val="2"/>
      </w:pPr>
      <w:r>
        <w:rPr>
          <w:rFonts w:ascii="黑体" w:hAnsi="黑体" w:eastAsia="黑体"/>
          <w:sz w:val="32"/>
        </w:rPr>
        <w:t>三、支出决算情况说明</w:t>
      </w:r>
    </w:p>
    <w:p w14:paraId="53E9AAAE">
      <w:pPr>
        <w:spacing w:line="580" w:lineRule="exact"/>
        <w:ind w:firstLine="640"/>
        <w:jc w:val="both"/>
      </w:pPr>
      <w:r>
        <w:rPr>
          <w:rFonts w:ascii="仿宋_GB2312" w:hAnsi="仿宋_GB2312" w:eastAsia="仿宋_GB2312"/>
          <w:b/>
          <w:sz w:val="32"/>
        </w:rPr>
        <w:t>本年支出2,880.88万元，</w:t>
      </w:r>
      <w:r>
        <w:rPr>
          <w:rFonts w:ascii="仿宋_GB2312" w:hAnsi="仿宋_GB2312" w:eastAsia="仿宋_GB2312"/>
          <w:b w:val="0"/>
          <w:sz w:val="32"/>
        </w:rPr>
        <w:t>其中：基本支出801.28万元，占27.81%；项目支出2,079.60万元，占72.19%；上缴上级支出0.00万元，占0.00%；经营支出0.00万元，占0.00%；对附属单位补助支出0.00万元，占0.00%。</w:t>
      </w:r>
    </w:p>
    <w:p w14:paraId="0C53DF92">
      <w:pPr>
        <w:spacing w:line="640" w:lineRule="exact"/>
        <w:ind w:firstLine="640"/>
        <w:jc w:val="both"/>
        <w:outlineLvl w:val="2"/>
      </w:pPr>
      <w:r>
        <w:rPr>
          <w:rFonts w:ascii="黑体" w:hAnsi="黑体" w:eastAsia="黑体"/>
          <w:sz w:val="32"/>
        </w:rPr>
        <w:t>四、财政拨款收入支出决算总体情况说明</w:t>
      </w:r>
    </w:p>
    <w:p w14:paraId="469184DE">
      <w:pPr>
        <w:spacing w:line="580" w:lineRule="exact"/>
        <w:ind w:firstLine="640"/>
        <w:jc w:val="both"/>
      </w:pPr>
      <w:r>
        <w:rPr>
          <w:rFonts w:ascii="仿宋_GB2312" w:hAnsi="仿宋_GB2312" w:eastAsia="仿宋_GB2312"/>
          <w:b/>
          <w:sz w:val="32"/>
        </w:rPr>
        <w:t>2024年度财政拨款收入总计2,786.79万元，</w:t>
      </w:r>
      <w:r>
        <w:rPr>
          <w:rFonts w:ascii="仿宋_GB2312" w:hAnsi="仿宋_GB2312" w:eastAsia="仿宋_GB2312"/>
          <w:b w:val="0"/>
          <w:sz w:val="32"/>
        </w:rPr>
        <w:t>其中：年初财政拨款结转和结余0.00万元，本年财政拨款收入2,786.79万元。</w:t>
      </w:r>
      <w:r>
        <w:rPr>
          <w:rFonts w:ascii="仿宋_GB2312" w:hAnsi="仿宋_GB2312" w:eastAsia="仿宋_GB2312"/>
          <w:b/>
          <w:sz w:val="32"/>
        </w:rPr>
        <w:t>财政拨款支出总计2,786.79万元，</w:t>
      </w:r>
      <w:r>
        <w:rPr>
          <w:rFonts w:ascii="仿宋_GB2312" w:hAnsi="仿宋_GB2312" w:eastAsia="仿宋_GB2312"/>
          <w:b w:val="0"/>
          <w:sz w:val="32"/>
        </w:rPr>
        <w:t>其中：年末财政拨款结转和结余0.00万元，本年财政拨款支出2,786.79万元。</w:t>
      </w:r>
    </w:p>
    <w:p w14:paraId="3DB3614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减少638.93万元，下降18.65%，主要原因是：本年减少YQ项目资金、死亡抚恤金等资金。</w:t>
      </w:r>
      <w:r>
        <w:rPr>
          <w:rFonts w:ascii="仿宋_GB2312" w:hAnsi="仿宋_GB2312" w:eastAsia="仿宋_GB2312"/>
          <w:b/>
          <w:sz w:val="32"/>
        </w:rPr>
        <w:t>与年初预算相比，</w:t>
      </w:r>
      <w:r>
        <w:rPr>
          <w:rFonts w:ascii="仿宋_GB2312" w:hAnsi="仿宋_GB2312" w:eastAsia="仿宋_GB2312"/>
          <w:b w:val="0"/>
          <w:sz w:val="32"/>
        </w:rPr>
        <w:t>年初预算数1,122.46万元，决算数2,786.79万元，预决算差异率148.28%，主要原因是：年中追加2024年YQ项目资金、2024年上半年经济工作先进单位奖励金项目，导致预决算存在差异。</w:t>
      </w:r>
    </w:p>
    <w:p w14:paraId="68EF7A05">
      <w:pPr>
        <w:spacing w:line="640" w:lineRule="exact"/>
        <w:ind w:firstLine="640"/>
        <w:jc w:val="both"/>
        <w:outlineLvl w:val="2"/>
      </w:pPr>
      <w:r>
        <w:rPr>
          <w:rFonts w:ascii="黑体" w:hAnsi="黑体" w:eastAsia="黑体"/>
          <w:sz w:val="32"/>
        </w:rPr>
        <w:t>五、一般公共预算财政拨款支出决算情况说明</w:t>
      </w:r>
    </w:p>
    <w:p w14:paraId="43FF9848">
      <w:pPr>
        <w:spacing w:line="640" w:lineRule="exact"/>
        <w:ind w:firstLine="640"/>
        <w:jc w:val="both"/>
        <w:outlineLvl w:val="3"/>
      </w:pPr>
      <w:r>
        <w:rPr>
          <w:rFonts w:ascii="楷体_GB2312" w:hAnsi="楷体_GB2312" w:eastAsia="楷体_GB2312"/>
          <w:b/>
          <w:sz w:val="32"/>
        </w:rPr>
        <w:t>（一）一般公共预算财政拨款支出决算总体情况</w:t>
      </w:r>
    </w:p>
    <w:p w14:paraId="62328312">
      <w:pPr>
        <w:spacing w:line="580" w:lineRule="exact"/>
        <w:ind w:firstLine="640"/>
        <w:jc w:val="both"/>
      </w:pPr>
      <w:r>
        <w:rPr>
          <w:rFonts w:ascii="仿宋_GB2312" w:hAnsi="仿宋_GB2312" w:eastAsia="仿宋_GB2312"/>
          <w:b/>
          <w:sz w:val="32"/>
        </w:rPr>
        <w:t>2024年度一般公共预算财政拨款支出2,786.79万元，</w:t>
      </w:r>
      <w:r>
        <w:rPr>
          <w:rFonts w:ascii="仿宋_GB2312" w:hAnsi="仿宋_GB2312" w:eastAsia="仿宋_GB2312"/>
          <w:b w:val="0"/>
          <w:sz w:val="32"/>
        </w:rPr>
        <w:t>占本年支出合计的96.73%。</w:t>
      </w:r>
      <w:r>
        <w:rPr>
          <w:rFonts w:ascii="仿宋_GB2312" w:hAnsi="仿宋_GB2312" w:eastAsia="仿宋_GB2312"/>
          <w:b/>
          <w:sz w:val="32"/>
        </w:rPr>
        <w:t>与上年相比，</w:t>
      </w:r>
      <w:r>
        <w:rPr>
          <w:rFonts w:ascii="仿宋_GB2312" w:hAnsi="仿宋_GB2312" w:eastAsia="仿宋_GB2312"/>
          <w:b w:val="0"/>
          <w:sz w:val="32"/>
        </w:rPr>
        <w:t>减少638.93万元，下降18.65%，主要原因是：本年减少YQ项目资金、死亡抚恤金等资金。</w:t>
      </w:r>
      <w:r>
        <w:rPr>
          <w:rFonts w:ascii="仿宋_GB2312" w:hAnsi="仿宋_GB2312" w:eastAsia="仿宋_GB2312"/>
          <w:b/>
          <w:sz w:val="32"/>
        </w:rPr>
        <w:t>与年初预算相比,</w:t>
      </w:r>
      <w:r>
        <w:rPr>
          <w:rFonts w:ascii="仿宋_GB2312" w:hAnsi="仿宋_GB2312" w:eastAsia="仿宋_GB2312"/>
          <w:b w:val="0"/>
          <w:sz w:val="32"/>
        </w:rPr>
        <w:t>年初预算数1,122.46万元，决算数2,786.79万元，预决算差异率148.28%，主要原因是：年中追加2024年</w:t>
      </w:r>
      <w:r>
        <w:rPr>
          <w:rFonts w:hint="eastAsia" w:ascii="仿宋_GB2312" w:hAnsi="仿宋_GB2312" w:eastAsia="仿宋_GB2312"/>
          <w:b w:val="0"/>
          <w:sz w:val="32"/>
          <w:lang w:eastAsia="zh-CN"/>
        </w:rPr>
        <w:t>防疫</w:t>
      </w:r>
      <w:r>
        <w:rPr>
          <w:rFonts w:ascii="仿宋_GB2312" w:hAnsi="仿宋_GB2312" w:eastAsia="仿宋_GB2312"/>
          <w:b w:val="0"/>
          <w:sz w:val="32"/>
        </w:rPr>
        <w:t>项目资金、2024年上半年经济工作先进单位奖励金项目，导致预决算存在差异。</w:t>
      </w:r>
    </w:p>
    <w:p w14:paraId="6AD4D5D4">
      <w:pPr>
        <w:spacing w:line="640" w:lineRule="exact"/>
        <w:ind w:firstLine="640"/>
        <w:jc w:val="both"/>
        <w:outlineLvl w:val="3"/>
      </w:pPr>
      <w:r>
        <w:rPr>
          <w:rFonts w:ascii="楷体_GB2312" w:hAnsi="楷体_GB2312" w:eastAsia="楷体_GB2312"/>
          <w:b/>
          <w:sz w:val="32"/>
        </w:rPr>
        <w:t>（二）一般公共预算财政拨款支出决算结构情况</w:t>
      </w:r>
    </w:p>
    <w:p w14:paraId="0A44DB6F">
      <w:pPr>
        <w:spacing w:line="580" w:lineRule="exact"/>
        <w:ind w:firstLine="640"/>
        <w:jc w:val="both"/>
      </w:pPr>
      <w:r>
        <w:rPr>
          <w:rFonts w:ascii="仿宋_GB2312" w:hAnsi="仿宋_GB2312" w:eastAsia="仿宋_GB2312"/>
          <w:b w:val="0"/>
          <w:sz w:val="32"/>
        </w:rPr>
        <w:t>1.一般公共服务支出(类)585.12万元,占21.00%。</w:t>
      </w:r>
    </w:p>
    <w:p w14:paraId="48A1B985">
      <w:pPr>
        <w:spacing w:line="580" w:lineRule="exact"/>
        <w:ind w:firstLine="640"/>
        <w:jc w:val="both"/>
      </w:pPr>
      <w:r>
        <w:rPr>
          <w:rFonts w:ascii="仿宋_GB2312" w:hAnsi="仿宋_GB2312" w:eastAsia="仿宋_GB2312"/>
          <w:b w:val="0"/>
          <w:sz w:val="32"/>
        </w:rPr>
        <w:t>2.科学技术支出(类)339.60万元,占12.19%。</w:t>
      </w:r>
    </w:p>
    <w:p w14:paraId="487FCBB3">
      <w:pPr>
        <w:spacing w:line="580" w:lineRule="exact"/>
        <w:ind w:firstLine="640"/>
        <w:jc w:val="both"/>
      </w:pPr>
      <w:r>
        <w:rPr>
          <w:rFonts w:ascii="仿宋_GB2312" w:hAnsi="仿宋_GB2312" w:eastAsia="仿宋_GB2312"/>
          <w:b w:val="0"/>
          <w:sz w:val="32"/>
        </w:rPr>
        <w:t>3.社会保障和就业支出(类)99.16万元,占3.56%。</w:t>
      </w:r>
    </w:p>
    <w:p w14:paraId="336DFD14">
      <w:pPr>
        <w:spacing w:line="580" w:lineRule="exact"/>
        <w:ind w:firstLine="640"/>
        <w:jc w:val="both"/>
      </w:pPr>
      <w:r>
        <w:rPr>
          <w:rFonts w:ascii="仿宋_GB2312" w:hAnsi="仿宋_GB2312" w:eastAsia="仿宋_GB2312"/>
          <w:b w:val="0"/>
          <w:sz w:val="32"/>
        </w:rPr>
        <w:t>4.卫生健康支出(类)1,700.00万元,占61.00%。</w:t>
      </w:r>
    </w:p>
    <w:p w14:paraId="47D9F820">
      <w:pPr>
        <w:spacing w:line="580" w:lineRule="exact"/>
        <w:ind w:firstLine="640"/>
        <w:jc w:val="both"/>
      </w:pPr>
      <w:r>
        <w:rPr>
          <w:rFonts w:ascii="仿宋_GB2312" w:hAnsi="仿宋_GB2312" w:eastAsia="仿宋_GB2312"/>
          <w:b w:val="0"/>
          <w:sz w:val="32"/>
        </w:rPr>
        <w:t>5.住房保障支出(类)62.90万元,占2.26%。</w:t>
      </w:r>
    </w:p>
    <w:p w14:paraId="099F1DB7">
      <w:pPr>
        <w:spacing w:line="640" w:lineRule="exact"/>
        <w:ind w:firstLine="640"/>
        <w:jc w:val="both"/>
        <w:outlineLvl w:val="3"/>
      </w:pPr>
      <w:r>
        <w:rPr>
          <w:rFonts w:ascii="楷体_GB2312" w:hAnsi="楷体_GB2312" w:eastAsia="楷体_GB2312"/>
          <w:b/>
          <w:sz w:val="32"/>
        </w:rPr>
        <w:t>（三）一般公共预算财政拨款支出决算具体情况</w:t>
      </w:r>
    </w:p>
    <w:p w14:paraId="4C564B89">
      <w:pPr>
        <w:spacing w:line="580" w:lineRule="exact"/>
        <w:ind w:firstLine="640"/>
        <w:jc w:val="both"/>
      </w:pPr>
      <w:r>
        <w:rPr>
          <w:rFonts w:ascii="仿宋_GB2312" w:hAnsi="仿宋_GB2312" w:eastAsia="仿宋_GB2312"/>
          <w:b w:val="0"/>
          <w:sz w:val="32"/>
        </w:rPr>
        <w:t>1.一般公共服务支出(类)财政事务(款)行政运行(项):支出决算数为288.45万元，比上年决算增加36.73万元，增长14.59%,主要原因是：本年在职人员工资调增，从事业人员调整至行政人员1人，导致相关人员经费较上年有所增加。</w:t>
      </w:r>
    </w:p>
    <w:p w14:paraId="72D9281A">
      <w:pPr>
        <w:spacing w:line="580" w:lineRule="exact"/>
        <w:ind w:firstLine="640"/>
        <w:jc w:val="both"/>
      </w:pPr>
      <w:r>
        <w:rPr>
          <w:rFonts w:ascii="仿宋_GB2312" w:hAnsi="仿宋_GB2312" w:eastAsia="仿宋_GB2312"/>
          <w:b w:val="0"/>
          <w:sz w:val="32"/>
        </w:rPr>
        <w:t>2.一般公共服务支出(类)财政事务(款)事业运行(项):支出决算数为296.67万元，比上年决算减少6.54万元，下降2.16%,主要原因是：本年从事业人员调整至行政人员1人，导致事业人员经费较上年减少。</w:t>
      </w:r>
    </w:p>
    <w:p w14:paraId="6BCE410D">
      <w:pPr>
        <w:spacing w:line="580" w:lineRule="exact"/>
        <w:ind w:firstLine="640"/>
        <w:jc w:val="both"/>
      </w:pPr>
      <w:r>
        <w:rPr>
          <w:rFonts w:ascii="仿宋_GB2312" w:hAnsi="仿宋_GB2312" w:eastAsia="仿宋_GB2312"/>
          <w:b w:val="0"/>
          <w:sz w:val="32"/>
        </w:rPr>
        <w:t>3.一般公共服务支出(类)财政事务(款)其他财政事务支出(项):支出决算数为0.00万元，比上年决算减少27.00万元，下降100.00%,主要原因是：本年度未安排债券项目咨询费。</w:t>
      </w:r>
    </w:p>
    <w:p w14:paraId="3D6B3B2D">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4.科学技术支出(类)科技条件与服务(款)其他科技条件与服务支出(项):支出决算数为339.60万元，比上年决算增加27.29万元，增长8.74%,主要原因是：本年增加财政信息化业务服务费。</w:t>
      </w:r>
    </w:p>
    <w:p w14:paraId="1F57D31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5.社会保障和就业支出(类)行政事业单位养老支出(款)行政单位离退休(项):支出决算数为12.62万元，比上年决算增加8.07万元，增长177.36%,主要原因是：本年增加退休人员基础绩效奖，退休费支出增加。</w:t>
      </w:r>
    </w:p>
    <w:p w14:paraId="71807003">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6.社会保障和就业支出(类)行政事业单位养老支出(款)事业单位离退休(项):支出决算数为8.33万元，比上年决算增加6.61万元，增长384.30%,主要原因是：本年增加退休人员基础绩效奖，退休费支出增加。</w:t>
      </w:r>
    </w:p>
    <w:p w14:paraId="6C4DB3B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78.22万元，比上年决算增加12.47万元，增长18.97%,主要原因是：本年在职人员工资基数调增，养老缴费基数上涨，相应支出增加。</w:t>
      </w:r>
    </w:p>
    <w:p w14:paraId="40B1A5E4">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18.35万元，下降100.00%,主要原因是：本年无新增退休人员，职业年金缴费较上年减少。</w:t>
      </w:r>
    </w:p>
    <w:p w14:paraId="475B3DE0">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9.社会保障和就业支出(类)抚恤(款)死亡抚恤(项):支出决算数为0.00万元，比上年决算减少55.97万元，下降100.00%,主要原因是：本年无新增死亡人员，死亡抚恤支出较上年减少。</w:t>
      </w:r>
    </w:p>
    <w:p w14:paraId="58FE797D">
      <w:pPr>
        <w:spacing w:line="580" w:lineRule="exact"/>
        <w:ind w:firstLine="640"/>
        <w:jc w:val="both"/>
      </w:pPr>
      <w:r>
        <w:rPr>
          <w:rFonts w:ascii="仿宋_GB2312" w:hAnsi="仿宋_GB2312" w:eastAsia="仿宋_GB2312"/>
          <w:b w:val="0"/>
          <w:sz w:val="32"/>
        </w:rPr>
        <w:t>10.卫生健康支出(类)公共卫生(款)突发公共卫生事件应急处置(项):支出决算数为1,660.00万元，比上年决算减少622.32万元，下降27.27%,主要原因是：本年减少YQ项目资金。</w:t>
      </w:r>
    </w:p>
    <w:p w14:paraId="62EA51D7">
      <w:pPr>
        <w:spacing w:line="580" w:lineRule="exact"/>
        <w:ind w:firstLine="640"/>
        <w:jc w:val="both"/>
      </w:pPr>
      <w:r>
        <w:rPr>
          <w:rFonts w:ascii="仿宋_GB2312" w:hAnsi="仿宋_GB2312" w:eastAsia="仿宋_GB2312"/>
          <w:b w:val="0"/>
          <w:sz w:val="32"/>
        </w:rPr>
        <w:t>11.卫生健康支出(类)行政事业单位医疗(款)行政单位医疗(项):支出决算数为18.48万元，比上年决算减少5.70万元，下降23.57%,主要原因是：因退休人员医疗保险制度改革，退休人员基本医疗不再由单位缴纳，导致经费较上年减少。</w:t>
      </w:r>
    </w:p>
    <w:p w14:paraId="46184038">
      <w:pPr>
        <w:spacing w:line="580" w:lineRule="exact"/>
        <w:ind w:firstLine="640"/>
        <w:jc w:val="both"/>
      </w:pPr>
      <w:r>
        <w:rPr>
          <w:rFonts w:ascii="仿宋_GB2312" w:hAnsi="仿宋_GB2312" w:eastAsia="仿宋_GB2312"/>
          <w:b w:val="0"/>
          <w:sz w:val="32"/>
        </w:rPr>
        <w:t>12.卫生健康支出(类)行政事业单位医疗(款)事业单位医疗(项):支出决算数为21.10万元，比上年决算减少1.75万元，下降7.66%,主要原因是：因退休人员医疗保险制度改革，退休人员基本医疗不再由单位缴纳，导致经费较上年减少。</w:t>
      </w:r>
    </w:p>
    <w:p w14:paraId="2298367C">
      <w:pPr>
        <w:spacing w:line="580" w:lineRule="exact"/>
        <w:ind w:firstLine="640"/>
        <w:jc w:val="both"/>
      </w:pPr>
      <w:r>
        <w:rPr>
          <w:rFonts w:ascii="仿宋_GB2312" w:hAnsi="仿宋_GB2312" w:eastAsia="仿宋_GB2312"/>
          <w:b w:val="0"/>
          <w:sz w:val="32"/>
        </w:rPr>
        <w:t>13.卫生健康支出(类)行政事业单位医疗(款)公务员医疗补助(项):支出决算数为0.43万元，比上年决算减少1.18万元，下降73.29%,主要原因是：因退休人员医疗保险制度改革，退休人员基本医疗不再由单位缴纳，导致经费较上年减少。</w:t>
      </w:r>
    </w:p>
    <w:p w14:paraId="22FD5734">
      <w:pPr>
        <w:spacing w:line="580" w:lineRule="exact"/>
        <w:ind w:firstLine="640"/>
        <w:jc w:val="both"/>
      </w:pPr>
      <w:r>
        <w:rPr>
          <w:rFonts w:ascii="仿宋_GB2312" w:hAnsi="仿宋_GB2312" w:eastAsia="仿宋_GB2312"/>
          <w:b w:val="0"/>
          <w:sz w:val="32"/>
        </w:rPr>
        <w:t>14.住房保障支出(类)住房改革支出(款)住房公积金(项):支出决算数为62.90万元，比上年决算增加8.72万元，增长16.09%,主要原因是：本年在职人员工资基数调增，公积金缴费基数上涨，相应支出增加。</w:t>
      </w:r>
    </w:p>
    <w:p w14:paraId="1F112FCF">
      <w:pPr>
        <w:spacing w:line="640" w:lineRule="exact"/>
        <w:ind w:firstLine="640"/>
        <w:jc w:val="both"/>
        <w:outlineLvl w:val="2"/>
      </w:pPr>
      <w:r>
        <w:rPr>
          <w:rFonts w:ascii="黑体" w:hAnsi="黑体" w:eastAsia="黑体"/>
          <w:sz w:val="32"/>
        </w:rPr>
        <w:t>六、一般公共预算财政拨款基本支出决算情况说明</w:t>
      </w:r>
    </w:p>
    <w:p w14:paraId="5B6DD713">
      <w:pPr>
        <w:spacing w:line="580" w:lineRule="exact"/>
        <w:ind w:firstLine="640"/>
        <w:jc w:val="both"/>
      </w:pPr>
      <w:r>
        <w:rPr>
          <w:rFonts w:ascii="仿宋_GB2312" w:hAnsi="仿宋_GB2312" w:eastAsia="仿宋_GB2312"/>
          <w:b w:val="0"/>
          <w:sz w:val="32"/>
        </w:rPr>
        <w:t>2024年度一般公共预算财政拨款基本支出787.19万元，其中：</w:t>
      </w:r>
      <w:r>
        <w:rPr>
          <w:rFonts w:ascii="仿宋_GB2312" w:hAnsi="仿宋_GB2312" w:eastAsia="仿宋_GB2312"/>
          <w:b/>
          <w:sz w:val="32"/>
        </w:rPr>
        <w:t>人员经费757.22万元，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14:paraId="09AD6596">
      <w:pPr>
        <w:spacing w:line="580" w:lineRule="exact"/>
        <w:ind w:firstLine="640"/>
        <w:jc w:val="both"/>
      </w:pPr>
      <w:r>
        <w:rPr>
          <w:rFonts w:ascii="仿宋_GB2312" w:hAnsi="仿宋_GB2312" w:eastAsia="仿宋_GB2312"/>
          <w:b/>
          <w:sz w:val="32"/>
        </w:rPr>
        <w:t>公用经费29.96万元，</w:t>
      </w:r>
      <w:r>
        <w:rPr>
          <w:rFonts w:ascii="仿宋_GB2312" w:hAnsi="仿宋_GB2312" w:eastAsia="仿宋_GB2312"/>
          <w:b w:val="0"/>
          <w:sz w:val="32"/>
        </w:rPr>
        <w:t>包括：办公费、邮电费、差旅费、培训费、委托业务费、工会经费、福利费、公务用车运行维护费、办公设备购置。</w:t>
      </w:r>
    </w:p>
    <w:p w14:paraId="554BFBED">
      <w:pPr>
        <w:spacing w:line="640" w:lineRule="exact"/>
        <w:ind w:firstLine="640"/>
        <w:jc w:val="both"/>
        <w:outlineLvl w:val="2"/>
      </w:pPr>
      <w:r>
        <w:rPr>
          <w:rFonts w:ascii="黑体" w:hAnsi="黑体" w:eastAsia="黑体"/>
          <w:sz w:val="32"/>
        </w:rPr>
        <w:t>七、政府性基金预算财政拨款收入支出决算情况说明</w:t>
      </w:r>
    </w:p>
    <w:p w14:paraId="594CBB2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16F094">
      <w:pPr>
        <w:spacing w:line="640" w:lineRule="exact"/>
        <w:ind w:firstLine="640"/>
        <w:jc w:val="both"/>
        <w:outlineLvl w:val="2"/>
      </w:pPr>
      <w:r>
        <w:rPr>
          <w:rFonts w:ascii="黑体" w:hAnsi="黑体" w:eastAsia="黑体"/>
          <w:sz w:val="32"/>
        </w:rPr>
        <w:t>八、国有资本经营预算财政拨款收入支出决算情况说明</w:t>
      </w:r>
    </w:p>
    <w:p w14:paraId="7FA3424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FBDA2A">
      <w:pPr>
        <w:spacing w:line="640" w:lineRule="exact"/>
        <w:ind w:firstLine="640"/>
        <w:jc w:val="both"/>
        <w:outlineLvl w:val="2"/>
      </w:pPr>
      <w:r>
        <w:rPr>
          <w:rFonts w:ascii="黑体" w:hAnsi="黑体" w:eastAsia="黑体"/>
          <w:sz w:val="32"/>
        </w:rPr>
        <w:t>九、财政拨款“三公”经费支出决算情况说明</w:t>
      </w:r>
    </w:p>
    <w:p w14:paraId="48EEB05B">
      <w:pPr>
        <w:spacing w:line="580" w:lineRule="exact"/>
        <w:ind w:firstLine="640"/>
        <w:jc w:val="both"/>
      </w:pPr>
      <w:r>
        <w:rPr>
          <w:rFonts w:ascii="仿宋_GB2312" w:hAnsi="仿宋_GB2312" w:eastAsia="仿宋_GB2312"/>
          <w:b/>
          <w:sz w:val="32"/>
        </w:rPr>
        <w:t>2024年度财政拨款“三公”经费支出5.53万元，</w:t>
      </w:r>
      <w:r>
        <w:rPr>
          <w:rFonts w:ascii="仿宋_GB2312" w:hAnsi="仿宋_GB2312" w:eastAsia="仿宋_GB2312"/>
          <w:b w:val="0"/>
          <w:sz w:val="32"/>
        </w:rPr>
        <w:t>比上年减少0.70万元，下降11.24%，主要原因是：严格落实中央八项规定精神，厉行节约，减少车辆使用频次，公务用车运行维护费、未安排公务接待费，导致财政拨款“三公”经费支出减少。其中：因公出国（境）费支出0.00万元，占0.00%，比上年增加0.00万元，增长0.00%，主要原因是：2023年与2024年均未安排因公出国（境）费支出。公务用车购置及运行维护费支出5.53万元，占100.00%，比上年减少0.40万元，下降6.75%，主要原因是：严格落实中央八项规定精神，厉行节约，减少车辆使用频次，公务用车运行维护费。公务接待费支出0.00万元，占0.00%，比上年减少0.30万元，下降100.00%，主要原因是：本年未安排公务接待，导致公务接待费较上年减少。</w:t>
      </w:r>
    </w:p>
    <w:p w14:paraId="6AB29E97">
      <w:pPr>
        <w:spacing w:line="580" w:lineRule="exact"/>
        <w:ind w:firstLine="640"/>
        <w:jc w:val="both"/>
      </w:pPr>
      <w:r>
        <w:rPr>
          <w:rFonts w:ascii="仿宋_GB2312" w:hAnsi="仿宋_GB2312" w:eastAsia="仿宋_GB2312"/>
          <w:b/>
          <w:sz w:val="32"/>
        </w:rPr>
        <w:t>具体情况如下：</w:t>
      </w:r>
    </w:p>
    <w:p w14:paraId="6CC0E5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C15933">
      <w:pPr>
        <w:spacing w:line="580" w:lineRule="exact"/>
        <w:ind w:firstLine="640"/>
        <w:jc w:val="both"/>
      </w:pPr>
      <w:r>
        <w:rPr>
          <w:rFonts w:ascii="仿宋_GB2312" w:hAnsi="仿宋_GB2312" w:eastAsia="仿宋_GB2312"/>
          <w:b w:val="0"/>
          <w:sz w:val="32"/>
        </w:rPr>
        <w:t>公务用车购置及运行维护费5.53万元，其中：公务用车购置费0.00万元，公务用车运行维护费5.53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6AC9F30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11D2B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5.53万元，决算数5.53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5.53万元，决算数5.53万元，预决算差异率0.00%，主要原因是：严格按照预算执行，预决算无差异。公务接待费全年预算数0.00万元，决算数0.00万元，预决算差异率0.00%，主要原因是：本单位无公务接待费。</w:t>
      </w:r>
    </w:p>
    <w:p w14:paraId="04FB4582">
      <w:pPr>
        <w:spacing w:line="640" w:lineRule="exact"/>
        <w:ind w:firstLine="640"/>
        <w:jc w:val="both"/>
        <w:outlineLvl w:val="2"/>
      </w:pPr>
      <w:r>
        <w:rPr>
          <w:rFonts w:ascii="黑体" w:hAnsi="黑体" w:eastAsia="黑体"/>
          <w:sz w:val="32"/>
        </w:rPr>
        <w:t>十、其他重要事项的情况说明</w:t>
      </w:r>
    </w:p>
    <w:p w14:paraId="15C16AB4">
      <w:pPr>
        <w:spacing w:line="640" w:lineRule="exact"/>
        <w:ind w:firstLine="640"/>
        <w:jc w:val="both"/>
        <w:outlineLvl w:val="3"/>
      </w:pPr>
      <w:r>
        <w:rPr>
          <w:rFonts w:ascii="楷体_GB2312" w:hAnsi="楷体_GB2312" w:eastAsia="楷体_GB2312"/>
          <w:b/>
          <w:sz w:val="32"/>
        </w:rPr>
        <w:t>（一）机关运行经费及公用经费支出情况</w:t>
      </w:r>
    </w:p>
    <w:p w14:paraId="23D0BA42">
      <w:pPr>
        <w:spacing w:line="580" w:lineRule="exact"/>
        <w:ind w:firstLine="640"/>
        <w:jc w:val="both"/>
      </w:pPr>
      <w:r>
        <w:rPr>
          <w:rFonts w:ascii="仿宋_GB2312" w:hAnsi="仿宋_GB2312" w:eastAsia="仿宋_GB2312"/>
          <w:b w:val="0"/>
          <w:sz w:val="32"/>
        </w:rPr>
        <w:t>2024年度霍城县财政局（行政单位和参照公务员法管理事业单位）机关运行经费支出29.96万元，比上年减少2,544.07万元，下降98.84%，主要原因是：上年度将YQ项目资金列入日常公用经费中，本年度无此经费支出，机关运行经费减少。</w:t>
      </w:r>
    </w:p>
    <w:p w14:paraId="399FEB99">
      <w:pPr>
        <w:spacing w:line="640" w:lineRule="exact"/>
        <w:ind w:firstLine="640"/>
        <w:jc w:val="both"/>
        <w:outlineLvl w:val="3"/>
      </w:pPr>
      <w:r>
        <w:rPr>
          <w:rFonts w:ascii="楷体_GB2312" w:hAnsi="楷体_GB2312" w:eastAsia="楷体_GB2312"/>
          <w:b/>
          <w:sz w:val="32"/>
        </w:rPr>
        <w:t>（二）政府采购情况</w:t>
      </w:r>
    </w:p>
    <w:p w14:paraId="666D379D">
      <w:pPr>
        <w:spacing w:line="580" w:lineRule="exact"/>
        <w:ind w:firstLine="640"/>
        <w:jc w:val="both"/>
      </w:pPr>
      <w:r>
        <w:rPr>
          <w:rFonts w:ascii="仿宋_GB2312" w:hAnsi="仿宋_GB2312" w:eastAsia="仿宋_GB2312"/>
          <w:b w:val="0"/>
          <w:sz w:val="32"/>
        </w:rPr>
        <w:t>2024年度政府采购支出总额208.42万元，其中：政府采购货物支出9.63万元、政府采购工程支出0.00万元、政府采购服务支出198.79万元。</w:t>
      </w:r>
    </w:p>
    <w:p w14:paraId="6B693B51">
      <w:pPr>
        <w:spacing w:line="580" w:lineRule="exact"/>
        <w:ind w:firstLine="640"/>
        <w:jc w:val="both"/>
      </w:pPr>
      <w:r>
        <w:rPr>
          <w:rFonts w:ascii="仿宋_GB2312" w:hAnsi="仿宋_GB2312" w:eastAsia="仿宋_GB2312"/>
          <w:b w:val="0"/>
          <w:sz w:val="32"/>
        </w:rPr>
        <w:t>授予中小企业合同金额208.42万元，占政府采购支出总额的100.00%，其中：授予小微企业合同金额208.42万元，占政府采购支出总额的100.00%。</w:t>
      </w:r>
    </w:p>
    <w:p w14:paraId="10C9AA52">
      <w:pPr>
        <w:spacing w:line="640" w:lineRule="exact"/>
        <w:ind w:firstLine="640"/>
        <w:jc w:val="both"/>
        <w:outlineLvl w:val="3"/>
      </w:pPr>
      <w:r>
        <w:rPr>
          <w:rFonts w:ascii="楷体_GB2312" w:hAnsi="楷体_GB2312" w:eastAsia="楷体_GB2312"/>
          <w:b/>
          <w:sz w:val="32"/>
        </w:rPr>
        <w:t>（三）国有资产占用情况说明</w:t>
      </w:r>
    </w:p>
    <w:p w14:paraId="14B7A7E9">
      <w:pPr>
        <w:spacing w:line="580" w:lineRule="exact"/>
        <w:ind w:firstLine="640"/>
        <w:jc w:val="both"/>
      </w:pPr>
      <w:r>
        <w:rPr>
          <w:rFonts w:ascii="仿宋_GB2312" w:hAnsi="仿宋_GB2312" w:eastAsia="仿宋_GB2312"/>
          <w:b w:val="0"/>
          <w:sz w:val="32"/>
        </w:rPr>
        <w:t>截至2024年12月31日，房屋405.22平方米，价值494.55万元。车辆3辆，价值53.56万元，其中：副部（省）级及以上领导用车0辆、主要负责人用车0辆、机要通信用车0辆、应急保障用车0辆、执法执勤用车0辆、特种专业技术用车0辆、离退休干部服务用车0辆、其他用车3辆，其他用车主要是：单位公务用车。单价100万元（含）以上设备（不含车辆）0台（套）。</w:t>
      </w:r>
    </w:p>
    <w:p w14:paraId="783FAA79">
      <w:pPr>
        <w:spacing w:line="640" w:lineRule="exact"/>
        <w:ind w:firstLine="640"/>
        <w:jc w:val="both"/>
        <w:outlineLvl w:val="2"/>
      </w:pPr>
      <w:r>
        <w:rPr>
          <w:rFonts w:ascii="黑体" w:hAnsi="黑体" w:eastAsia="黑体"/>
          <w:sz w:val="32"/>
        </w:rPr>
        <w:t>十一、预算绩效的情况说明</w:t>
      </w:r>
    </w:p>
    <w:p w14:paraId="3F4DF3C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2,887.13万元，实际执行总额2,880.87万元；预算绩效评价项目2个，全年预算数339.60万元，全年执行数339.60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1D24FF8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60CD27">
        <w:tblPrEx>
          <w:tblCellMar>
            <w:top w:w="0" w:type="dxa"/>
            <w:left w:w="108" w:type="dxa"/>
            <w:bottom w:w="0" w:type="dxa"/>
            <w:right w:w="108" w:type="dxa"/>
          </w:tblCellMar>
        </w:tblPrEx>
        <w:tc>
          <w:tcPr>
            <w:tcW w:w="8840" w:type="dxa"/>
            <w:gridSpan w:val="8"/>
            <w:vAlign w:val="center"/>
          </w:tcPr>
          <w:p w14:paraId="3AC9356F">
            <w:pPr>
              <w:jc w:val="center"/>
            </w:pPr>
            <w:r>
              <w:rPr>
                <w:rFonts w:ascii="宋体" w:hAnsi="宋体" w:eastAsia="宋体"/>
                <w:sz w:val="24"/>
              </w:rPr>
              <w:t>单位整体支出绩效自评表</w:t>
            </w:r>
          </w:p>
        </w:tc>
      </w:tr>
      <w:tr w14:paraId="46D13ABA">
        <w:tblPrEx>
          <w:tblCellMar>
            <w:top w:w="0" w:type="dxa"/>
            <w:left w:w="108" w:type="dxa"/>
            <w:bottom w:w="0" w:type="dxa"/>
            <w:right w:w="108" w:type="dxa"/>
          </w:tblCellMar>
        </w:tblPrEx>
        <w:tc>
          <w:tcPr>
            <w:tcW w:w="8840" w:type="dxa"/>
            <w:gridSpan w:val="8"/>
            <w:vAlign w:val="center"/>
          </w:tcPr>
          <w:p w14:paraId="0F03F7CC">
            <w:pPr>
              <w:jc w:val="center"/>
            </w:pPr>
            <w:r>
              <w:rPr>
                <w:rFonts w:ascii="宋体" w:hAnsi="宋体" w:eastAsia="宋体"/>
                <w:sz w:val="24"/>
              </w:rPr>
              <w:t>（2024年度）</w:t>
            </w:r>
          </w:p>
        </w:tc>
      </w:tr>
      <w:tr w14:paraId="5CDB90E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7C7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35A15">
            <w:pPr>
              <w:jc w:val="center"/>
            </w:pPr>
            <w:r>
              <w:rPr>
                <w:rFonts w:ascii="宋体" w:hAnsi="宋体" w:eastAsia="宋体"/>
                <w:sz w:val="16"/>
              </w:rPr>
              <w:t>霍城县财政局</w:t>
            </w:r>
          </w:p>
        </w:tc>
      </w:tr>
      <w:tr w14:paraId="441B77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75C6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7123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3557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7D68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675A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97BD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A84B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5DE0B">
            <w:pPr>
              <w:jc w:val="center"/>
            </w:pPr>
            <w:r>
              <w:rPr>
                <w:rFonts w:ascii="宋体" w:hAnsi="宋体" w:eastAsia="宋体"/>
                <w:sz w:val="16"/>
              </w:rPr>
              <w:t>得分</w:t>
            </w:r>
          </w:p>
        </w:tc>
      </w:tr>
      <w:tr w14:paraId="669F2C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8EF3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A55E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51706">
            <w:pPr>
              <w:jc w:val="center"/>
            </w:pPr>
            <w:r>
              <w:rPr>
                <w:rFonts w:ascii="宋体" w:hAnsi="宋体" w:eastAsia="宋体"/>
                <w:sz w:val="16"/>
              </w:rPr>
              <w:t>1,122.46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79C05">
            <w:pPr>
              <w:jc w:val="center"/>
            </w:pPr>
            <w:r>
              <w:rPr>
                <w:rFonts w:ascii="宋体" w:hAnsi="宋体" w:eastAsia="宋体"/>
                <w:sz w:val="16"/>
              </w:rPr>
              <w:t>2,887.13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FC936">
            <w:pPr>
              <w:jc w:val="center"/>
            </w:pPr>
            <w:r>
              <w:rPr>
                <w:rFonts w:ascii="宋体" w:hAnsi="宋体" w:eastAsia="宋体"/>
                <w:sz w:val="16"/>
              </w:rPr>
              <w:t>2,880.87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E11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1F577">
            <w:pPr>
              <w:jc w:val="center"/>
            </w:pPr>
            <w:r>
              <w:rPr>
                <w:rFonts w:ascii="宋体" w:hAnsi="宋体" w:eastAsia="宋体"/>
                <w:sz w:val="16"/>
              </w:rPr>
              <w:t>99.78%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E847E">
            <w:pPr>
              <w:jc w:val="center"/>
            </w:pPr>
            <w:r>
              <w:rPr>
                <w:rFonts w:ascii="宋体" w:hAnsi="宋体" w:eastAsia="宋体"/>
                <w:sz w:val="16"/>
              </w:rPr>
              <w:t>9.98</w:t>
            </w:r>
          </w:p>
        </w:tc>
      </w:tr>
      <w:tr w14:paraId="23AE08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724F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0931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67C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43D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FDD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917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45A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4F85A">
            <w:pPr>
              <w:jc w:val="center"/>
            </w:pPr>
            <w:r>
              <w:rPr>
                <w:rFonts w:ascii="宋体" w:hAnsi="宋体" w:eastAsia="宋体"/>
                <w:sz w:val="16"/>
              </w:rPr>
              <w:t>-</w:t>
            </w:r>
          </w:p>
        </w:tc>
      </w:tr>
      <w:tr w14:paraId="512D88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1C16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AF3B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93FD0">
            <w:pPr>
              <w:jc w:val="center"/>
            </w:pPr>
            <w:r>
              <w:rPr>
                <w:rFonts w:ascii="宋体" w:hAnsi="宋体" w:eastAsia="宋体"/>
                <w:sz w:val="16"/>
              </w:rPr>
              <w:t>1,122.46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9A363">
            <w:pPr>
              <w:jc w:val="center"/>
            </w:pPr>
            <w:r>
              <w:rPr>
                <w:rFonts w:ascii="宋体" w:hAnsi="宋体" w:eastAsia="宋体"/>
                <w:sz w:val="16"/>
              </w:rPr>
              <w:t>2,786.78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20E57">
            <w:pPr>
              <w:jc w:val="center"/>
            </w:pPr>
            <w:r>
              <w:rPr>
                <w:rFonts w:ascii="宋体" w:hAnsi="宋体" w:eastAsia="宋体"/>
                <w:sz w:val="16"/>
              </w:rPr>
              <w:t>2,786.78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AAD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91F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AF4E9">
            <w:pPr>
              <w:jc w:val="center"/>
            </w:pPr>
            <w:r>
              <w:rPr>
                <w:rFonts w:ascii="宋体" w:hAnsi="宋体" w:eastAsia="宋体"/>
                <w:sz w:val="16"/>
              </w:rPr>
              <w:t>-</w:t>
            </w:r>
          </w:p>
        </w:tc>
      </w:tr>
      <w:tr w14:paraId="555D40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1C4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15AE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B70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7E4C2">
            <w:pPr>
              <w:jc w:val="center"/>
            </w:pPr>
            <w:r>
              <w:rPr>
                <w:rFonts w:ascii="宋体" w:hAnsi="宋体" w:eastAsia="宋体"/>
                <w:sz w:val="16"/>
              </w:rPr>
              <w:t>100.35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6564B">
            <w:pPr>
              <w:jc w:val="center"/>
            </w:pPr>
            <w:r>
              <w:rPr>
                <w:rFonts w:ascii="宋体" w:hAnsi="宋体" w:eastAsia="宋体"/>
                <w:sz w:val="16"/>
              </w:rPr>
              <w:t>94.09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F36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4E8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9B748">
            <w:pPr>
              <w:jc w:val="center"/>
            </w:pPr>
            <w:r>
              <w:rPr>
                <w:rFonts w:ascii="宋体" w:hAnsi="宋体" w:eastAsia="宋体"/>
                <w:sz w:val="16"/>
              </w:rPr>
              <w:t>-</w:t>
            </w:r>
          </w:p>
        </w:tc>
      </w:tr>
      <w:tr w14:paraId="7C6D30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7E19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56DA0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05E232">
            <w:pPr>
              <w:jc w:val="center"/>
            </w:pPr>
            <w:r>
              <w:rPr>
                <w:rFonts w:ascii="宋体" w:hAnsi="宋体" w:eastAsia="宋体"/>
                <w:sz w:val="16"/>
              </w:rPr>
              <w:t>实际完成情况</w:t>
            </w:r>
          </w:p>
        </w:tc>
      </w:tr>
      <w:tr w14:paraId="2A3717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D804E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2AE0A1">
            <w:pPr>
              <w:jc w:val="both"/>
            </w:pPr>
            <w:r>
              <w:rPr>
                <w:rFonts w:ascii="宋体" w:hAnsi="宋体" w:eastAsia="宋体"/>
                <w:sz w:val="16"/>
              </w:rPr>
              <w:t>继续深化预算管理体制改革，围绕县委、县政府和上级财政部门重大决策部署，主动适应经济发展新常态，创新财政支持经济发展方式，深入开展各项财政改革，完善财政体制机制；优化财政支出结构，严控“三公”经费支出，着力保障和改善民生；推进依法行政和财政信息公开，提高依法理财和科学理财水平；强化财政监督，规范财经秩序。严格贯彻落实上级关于减税降费“放管服”工作的指示和要求，对标对表，全面抓实、抓细、抓好各项优惠政策的落实，稳步推进新时代霍城经济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4D9026">
            <w:pPr>
              <w:jc w:val="both"/>
            </w:pPr>
            <w:r>
              <w:rPr>
                <w:rFonts w:ascii="宋体" w:hAnsi="宋体" w:eastAsia="宋体"/>
                <w:sz w:val="16"/>
              </w:rPr>
              <w:t>贯彻执行国家和自治区有关财政、税收方针政策和法律法规，执行财政、税收发展战略、中长期规划、改革方案及相关政策；负责全县财政收支管理工作；加强国有企业管理工作；负责审核和汇总编制全县</w:t>
            </w:r>
            <w:r>
              <w:rPr>
                <w:rFonts w:hint="eastAsia" w:ascii="宋体" w:hAnsi="宋体"/>
                <w:sz w:val="16"/>
                <w:lang w:eastAsia="zh-CN"/>
              </w:rPr>
              <w:t>国有资本经营预算</w:t>
            </w:r>
            <w:r>
              <w:rPr>
                <w:rFonts w:ascii="宋体" w:hAnsi="宋体" w:eastAsia="宋体"/>
                <w:sz w:val="16"/>
              </w:rPr>
              <w:t>草案，制定全县国有资本经营预算的制度和办法，管理资产评估工作；执行地方政府债务管理制度和政策；负责管理全县的会计工作</w:t>
            </w:r>
            <w:r>
              <w:rPr>
                <w:rFonts w:hint="eastAsia" w:ascii="宋体" w:hAnsi="宋体"/>
                <w:sz w:val="16"/>
                <w:lang w:eastAsia="zh-CN"/>
              </w:rPr>
              <w:t>；</w:t>
            </w:r>
            <w:r>
              <w:rPr>
                <w:rFonts w:ascii="宋体" w:hAnsi="宋体" w:eastAsia="宋体"/>
                <w:sz w:val="16"/>
              </w:rPr>
              <w:t>监督财税法规、政策的执行情况。保障全县及本单位人员工资福利支出，保障全县各单位及本单位正常运转支出。规范财政投资评审行为，提高财政投资评审工作效率。保障财政绩效管理信息系统、电子票据系统、政采云平台、债务平台、财政专网等正常运行；保障财政预决算公开、预算编制工作、政府综合财务报告编制、预算绩效管理、债务管理等委托业务正常开展；保障财政各项信息化业务正常运转。</w:t>
            </w:r>
          </w:p>
        </w:tc>
      </w:tr>
      <w:tr w14:paraId="0BF58A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FC27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CF77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A22E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588D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4A81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2D2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1380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A8DA2">
            <w:pPr>
              <w:jc w:val="center"/>
            </w:pPr>
            <w:r>
              <w:rPr>
                <w:rFonts w:ascii="宋体" w:hAnsi="宋体" w:eastAsia="宋体"/>
                <w:sz w:val="16"/>
              </w:rPr>
              <w:t>得分</w:t>
            </w:r>
          </w:p>
        </w:tc>
      </w:tr>
      <w:tr w14:paraId="522E5C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7B8C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15B2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B7C4B">
            <w:pPr>
              <w:jc w:val="center"/>
            </w:pPr>
            <w:r>
              <w:rPr>
                <w:rFonts w:ascii="宋体" w:hAnsi="宋体" w:eastAsia="宋体"/>
                <w:sz w:val="16"/>
              </w:rPr>
              <w:t>审核招标控价项目数量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11DD7">
            <w:pPr>
              <w:jc w:val="center"/>
            </w:pPr>
            <w:r>
              <w:rPr>
                <w:rFonts w:ascii="宋体" w:hAnsi="宋体" w:eastAsia="宋体"/>
                <w:sz w:val="16"/>
              </w:rPr>
              <w:t>&gt;=50个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0C626">
            <w:pPr>
              <w:jc w:val="center"/>
            </w:pPr>
            <w:r>
              <w:rPr>
                <w:rFonts w:ascii="宋体" w:hAnsi="宋体" w:eastAsia="宋体"/>
                <w:sz w:val="16"/>
              </w:rPr>
              <w:t>霍城县财政局2023年工作总结和2024年工作思路汇报材料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26D0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4382A">
            <w:pPr>
              <w:jc w:val="center"/>
            </w:pPr>
            <w:r>
              <w:rPr>
                <w:rFonts w:ascii="宋体" w:hAnsi="宋体" w:eastAsia="宋体"/>
                <w:sz w:val="16"/>
              </w:rPr>
              <w: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A94EF">
            <w:pPr>
              <w:jc w:val="center"/>
            </w:pPr>
            <w:r>
              <w:rPr>
                <w:rFonts w:ascii="宋体" w:hAnsi="宋体" w:eastAsia="宋体"/>
                <w:sz w:val="16"/>
              </w:rPr>
              <w:t>18</w:t>
            </w:r>
          </w:p>
        </w:tc>
      </w:tr>
      <w:tr w14:paraId="7A6BB6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93001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90DA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E59F3">
            <w:pPr>
              <w:jc w:val="center"/>
            </w:pPr>
            <w:r>
              <w:rPr>
                <w:rFonts w:ascii="宋体" w:hAnsi="宋体" w:eastAsia="宋体"/>
                <w:sz w:val="16"/>
              </w:rPr>
              <w:t>召开行政事业单位内部控制编制报告培训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151DB">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B03AA">
            <w:pPr>
              <w:jc w:val="center"/>
            </w:pPr>
            <w:r>
              <w:rPr>
                <w:rFonts w:ascii="宋体" w:hAnsi="宋体" w:eastAsia="宋体"/>
                <w:sz w:val="16"/>
              </w:rPr>
              <w:t>霍城县财政局2023年工作总结和2024年工作思路汇报材料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96FD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AADED">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0EC57">
            <w:pPr>
              <w:jc w:val="center"/>
            </w:pPr>
            <w:r>
              <w:rPr>
                <w:rFonts w:ascii="宋体" w:hAnsi="宋体" w:eastAsia="宋体"/>
                <w:sz w:val="16"/>
              </w:rPr>
              <w:t>18</w:t>
            </w:r>
          </w:p>
        </w:tc>
      </w:tr>
      <w:tr w14:paraId="5C940E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AF95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2BB0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0120B">
            <w:pPr>
              <w:jc w:val="center"/>
            </w:pPr>
            <w:r>
              <w:rPr>
                <w:rFonts w:ascii="宋体" w:hAnsi="宋体" w:eastAsia="宋体"/>
                <w:sz w:val="16"/>
              </w:rPr>
              <w:t>维护全县预算单位财政运行系统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601CB">
            <w:pPr>
              <w:jc w:val="center"/>
            </w:pPr>
            <w:r>
              <w:rPr>
                <w:rFonts w:ascii="宋体" w:hAnsi="宋体" w:eastAsia="宋体"/>
                <w:sz w:val="16"/>
              </w:rPr>
              <w:t>&gt;=98个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2631D">
            <w:pPr>
              <w:jc w:val="center"/>
            </w:pPr>
            <w:r>
              <w:rPr>
                <w:rFonts w:ascii="宋体" w:hAnsi="宋体" w:eastAsia="宋体"/>
                <w:sz w:val="16"/>
              </w:rPr>
              <w:t>霍城县财政局2024年工作思路汇报材料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6ECD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A4B5B">
            <w:pPr>
              <w:jc w:val="center"/>
            </w:pPr>
            <w:r>
              <w:rPr>
                <w:rFonts w:ascii="宋体" w:hAnsi="宋体" w:eastAsia="宋体"/>
                <w:sz w:val="16"/>
              </w:rPr>
              <w:t>98个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989D4">
            <w:pPr>
              <w:jc w:val="center"/>
            </w:pPr>
            <w:r>
              <w:rPr>
                <w:rFonts w:ascii="宋体" w:hAnsi="宋体" w:eastAsia="宋体"/>
                <w:sz w:val="16"/>
              </w:rPr>
              <w:t>18</w:t>
            </w:r>
          </w:p>
        </w:tc>
      </w:tr>
      <w:tr w14:paraId="40928A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C6CA4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053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61052">
            <w:pPr>
              <w:jc w:val="center"/>
            </w:pPr>
            <w:r>
              <w:rPr>
                <w:rFonts w:ascii="宋体" w:hAnsi="宋体" w:eastAsia="宋体"/>
                <w:sz w:val="16"/>
              </w:rPr>
              <w:t>开展财政业务培训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C3967">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B88CE">
            <w:pPr>
              <w:jc w:val="center"/>
            </w:pPr>
            <w:r>
              <w:rPr>
                <w:rFonts w:ascii="宋体" w:hAnsi="宋体" w:eastAsia="宋体"/>
                <w:sz w:val="16"/>
              </w:rPr>
              <w:t>霍城县财政局2023年工作总结和2024年工作思路汇报材料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E92A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851A9">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F1AC0">
            <w:pPr>
              <w:jc w:val="center"/>
            </w:pPr>
            <w:r>
              <w:rPr>
                <w:rFonts w:ascii="宋体" w:hAnsi="宋体" w:eastAsia="宋体"/>
                <w:sz w:val="16"/>
              </w:rPr>
              <w:t>18</w:t>
            </w:r>
          </w:p>
        </w:tc>
      </w:tr>
      <w:tr w14:paraId="0443A0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BC48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702F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434A2">
            <w:pPr>
              <w:jc w:val="center"/>
            </w:pPr>
            <w:r>
              <w:rPr>
                <w:rFonts w:ascii="宋体" w:hAnsi="宋体" w:eastAsia="宋体"/>
                <w:sz w:val="16"/>
              </w:rPr>
              <w:t>委托第三方开展财政监督检查单位数量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A3A41">
            <w:pPr>
              <w:jc w:val="center"/>
            </w:pPr>
            <w:r>
              <w:rPr>
                <w:rFonts w:ascii="宋体" w:hAnsi="宋体" w:eastAsia="宋体"/>
                <w:sz w:val="16"/>
              </w:rPr>
              <w:t>&gt;=5家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7E991">
            <w:pPr>
              <w:jc w:val="center"/>
            </w:pPr>
            <w:r>
              <w:rPr>
                <w:rFonts w:ascii="宋体" w:hAnsi="宋体" w:eastAsia="宋体"/>
                <w:sz w:val="16"/>
              </w:rPr>
              <w:t>霍城县财政局2024年工作思路汇报材料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F408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F70F8">
            <w:pPr>
              <w:jc w:val="center"/>
            </w:pPr>
            <w:r>
              <w:rPr>
                <w:rFonts w:ascii="宋体" w:hAnsi="宋体" w:eastAsia="宋体"/>
                <w:sz w:val="16"/>
              </w:rPr>
              <w: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33259">
            <w:pPr>
              <w:jc w:val="center"/>
            </w:pPr>
            <w:r>
              <w:rPr>
                <w:rFonts w:ascii="宋体" w:hAnsi="宋体" w:eastAsia="宋体"/>
                <w:sz w:val="16"/>
              </w:rPr>
              <w:t>18</w:t>
            </w:r>
          </w:p>
        </w:tc>
      </w:tr>
    </w:tbl>
    <w:p w14:paraId="452A93B0">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26"/>
        <w:gridCol w:w="696"/>
        <w:gridCol w:w="696"/>
        <w:gridCol w:w="776"/>
        <w:gridCol w:w="631"/>
        <w:gridCol w:w="623"/>
        <w:gridCol w:w="629"/>
        <w:gridCol w:w="624"/>
        <w:gridCol w:w="624"/>
        <w:gridCol w:w="631"/>
      </w:tblGrid>
      <w:tr w14:paraId="63E4310A">
        <w:tblPrEx>
          <w:tblCellMar>
            <w:top w:w="0" w:type="dxa"/>
            <w:left w:w="108" w:type="dxa"/>
            <w:bottom w:w="0" w:type="dxa"/>
            <w:right w:w="108" w:type="dxa"/>
          </w:tblCellMar>
        </w:tblPrEx>
        <w:tc>
          <w:tcPr>
            <w:tcW w:w="8848" w:type="dxa"/>
            <w:gridSpan w:val="14"/>
            <w:vAlign w:val="center"/>
          </w:tcPr>
          <w:p w14:paraId="6CAD0108">
            <w:pPr>
              <w:jc w:val="center"/>
            </w:pPr>
            <w:r>
              <w:rPr>
                <w:rFonts w:ascii="宋体" w:hAnsi="宋体" w:eastAsia="宋体"/>
                <w:sz w:val="24"/>
              </w:rPr>
              <w:t>项目支出绩效自评表</w:t>
            </w:r>
          </w:p>
        </w:tc>
      </w:tr>
      <w:tr w14:paraId="36136500">
        <w:tblPrEx>
          <w:tblCellMar>
            <w:top w:w="0" w:type="dxa"/>
            <w:left w:w="108" w:type="dxa"/>
            <w:bottom w:w="0" w:type="dxa"/>
            <w:right w:w="108" w:type="dxa"/>
          </w:tblCellMar>
        </w:tblPrEx>
        <w:tc>
          <w:tcPr>
            <w:tcW w:w="8848" w:type="dxa"/>
            <w:gridSpan w:val="14"/>
            <w:vAlign w:val="center"/>
          </w:tcPr>
          <w:p w14:paraId="01C0264C">
            <w:pPr>
              <w:jc w:val="center"/>
            </w:pPr>
            <w:r>
              <w:rPr>
                <w:rFonts w:ascii="宋体" w:hAnsi="宋体" w:eastAsia="宋体"/>
                <w:sz w:val="24"/>
              </w:rPr>
              <w:t>(2024年度)</w:t>
            </w:r>
          </w:p>
        </w:tc>
      </w:tr>
      <w:tr w14:paraId="5BCD52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FF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F0EDE5">
            <w:pPr>
              <w:jc w:val="center"/>
            </w:pPr>
            <w:r>
              <w:rPr>
                <w:rFonts w:ascii="宋体" w:hAnsi="宋体" w:eastAsia="宋体"/>
                <w:sz w:val="16"/>
              </w:rPr>
              <w:t>财政信息化业务服务费</w:t>
            </w:r>
          </w:p>
        </w:tc>
      </w:tr>
      <w:tr w14:paraId="053DA9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BD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1EC74">
            <w:pPr>
              <w:jc w:val="center"/>
            </w:pPr>
            <w:r>
              <w:rPr>
                <w:rFonts w:ascii="宋体" w:hAnsi="宋体" w:eastAsia="宋体"/>
                <w:sz w:val="16"/>
              </w:rPr>
              <w:t>霍城县财政局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81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5D4199">
            <w:pPr>
              <w:jc w:val="center"/>
            </w:pPr>
            <w:r>
              <w:rPr>
                <w:rFonts w:ascii="宋体" w:hAnsi="宋体" w:eastAsia="宋体"/>
                <w:sz w:val="16"/>
              </w:rPr>
              <w:t>霍城县财政局</w:t>
            </w:r>
          </w:p>
        </w:tc>
      </w:tr>
      <w:tr w14:paraId="229D8E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0907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18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0F8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3C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07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AA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0D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E236">
            <w:pPr>
              <w:jc w:val="center"/>
            </w:pPr>
            <w:r>
              <w:rPr>
                <w:rFonts w:ascii="宋体" w:hAnsi="宋体" w:eastAsia="宋体"/>
                <w:sz w:val="16"/>
              </w:rPr>
              <w:t>得分</w:t>
            </w:r>
          </w:p>
        </w:tc>
      </w:tr>
      <w:tr w14:paraId="78F4C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59D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041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6FAAE">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2454">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2964">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8A1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07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6007">
            <w:pPr>
              <w:jc w:val="center"/>
            </w:pPr>
            <w:r>
              <w:rPr>
                <w:rFonts w:ascii="宋体" w:hAnsi="宋体" w:eastAsia="宋体"/>
                <w:sz w:val="16"/>
              </w:rPr>
              <w:t>10.00</w:t>
            </w:r>
          </w:p>
        </w:tc>
      </w:tr>
      <w:tr w14:paraId="2F610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A85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58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7045">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5CF4C">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7D0F">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D3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2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EDA2">
            <w:pPr>
              <w:jc w:val="center"/>
            </w:pPr>
            <w:r>
              <w:rPr>
                <w:rFonts w:ascii="宋体" w:hAnsi="宋体" w:eastAsia="宋体"/>
                <w:sz w:val="16"/>
              </w:rPr>
              <w:t>—</w:t>
            </w:r>
          </w:p>
        </w:tc>
      </w:tr>
      <w:tr w14:paraId="36EEE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044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7F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F5E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24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B62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A3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3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1869">
            <w:pPr>
              <w:jc w:val="center"/>
            </w:pPr>
            <w:r>
              <w:rPr>
                <w:rFonts w:ascii="宋体" w:hAnsi="宋体" w:eastAsia="宋体"/>
                <w:sz w:val="16"/>
              </w:rPr>
              <w:t>—</w:t>
            </w:r>
          </w:p>
        </w:tc>
      </w:tr>
      <w:tr w14:paraId="5AAC5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E9B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BBB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6074B">
            <w:pPr>
              <w:jc w:val="center"/>
            </w:pPr>
            <w:r>
              <w:rPr>
                <w:rFonts w:ascii="宋体" w:hAnsi="宋体" w:eastAsia="宋体"/>
                <w:sz w:val="16"/>
              </w:rPr>
              <w:t>实际完成情况</w:t>
            </w:r>
          </w:p>
        </w:tc>
      </w:tr>
      <w:tr w14:paraId="75032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FA9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9868F">
            <w:pPr>
              <w:jc w:val="both"/>
            </w:pPr>
            <w:r>
              <w:rPr>
                <w:rFonts w:ascii="宋体" w:hAnsi="宋体" w:eastAsia="宋体"/>
                <w:sz w:val="16"/>
              </w:rPr>
              <w:t>2024年，霍城县财政局根据县委、县政府工作要求，确保财政资金安全、可靠、准确、高效地运行。保障财政电子票据系统、政采云平台、债务平台、财政专网等正常运行；保障财政预决算公开、预算编制工作、政府综合财务报告编制、预算绩效管理、债务工作管理等委托业务正常开展；保障财政各项信息化业务正常运转。提高</w:t>
            </w:r>
            <w:r>
              <w:rPr>
                <w:rFonts w:hint="eastAsia" w:ascii="宋体" w:hAnsi="宋体"/>
                <w:sz w:val="16"/>
                <w:lang w:eastAsia="zh-CN"/>
              </w:rPr>
              <w:t>财政资金使用</w:t>
            </w:r>
            <w:r>
              <w:rPr>
                <w:rFonts w:ascii="宋体" w:hAnsi="宋体" w:eastAsia="宋体"/>
                <w:sz w:val="16"/>
              </w:rPr>
              <w:t>效率，推进霍城县各项经济工作高质量完成。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AD5748">
            <w:pPr>
              <w:jc w:val="both"/>
            </w:pPr>
            <w:r>
              <w:rPr>
                <w:rFonts w:ascii="宋体" w:hAnsi="宋体" w:eastAsia="宋体"/>
                <w:sz w:val="16"/>
              </w:rPr>
              <w:t>1.有效保障财政电子票据系统、政采云平台、债务平台、财政专网等系统的正常运行；2.保障了财政预决算公开、预算编制工作、政府综合财务报告编制、预算绩效管理、债务工作管理等委托业务的正常开展；3.有效保障财政各项信息化业务的正常运转。</w:t>
            </w:r>
          </w:p>
        </w:tc>
      </w:tr>
      <w:tr w14:paraId="416A3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B05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2E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E6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FC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AE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9EA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800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FA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F68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B7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E2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4E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1F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A064">
            <w:pPr>
              <w:jc w:val="center"/>
            </w:pPr>
            <w:r>
              <w:rPr>
                <w:rFonts w:ascii="宋体" w:hAnsi="宋体" w:eastAsia="宋体"/>
                <w:sz w:val="16"/>
              </w:rPr>
              <w:t>偏差原因分析及改进措施</w:t>
            </w:r>
          </w:p>
        </w:tc>
      </w:tr>
      <w:tr w14:paraId="31A620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798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61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EDC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0C52">
            <w:pPr>
              <w:jc w:val="center"/>
            </w:pPr>
            <w:r>
              <w:rPr>
                <w:rFonts w:ascii="宋体" w:hAnsi="宋体" w:eastAsia="宋体"/>
                <w:sz w:val="16"/>
              </w:rPr>
              <w:t>聘请中介服务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A6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2599">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596F">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9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346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0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7C68">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5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09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F4BB">
            <w:pPr>
              <w:jc w:val="center"/>
            </w:pPr>
          </w:p>
        </w:tc>
      </w:tr>
      <w:tr w14:paraId="4BDE6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CC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2B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37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9CAD">
            <w:pPr>
              <w:jc w:val="center"/>
            </w:pPr>
            <w:r>
              <w:rPr>
                <w:rFonts w:ascii="宋体" w:hAnsi="宋体" w:eastAsia="宋体"/>
                <w:sz w:val="16"/>
              </w:rPr>
              <w:t>硬件、软件采购或维护数量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8D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2847">
            <w:pPr>
              <w:jc w:val="center"/>
            </w:pPr>
            <w:r>
              <w:rPr>
                <w:rFonts w:ascii="宋体" w:hAnsi="宋体" w:eastAsia="宋体"/>
                <w:sz w:val="16"/>
              </w:rPr>
              <w:t>&gt;=98个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E940">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3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58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1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1F94">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4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AF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0AFB">
            <w:pPr>
              <w:jc w:val="center"/>
            </w:pPr>
          </w:p>
        </w:tc>
      </w:tr>
      <w:tr w14:paraId="62E94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79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B8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F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AB82">
            <w:pPr>
              <w:jc w:val="center"/>
            </w:pPr>
            <w:r>
              <w:rPr>
                <w:rFonts w:ascii="宋体" w:hAnsi="宋体" w:eastAsia="宋体"/>
                <w:sz w:val="16"/>
              </w:rPr>
              <w:t>系统应用数量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A4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CC46">
            <w:pPr>
              <w:jc w:val="center"/>
            </w:pPr>
            <w:r>
              <w:rPr>
                <w:rFonts w:ascii="宋体" w:hAnsi="宋体" w:eastAsia="宋体"/>
                <w:sz w:val="16"/>
              </w:rPr>
              <w:t>&gt;=98个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1028">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0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F3D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A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F5E4">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2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46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B7D8">
            <w:pPr>
              <w:jc w:val="center"/>
            </w:pPr>
          </w:p>
        </w:tc>
      </w:tr>
      <w:tr w14:paraId="1ACD4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43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E51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E18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6C82">
            <w:pPr>
              <w:jc w:val="center"/>
            </w:pPr>
            <w:r>
              <w:rPr>
                <w:rFonts w:ascii="宋体" w:hAnsi="宋体" w:eastAsia="宋体"/>
                <w:sz w:val="16"/>
              </w:rPr>
              <w:t>中介服务质量合格率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8E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A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B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3D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74E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E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E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6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FA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0A36">
            <w:pPr>
              <w:jc w:val="center"/>
            </w:pPr>
          </w:p>
        </w:tc>
      </w:tr>
      <w:tr w14:paraId="698B1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44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7C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D7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8446">
            <w:pPr>
              <w:jc w:val="center"/>
            </w:pPr>
            <w:r>
              <w:rPr>
                <w:rFonts w:ascii="宋体" w:hAnsi="宋体" w:eastAsia="宋体"/>
                <w:sz w:val="16"/>
              </w:rPr>
              <w:t>维护质量合格率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E9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E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6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A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78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0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3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A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B5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DDC0">
            <w:pPr>
              <w:jc w:val="center"/>
            </w:pPr>
          </w:p>
        </w:tc>
      </w:tr>
      <w:tr w14:paraId="0C2F2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6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83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7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32B8">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01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8A3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43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7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15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3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41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A2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8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A09E">
            <w:pPr>
              <w:jc w:val="center"/>
            </w:pPr>
          </w:p>
        </w:tc>
      </w:tr>
      <w:tr w14:paraId="4C627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BF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883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ED3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6C4C">
            <w:pPr>
              <w:jc w:val="center"/>
            </w:pPr>
            <w:r>
              <w:rPr>
                <w:rFonts w:ascii="宋体" w:hAnsi="宋体" w:eastAsia="宋体"/>
                <w:sz w:val="16"/>
              </w:rPr>
              <w:t>中介服务工作完成及时率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22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2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E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0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E0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E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0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B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D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19BE">
            <w:pPr>
              <w:jc w:val="center"/>
            </w:pPr>
          </w:p>
        </w:tc>
      </w:tr>
      <w:tr w14:paraId="4C28D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1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63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84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E86B">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D4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12AF">
            <w:pPr>
              <w:jc w:val="center"/>
            </w:pPr>
            <w:r>
              <w:rPr>
                <w:rFonts w:ascii="宋体" w:hAnsi="宋体" w:eastAsia="宋体"/>
                <w:sz w:val="16"/>
              </w:rPr>
              <w:t>&lt;=2天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CFD2">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4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2B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D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13F4">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46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7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8A7B">
            <w:pPr>
              <w:jc w:val="center"/>
            </w:pPr>
          </w:p>
        </w:tc>
      </w:tr>
      <w:tr w14:paraId="1B7FF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32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B6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EF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6C18">
            <w:pPr>
              <w:jc w:val="center"/>
            </w:pPr>
            <w:r>
              <w:rPr>
                <w:rFonts w:ascii="宋体" w:hAnsi="宋体" w:eastAsia="宋体"/>
                <w:sz w:val="16"/>
              </w:rPr>
              <w:t>系统运行维护响应时间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AE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0442">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D352">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2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3C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5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9F29">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8D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3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3FBB">
            <w:pPr>
              <w:jc w:val="center"/>
            </w:pPr>
          </w:p>
        </w:tc>
      </w:tr>
      <w:tr w14:paraId="759D7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CF7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114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523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5395">
            <w:pPr>
              <w:jc w:val="center"/>
            </w:pPr>
            <w:r>
              <w:rPr>
                <w:rFonts w:ascii="宋体" w:hAnsi="宋体" w:eastAsia="宋体"/>
                <w:sz w:val="16"/>
              </w:rPr>
              <w:t>财政业务中介服务费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5B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E21B">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0055">
            <w:pPr>
              <w:jc w:val="center"/>
            </w:pPr>
            <w:r>
              <w:rPr>
                <w:rFonts w:ascii="宋体" w:hAnsi="宋体" w:eastAsia="宋体"/>
                <w:sz w:val="16"/>
              </w:rPr>
              <w:t>83.83万元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12DF">
            <w:pPr>
              <w:jc w:val="center"/>
            </w:pPr>
            <w:r>
              <w:rPr>
                <w:rFonts w:ascii="宋体" w:hAnsi="宋体" w:eastAsia="宋体"/>
                <w:sz w:val="16"/>
              </w:rPr>
              <w:t>98.62%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95EA">
            <w:pPr>
              <w:jc w:val="center"/>
            </w:pPr>
            <w:r>
              <w:rPr>
                <w:rFonts w:ascii="宋体" w:hAnsi="宋体" w:eastAsia="宋体"/>
                <w:sz w:val="16"/>
              </w:rPr>
              <w:t>5.92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F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F9FA">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4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F3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E134">
            <w:pPr>
              <w:jc w:val="center"/>
            </w:pPr>
            <w:r>
              <w:rPr>
                <w:rFonts w:ascii="宋体" w:hAnsi="宋体" w:eastAsia="宋体"/>
                <w:sz w:val="16"/>
              </w:rPr>
              <w:t>根据资金实际支付形成偏差率。</w:t>
            </w:r>
          </w:p>
        </w:tc>
      </w:tr>
      <w:tr w14:paraId="07AB1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83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E58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A7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C3CF">
            <w:pPr>
              <w:jc w:val="center"/>
            </w:pPr>
            <w:r>
              <w:rPr>
                <w:rFonts w:ascii="宋体" w:hAnsi="宋体" w:eastAsia="宋体"/>
                <w:sz w:val="16"/>
              </w:rPr>
              <w:t>财政软件系统运营维护费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25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EF4C">
            <w:pPr>
              <w:jc w:val="center"/>
            </w:pPr>
            <w:r>
              <w:rPr>
                <w:rFonts w:ascii="宋体" w:hAnsi="宋体" w:eastAsia="宋体"/>
                <w:sz w:val="16"/>
              </w:rPr>
              <w:t>&lt;=95万元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4E12">
            <w:pPr>
              <w:jc w:val="center"/>
            </w:pPr>
            <w:r>
              <w:rPr>
                <w:rFonts w:ascii="宋体" w:hAnsi="宋体" w:eastAsia="宋体"/>
                <w:sz w:val="16"/>
              </w:rPr>
              <w:t>93.64万元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EE4F">
            <w:pPr>
              <w:jc w:val="center"/>
            </w:pPr>
            <w:r>
              <w:rPr>
                <w:rFonts w:ascii="宋体" w:hAnsi="宋体" w:eastAsia="宋体"/>
                <w:sz w:val="16"/>
              </w:rPr>
              <w:t>98.57%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486D">
            <w:pPr>
              <w:jc w:val="center"/>
            </w:pPr>
            <w:r>
              <w:rPr>
                <w:rFonts w:ascii="宋体" w:hAnsi="宋体" w:eastAsia="宋体"/>
                <w:sz w:val="16"/>
              </w:rPr>
              <w:t>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2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DA4A">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0B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2E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E3DB">
            <w:pPr>
              <w:jc w:val="center"/>
            </w:pPr>
            <w:r>
              <w:rPr>
                <w:rFonts w:ascii="宋体" w:hAnsi="宋体" w:eastAsia="宋体"/>
                <w:sz w:val="16"/>
              </w:rPr>
              <w:t>根据资金实际支付形成偏差率。</w:t>
            </w:r>
          </w:p>
        </w:tc>
      </w:tr>
      <w:tr w14:paraId="0E545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493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29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EA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F654">
            <w:pPr>
              <w:jc w:val="center"/>
            </w:pPr>
            <w:r>
              <w:rPr>
                <w:rFonts w:ascii="宋体" w:hAnsi="宋体" w:eastAsia="宋体"/>
                <w:sz w:val="16"/>
              </w:rPr>
              <w:t>财政其他信息化业务管理费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B7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8660">
            <w:pPr>
              <w:jc w:val="center"/>
            </w:pPr>
            <w:r>
              <w:rPr>
                <w:rFonts w:ascii="宋体" w:hAnsi="宋体" w:eastAsia="宋体"/>
                <w:sz w:val="16"/>
              </w:rPr>
              <w:t>&lt;=39.6万元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3698">
            <w:pPr>
              <w:jc w:val="center"/>
            </w:pPr>
            <w:r>
              <w:rPr>
                <w:rFonts w:ascii="宋体" w:hAnsi="宋体" w:eastAsia="宋体"/>
                <w:sz w:val="16"/>
              </w:rPr>
              <w:t>42.13万元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10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8C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5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0866">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E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C2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AEA3">
            <w:pPr>
              <w:jc w:val="center"/>
            </w:pPr>
            <w:r>
              <w:rPr>
                <w:rFonts w:ascii="宋体" w:hAnsi="宋体" w:eastAsia="宋体"/>
                <w:sz w:val="16"/>
              </w:rPr>
              <w:t>根据资金实际支付形成偏差率。</w:t>
            </w:r>
          </w:p>
        </w:tc>
      </w:tr>
      <w:tr w14:paraId="7811A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8A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92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8B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1EE5">
            <w:pPr>
              <w:jc w:val="center"/>
            </w:pPr>
            <w:r>
              <w:rPr>
                <w:rFonts w:ascii="宋体" w:hAnsi="宋体" w:eastAsia="宋体"/>
                <w:sz w:val="16"/>
              </w:rPr>
              <w:t>保障全县财政业务正常开展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3A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246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3605">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A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6A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D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CD1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EC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5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019B">
            <w:pPr>
              <w:jc w:val="center"/>
            </w:pPr>
          </w:p>
        </w:tc>
      </w:tr>
      <w:tr w14:paraId="3C780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2E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70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13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5EDD">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3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5C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735E">
            <w:pPr>
              <w:jc w:val="center"/>
            </w:pPr>
            <w:r>
              <w:rPr>
                <w:rFonts w:ascii="宋体" w:hAnsi="宋体" w:eastAsia="宋体"/>
                <w:sz w:val="16"/>
              </w:rPr>
              <w:t>97.22%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2EE7">
            <w:pPr>
              <w:jc w:val="center"/>
            </w:pPr>
            <w:r>
              <w:rPr>
                <w:rFonts w:ascii="宋体" w:hAnsi="宋体" w:eastAsia="宋体"/>
                <w:sz w:val="16"/>
              </w:rPr>
              <w:t>102.34%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4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A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9C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57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7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EB34">
            <w:pPr>
              <w:jc w:val="center"/>
            </w:pPr>
            <w:r>
              <w:rPr>
                <w:rFonts w:ascii="宋体" w:hAnsi="宋体" w:eastAsia="宋体"/>
                <w:sz w:val="16"/>
              </w:rPr>
              <w:t>达到预期指标值。</w:t>
            </w:r>
          </w:p>
        </w:tc>
      </w:tr>
      <w:tr w14:paraId="7C43244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E93E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F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6787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539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35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E2BD">
            <w:pPr>
              <w:jc w:val="center"/>
            </w:pPr>
            <w:r>
              <w:rPr>
                <w:rFonts w:ascii="宋体" w:hAnsi="宋体" w:eastAsia="宋体"/>
                <w:sz w:val="16"/>
              </w:rPr>
              <w:t>92.82分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8E9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228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9F9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42D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D4FF1"/>
        </w:tc>
      </w:tr>
    </w:tbl>
    <w:p w14:paraId="7D87D7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24F733EA">
        <w:tblPrEx>
          <w:tblCellMar>
            <w:top w:w="0" w:type="dxa"/>
            <w:left w:w="108" w:type="dxa"/>
            <w:bottom w:w="0" w:type="dxa"/>
            <w:right w:w="108" w:type="dxa"/>
          </w:tblCellMar>
        </w:tblPrEx>
        <w:tc>
          <w:tcPr>
            <w:tcW w:w="8848" w:type="dxa"/>
            <w:gridSpan w:val="14"/>
            <w:vAlign w:val="center"/>
          </w:tcPr>
          <w:p w14:paraId="2095410A">
            <w:pPr>
              <w:jc w:val="center"/>
            </w:pPr>
            <w:r>
              <w:rPr>
                <w:rFonts w:ascii="宋体" w:hAnsi="宋体" w:eastAsia="宋体"/>
                <w:sz w:val="24"/>
              </w:rPr>
              <w:t>项目支出绩效自评表</w:t>
            </w:r>
          </w:p>
        </w:tc>
      </w:tr>
      <w:tr w14:paraId="7353C5D9">
        <w:tblPrEx>
          <w:tblCellMar>
            <w:top w:w="0" w:type="dxa"/>
            <w:left w:w="108" w:type="dxa"/>
            <w:bottom w:w="0" w:type="dxa"/>
            <w:right w:w="108" w:type="dxa"/>
          </w:tblCellMar>
        </w:tblPrEx>
        <w:tc>
          <w:tcPr>
            <w:tcW w:w="8848" w:type="dxa"/>
            <w:gridSpan w:val="14"/>
            <w:vAlign w:val="center"/>
          </w:tcPr>
          <w:p w14:paraId="5656E2D4">
            <w:pPr>
              <w:jc w:val="center"/>
            </w:pPr>
            <w:r>
              <w:rPr>
                <w:rFonts w:ascii="宋体" w:hAnsi="宋体" w:eastAsia="宋体"/>
                <w:sz w:val="24"/>
              </w:rPr>
              <w:t>(2024年度)</w:t>
            </w:r>
          </w:p>
        </w:tc>
      </w:tr>
      <w:tr w14:paraId="31E29E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2B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839943">
            <w:pPr>
              <w:jc w:val="center"/>
            </w:pPr>
            <w:r>
              <w:rPr>
                <w:rFonts w:ascii="宋体" w:hAnsi="宋体" w:eastAsia="宋体"/>
                <w:sz w:val="16"/>
              </w:rPr>
              <w:t>财政局项目审核服务费</w:t>
            </w:r>
          </w:p>
        </w:tc>
      </w:tr>
      <w:tr w14:paraId="736F2E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7F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1B139">
            <w:pPr>
              <w:jc w:val="center"/>
            </w:pPr>
            <w:r>
              <w:rPr>
                <w:rFonts w:ascii="宋体" w:hAnsi="宋体" w:eastAsia="宋体"/>
                <w:sz w:val="16"/>
              </w:rPr>
              <w:t>霍城县财政局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D4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39EA5">
            <w:pPr>
              <w:jc w:val="center"/>
            </w:pPr>
            <w:r>
              <w:rPr>
                <w:rFonts w:ascii="宋体" w:hAnsi="宋体" w:eastAsia="宋体"/>
                <w:sz w:val="16"/>
              </w:rPr>
              <w:t>霍城县财政局</w:t>
            </w:r>
          </w:p>
        </w:tc>
      </w:tr>
      <w:tr w14:paraId="6392E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7536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A8E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9A7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597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AE7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770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1C4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AA18">
            <w:pPr>
              <w:jc w:val="center"/>
            </w:pPr>
            <w:r>
              <w:rPr>
                <w:rFonts w:ascii="宋体" w:hAnsi="宋体" w:eastAsia="宋体"/>
                <w:sz w:val="16"/>
              </w:rPr>
              <w:t>得分</w:t>
            </w:r>
          </w:p>
        </w:tc>
      </w:tr>
      <w:tr w14:paraId="6ED98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9AC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F4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718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2897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F72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D8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A4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3D6F">
            <w:pPr>
              <w:jc w:val="center"/>
            </w:pPr>
            <w:r>
              <w:rPr>
                <w:rFonts w:ascii="宋体" w:hAnsi="宋体" w:eastAsia="宋体"/>
                <w:sz w:val="16"/>
              </w:rPr>
              <w:t>10.00</w:t>
            </w:r>
          </w:p>
        </w:tc>
      </w:tr>
      <w:tr w14:paraId="6F3F7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5C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46D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02A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6908">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6887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FA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2A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F47F">
            <w:pPr>
              <w:jc w:val="center"/>
            </w:pPr>
            <w:r>
              <w:rPr>
                <w:rFonts w:ascii="宋体" w:hAnsi="宋体" w:eastAsia="宋体"/>
                <w:sz w:val="16"/>
              </w:rPr>
              <w:t>—</w:t>
            </w:r>
          </w:p>
        </w:tc>
      </w:tr>
      <w:tr w14:paraId="5DD9D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9A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69B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F7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AE2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0F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E5C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FB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40FF">
            <w:pPr>
              <w:jc w:val="center"/>
            </w:pPr>
            <w:r>
              <w:rPr>
                <w:rFonts w:ascii="宋体" w:hAnsi="宋体" w:eastAsia="宋体"/>
                <w:sz w:val="16"/>
              </w:rPr>
              <w:t>—</w:t>
            </w:r>
          </w:p>
        </w:tc>
      </w:tr>
      <w:tr w14:paraId="3A2398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53AA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FA1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79E53D">
            <w:pPr>
              <w:jc w:val="center"/>
            </w:pPr>
            <w:r>
              <w:rPr>
                <w:rFonts w:ascii="宋体" w:hAnsi="宋体" w:eastAsia="宋体"/>
                <w:sz w:val="16"/>
              </w:rPr>
              <w:t>实际完成情况</w:t>
            </w:r>
          </w:p>
        </w:tc>
      </w:tr>
      <w:tr w14:paraId="258C8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BCE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293CE1">
            <w:pPr>
              <w:jc w:val="both"/>
            </w:pPr>
            <w:r>
              <w:rPr>
                <w:rFonts w:ascii="宋体" w:hAnsi="宋体" w:eastAsia="宋体"/>
                <w:sz w:val="16"/>
              </w:rPr>
              <w:t>按照县委、县政府工作指示，完成2024年财政投资评审工作，规范财政投资评审行为，提高财政投资评审工作效率，打造美丽霍城。 目标1：委托中介机构审核项目50个。 目标2：确保所委托的项目均能出具审核报告。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7165D">
            <w:pPr>
              <w:jc w:val="both"/>
            </w:pPr>
            <w:r>
              <w:rPr>
                <w:rFonts w:ascii="宋体" w:hAnsi="宋体" w:eastAsia="宋体"/>
                <w:sz w:val="16"/>
              </w:rPr>
              <w:t>1.已完成委托中介机构审核项目58个。2.所委托的项目均出具了审核报告，提高了财政投资评审工作效率</w:t>
            </w:r>
            <w:r>
              <w:rPr>
                <w:rFonts w:hint="eastAsia" w:ascii="宋体" w:hAnsi="宋体"/>
                <w:sz w:val="16"/>
                <w:lang w:eastAsia="zh-CN"/>
              </w:rPr>
              <w:t>。</w:t>
            </w:r>
          </w:p>
        </w:tc>
      </w:tr>
      <w:tr w14:paraId="04A591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13F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11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08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17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69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405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7B7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9A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371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02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25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4F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6C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7A01">
            <w:pPr>
              <w:jc w:val="center"/>
            </w:pPr>
            <w:r>
              <w:rPr>
                <w:rFonts w:ascii="宋体" w:hAnsi="宋体" w:eastAsia="宋体"/>
                <w:sz w:val="16"/>
              </w:rPr>
              <w:t>偏差原因分析及改进措施</w:t>
            </w:r>
          </w:p>
        </w:tc>
      </w:tr>
      <w:tr w14:paraId="4AA97C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60F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427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9E1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B87C">
            <w:pPr>
              <w:jc w:val="center"/>
            </w:pPr>
            <w:r>
              <w:rPr>
                <w:rFonts w:ascii="宋体" w:hAnsi="宋体" w:eastAsia="宋体"/>
                <w:sz w:val="16"/>
              </w:rPr>
              <w:t>委托中介机构审核预算项目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4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DEE8">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B8B0">
            <w:pPr>
              <w:jc w:val="center"/>
            </w:pPr>
            <w:r>
              <w:rPr>
                <w:rFonts w:ascii="宋体" w:hAnsi="宋体" w:eastAsia="宋体"/>
                <w:sz w:val="16"/>
              </w:rPr>
              <w:t>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CA16">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3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B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EAB3">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E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5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898A">
            <w:pPr>
              <w:jc w:val="center"/>
            </w:pPr>
            <w:r>
              <w:rPr>
                <w:rFonts w:ascii="宋体" w:hAnsi="宋体" w:eastAsia="宋体"/>
                <w:sz w:val="16"/>
              </w:rPr>
              <w:t>达到预期值</w:t>
            </w:r>
          </w:p>
        </w:tc>
      </w:tr>
      <w:tr w14:paraId="3B046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CB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C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3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0BF4">
            <w:pPr>
              <w:jc w:val="center"/>
            </w:pPr>
            <w:r>
              <w:rPr>
                <w:rFonts w:ascii="宋体" w:hAnsi="宋体" w:eastAsia="宋体"/>
                <w:sz w:val="16"/>
              </w:rPr>
              <w:t>委托项目出具审核报告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CE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2015">
            <w:pPr>
              <w:jc w:val="center"/>
            </w:pPr>
            <w:r>
              <w:rPr>
                <w:rFonts w:ascii="宋体" w:hAnsi="宋体" w:eastAsia="宋体"/>
                <w:sz w:val="16"/>
              </w:rPr>
              <w:t>&gt;=50份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3DAD">
            <w:pPr>
              <w:jc w:val="center"/>
            </w:pPr>
            <w:r>
              <w:rPr>
                <w:rFonts w:ascii="宋体" w:hAnsi="宋体" w:eastAsia="宋体"/>
                <w:sz w:val="16"/>
              </w:rPr>
              <w:t>58份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F51A">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9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4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035F">
            <w:pPr>
              <w:jc w:val="center"/>
            </w:pPr>
            <w:r>
              <w:rPr>
                <w:rFonts w:ascii="宋体" w:hAnsi="宋体" w:eastAsia="宋体"/>
                <w:sz w:val="16"/>
              </w:rPr>
              <w:t>50份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F3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0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A46B">
            <w:pPr>
              <w:jc w:val="center"/>
            </w:pPr>
            <w:r>
              <w:rPr>
                <w:rFonts w:ascii="宋体" w:hAnsi="宋体" w:eastAsia="宋体"/>
                <w:sz w:val="16"/>
              </w:rPr>
              <w:t>达到预期值</w:t>
            </w:r>
          </w:p>
        </w:tc>
      </w:tr>
      <w:tr w14:paraId="45BB4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B2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18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11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9552">
            <w:pPr>
              <w:jc w:val="center"/>
            </w:pPr>
            <w:r>
              <w:rPr>
                <w:rFonts w:ascii="宋体" w:hAnsi="宋体" w:eastAsia="宋体"/>
                <w:sz w:val="16"/>
              </w:rPr>
              <w:t>工程预算结算审核结果偏差率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8E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718C">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9C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6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C7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9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00B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70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0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443C">
            <w:pPr>
              <w:jc w:val="center"/>
            </w:pPr>
          </w:p>
        </w:tc>
      </w:tr>
      <w:tr w14:paraId="46D0E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9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FB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FA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D9C7">
            <w:pPr>
              <w:jc w:val="center"/>
            </w:pPr>
            <w:r>
              <w:rPr>
                <w:rFonts w:ascii="宋体" w:hAnsi="宋体" w:eastAsia="宋体"/>
                <w:sz w:val="16"/>
              </w:rPr>
              <w:t>项目评审按期完成率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B6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E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0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A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5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8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3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9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B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F42A">
            <w:pPr>
              <w:jc w:val="center"/>
            </w:pPr>
          </w:p>
        </w:tc>
      </w:tr>
      <w:tr w14:paraId="216A2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0A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D2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CC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0C28">
            <w:pPr>
              <w:jc w:val="center"/>
            </w:pPr>
            <w:r>
              <w:rPr>
                <w:rFonts w:ascii="宋体" w:hAnsi="宋体" w:eastAsia="宋体"/>
                <w:sz w:val="16"/>
              </w:rPr>
              <w:t>委托中介审核工程预结算咨询相关成本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B1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1341">
            <w:pPr>
              <w:jc w:val="center"/>
            </w:pPr>
            <w:r>
              <w:rPr>
                <w:rFonts w:ascii="宋体" w:hAnsi="宋体" w:eastAsia="宋体"/>
                <w:sz w:val="16"/>
              </w:rPr>
              <w:t>&lt;=2.40万元/个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0884">
            <w:pPr>
              <w:jc w:val="center"/>
            </w:pPr>
            <w:r>
              <w:rPr>
                <w:rFonts w:ascii="宋体" w:hAnsi="宋体" w:eastAsia="宋体"/>
                <w:sz w:val="16"/>
              </w:rPr>
              <w:t>2.06万元/个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8567">
            <w:pPr>
              <w:jc w:val="center"/>
            </w:pPr>
            <w:r>
              <w:rPr>
                <w:rFonts w:ascii="宋体" w:hAnsi="宋体" w:eastAsia="宋体"/>
                <w:sz w:val="16"/>
              </w:rPr>
              <w:t>85.83%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8F8C">
            <w:pPr>
              <w:jc w:val="center"/>
            </w:pPr>
            <w:r>
              <w:rPr>
                <w:rFonts w:ascii="宋体" w:hAnsi="宋体" w:eastAsia="宋体"/>
                <w:sz w:val="16"/>
              </w:rPr>
              <w:t>17.17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61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9019">
            <w:pPr>
              <w:jc w:val="center"/>
            </w:pPr>
            <w:r>
              <w:rPr>
                <w:rFonts w:ascii="宋体" w:hAnsi="宋体" w:eastAsia="宋体"/>
                <w:sz w:val="16"/>
              </w:rPr>
              <w:t>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A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BC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081C">
            <w:pPr>
              <w:jc w:val="center"/>
            </w:pPr>
            <w:r>
              <w:rPr>
                <w:rFonts w:ascii="宋体" w:hAnsi="宋体" w:eastAsia="宋体"/>
                <w:sz w:val="16"/>
              </w:rPr>
              <w:t>由于审核项目数增加，导致成本降低。</w:t>
            </w:r>
          </w:p>
        </w:tc>
      </w:tr>
      <w:tr w14:paraId="62CD6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9C1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543A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181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9BDF">
            <w:pPr>
              <w:jc w:val="center"/>
            </w:pPr>
            <w:r>
              <w:rPr>
                <w:rFonts w:ascii="宋体" w:hAnsi="宋体" w:eastAsia="宋体"/>
                <w:sz w:val="16"/>
              </w:rPr>
              <w:t>保障建设资金安全、合法、有效地使用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67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BA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C626">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3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7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A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84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E2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E5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A8C8">
            <w:pPr>
              <w:jc w:val="center"/>
            </w:pPr>
          </w:p>
        </w:tc>
      </w:tr>
      <w:tr w14:paraId="2AF98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08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C3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E6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A98C">
            <w:pPr>
              <w:jc w:val="center"/>
            </w:pPr>
            <w:r>
              <w:rPr>
                <w:rFonts w:ascii="宋体" w:hAnsi="宋体" w:eastAsia="宋体"/>
                <w:sz w:val="16"/>
              </w:rPr>
              <w:t>依法全面履行审核监督职责，促进经济高质量发展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4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09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45D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3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B1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B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0A7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EF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5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2073">
            <w:pPr>
              <w:jc w:val="center"/>
            </w:pPr>
          </w:p>
        </w:tc>
      </w:tr>
      <w:tr w14:paraId="0906F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05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12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2A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7F9A">
            <w:pPr>
              <w:jc w:val="center"/>
            </w:pPr>
            <w:r>
              <w:rPr>
                <w:rFonts w:ascii="宋体" w:hAnsi="宋体" w:eastAsia="宋体"/>
                <w:sz w:val="16"/>
              </w:rPr>
              <w:t>项目单位对审核工作的满意度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A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D8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1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DC5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8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E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01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8B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4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768C">
            <w:pPr>
              <w:jc w:val="center"/>
            </w:pPr>
            <w:r>
              <w:rPr>
                <w:rFonts w:ascii="宋体" w:hAnsi="宋体" w:eastAsia="宋体"/>
                <w:sz w:val="16"/>
              </w:rPr>
              <w:t>达到预期值</w:t>
            </w:r>
          </w:p>
        </w:tc>
      </w:tr>
      <w:tr w14:paraId="2A1CFA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423F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D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EBE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30F3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56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015D">
            <w:pPr>
              <w:jc w:val="center"/>
            </w:pPr>
            <w:r>
              <w:rPr>
                <w:rFonts w:ascii="宋体" w:hAnsi="宋体" w:eastAsia="宋体"/>
                <w:sz w:val="16"/>
              </w:rPr>
              <w:t>97.17分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F99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3414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B01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6D5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307B0"/>
        </w:tc>
      </w:tr>
    </w:tbl>
    <w:p w14:paraId="117A3F8D">
      <w:r>
        <w:br w:type="page"/>
      </w:r>
    </w:p>
    <w:p w14:paraId="0ECC5290">
      <w:pPr>
        <w:spacing w:line="640" w:lineRule="exact"/>
        <w:ind w:firstLine="640"/>
        <w:jc w:val="both"/>
        <w:outlineLvl w:val="2"/>
      </w:pPr>
      <w:r>
        <w:rPr>
          <w:rFonts w:ascii="黑体" w:hAnsi="黑体" w:eastAsia="黑体"/>
          <w:sz w:val="32"/>
        </w:rPr>
        <w:t>十二、其他需说明的事项</w:t>
      </w:r>
    </w:p>
    <w:p w14:paraId="0DB95CDD">
      <w:pPr>
        <w:spacing w:line="580" w:lineRule="exact"/>
        <w:ind w:firstLine="640"/>
        <w:jc w:val="both"/>
      </w:pPr>
      <w:r>
        <w:rPr>
          <w:rFonts w:ascii="仿宋_GB2312" w:hAnsi="仿宋_GB2312" w:eastAsia="仿宋_GB2312"/>
          <w:b w:val="0"/>
          <w:sz w:val="32"/>
        </w:rPr>
        <w:t>本单位无其他需说明的事项。</w:t>
      </w:r>
    </w:p>
    <w:p w14:paraId="0B323FEE">
      <w:r>
        <w:br w:type="page"/>
      </w:r>
    </w:p>
    <w:p w14:paraId="2EBE789D">
      <w:pPr>
        <w:spacing w:line="240" w:lineRule="auto"/>
        <w:jc w:val="center"/>
        <w:outlineLvl w:val="1"/>
      </w:pPr>
      <w:r>
        <w:rPr>
          <w:rFonts w:ascii="黑体" w:hAnsi="黑体" w:eastAsia="黑体"/>
          <w:sz w:val="32"/>
        </w:rPr>
        <w:t>第三部分 专业名词解释</w:t>
      </w:r>
    </w:p>
    <w:p w14:paraId="191A042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E794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4FD2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FBFF5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2EF5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919F8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A1D5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96D02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4246D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5C12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4947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CAEF79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B9C15F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A336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B5926E">
      <w:r>
        <w:br w:type="page"/>
      </w:r>
    </w:p>
    <w:p w14:paraId="6056D2BB">
      <w:pPr>
        <w:spacing w:line="240" w:lineRule="auto"/>
        <w:jc w:val="center"/>
        <w:outlineLvl w:val="1"/>
      </w:pPr>
      <w:r>
        <w:rPr>
          <w:rFonts w:ascii="黑体" w:hAnsi="黑体" w:eastAsia="黑体"/>
          <w:sz w:val="32"/>
        </w:rPr>
        <w:t>第四部分 部门决算报表（见附表）</w:t>
      </w:r>
    </w:p>
    <w:p w14:paraId="37586834">
      <w:pPr>
        <w:spacing w:line="240" w:lineRule="auto"/>
        <w:ind w:firstLine="640"/>
        <w:jc w:val="both"/>
      </w:pPr>
      <w:r>
        <w:rPr>
          <w:rFonts w:ascii="仿宋_GB2312" w:hAnsi="仿宋_GB2312" w:eastAsia="仿宋_GB2312"/>
          <w:b w:val="0"/>
          <w:sz w:val="32"/>
        </w:rPr>
        <w:t>一、《收入支出决算总表》</w:t>
      </w:r>
    </w:p>
    <w:p w14:paraId="05E39CE2">
      <w:pPr>
        <w:spacing w:line="240" w:lineRule="auto"/>
        <w:ind w:firstLine="640"/>
        <w:jc w:val="both"/>
      </w:pPr>
      <w:r>
        <w:rPr>
          <w:rFonts w:ascii="仿宋_GB2312" w:hAnsi="仿宋_GB2312" w:eastAsia="仿宋_GB2312"/>
          <w:b w:val="0"/>
          <w:sz w:val="32"/>
        </w:rPr>
        <w:t>二、《收入决算表》</w:t>
      </w:r>
    </w:p>
    <w:p w14:paraId="60A5AC7D">
      <w:pPr>
        <w:spacing w:line="240" w:lineRule="auto"/>
        <w:ind w:firstLine="640"/>
        <w:jc w:val="both"/>
      </w:pPr>
      <w:r>
        <w:rPr>
          <w:rFonts w:ascii="仿宋_GB2312" w:hAnsi="仿宋_GB2312" w:eastAsia="仿宋_GB2312"/>
          <w:b w:val="0"/>
          <w:sz w:val="32"/>
        </w:rPr>
        <w:t>三、《支出决算表》</w:t>
      </w:r>
    </w:p>
    <w:p w14:paraId="03F99412">
      <w:pPr>
        <w:spacing w:line="240" w:lineRule="auto"/>
        <w:ind w:firstLine="640"/>
        <w:jc w:val="both"/>
      </w:pPr>
      <w:r>
        <w:rPr>
          <w:rFonts w:ascii="仿宋_GB2312" w:hAnsi="仿宋_GB2312" w:eastAsia="仿宋_GB2312"/>
          <w:b w:val="0"/>
          <w:sz w:val="32"/>
        </w:rPr>
        <w:t>四、《财政拨款收入支出决算总表》</w:t>
      </w:r>
    </w:p>
    <w:p w14:paraId="2358CD79">
      <w:pPr>
        <w:spacing w:line="240" w:lineRule="auto"/>
        <w:ind w:firstLine="640"/>
        <w:jc w:val="both"/>
      </w:pPr>
      <w:r>
        <w:rPr>
          <w:rFonts w:ascii="仿宋_GB2312" w:hAnsi="仿宋_GB2312" w:eastAsia="仿宋_GB2312"/>
          <w:b w:val="0"/>
          <w:sz w:val="32"/>
        </w:rPr>
        <w:t>五、《一般公共预算财政拨款支出决算表》</w:t>
      </w:r>
    </w:p>
    <w:p w14:paraId="297B5EE6">
      <w:pPr>
        <w:spacing w:line="240" w:lineRule="auto"/>
        <w:ind w:firstLine="640"/>
        <w:jc w:val="both"/>
      </w:pPr>
      <w:r>
        <w:rPr>
          <w:rFonts w:ascii="仿宋_GB2312" w:hAnsi="仿宋_GB2312" w:eastAsia="仿宋_GB2312"/>
          <w:b w:val="0"/>
          <w:sz w:val="32"/>
        </w:rPr>
        <w:t>六、《一般公共预算财政拨款基本支出决算表》</w:t>
      </w:r>
    </w:p>
    <w:p w14:paraId="21059F18">
      <w:pPr>
        <w:spacing w:line="240" w:lineRule="auto"/>
        <w:ind w:firstLine="640"/>
        <w:jc w:val="both"/>
      </w:pPr>
      <w:r>
        <w:rPr>
          <w:rFonts w:ascii="仿宋_GB2312" w:hAnsi="仿宋_GB2312" w:eastAsia="仿宋_GB2312"/>
          <w:b w:val="0"/>
          <w:sz w:val="32"/>
        </w:rPr>
        <w:t>七、《政府性基金预算财政拨款收入支出决算表》</w:t>
      </w:r>
    </w:p>
    <w:p w14:paraId="0E59A7EC">
      <w:pPr>
        <w:spacing w:line="240" w:lineRule="auto"/>
        <w:ind w:firstLine="640"/>
        <w:jc w:val="both"/>
      </w:pPr>
      <w:r>
        <w:rPr>
          <w:rFonts w:ascii="仿宋_GB2312" w:hAnsi="仿宋_GB2312" w:eastAsia="仿宋_GB2312"/>
          <w:b w:val="0"/>
          <w:sz w:val="32"/>
        </w:rPr>
        <w:t>八、《国有资本经营预算财政拨款收入支出决算表》</w:t>
      </w:r>
    </w:p>
    <w:p w14:paraId="6ABFFAFF">
      <w:pPr>
        <w:spacing w:line="240" w:lineRule="auto"/>
        <w:ind w:firstLine="640"/>
        <w:jc w:val="both"/>
      </w:pPr>
      <w:r>
        <w:rPr>
          <w:rFonts w:ascii="仿宋_GB2312" w:hAnsi="仿宋_GB2312" w:eastAsia="仿宋_GB2312"/>
          <w:b w:val="0"/>
          <w:sz w:val="32"/>
        </w:rPr>
        <w:t>九、《财政拨款“三公”经费支出决算表》</w:t>
      </w:r>
    </w:p>
    <w:p w14:paraId="01201E70">
      <w:pPr>
        <w:spacing w:line="240" w:lineRule="auto"/>
        <w:ind w:firstLine="640"/>
        <w:jc w:val="both"/>
      </w:pPr>
    </w:p>
    <w:p w14:paraId="77557F66">
      <w:pPr>
        <w:spacing w:line="240" w:lineRule="auto"/>
        <w:ind w:firstLine="640"/>
        <w:jc w:val="both"/>
      </w:pPr>
    </w:p>
    <w:p w14:paraId="1CCF5914">
      <w:pPr>
        <w:spacing w:line="240" w:lineRule="auto"/>
        <w:ind w:firstLine="640"/>
        <w:jc w:val="both"/>
      </w:pPr>
    </w:p>
    <w:p w14:paraId="5D8722A9">
      <w:pPr>
        <w:spacing w:line="240" w:lineRule="auto"/>
        <w:ind w:firstLine="640"/>
        <w:jc w:val="both"/>
      </w:pPr>
    </w:p>
    <w:p w14:paraId="2D9F87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6A60F3-9302-41D9-A6DE-806527F3B2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5ADD5C6-1329-4FDB-B2F0-9568DD43F818}"/>
  </w:font>
  <w:font w:name="仿宋_GB2312">
    <w:panose1 w:val="02010609030101010101"/>
    <w:charset w:val="86"/>
    <w:family w:val="modern"/>
    <w:pitch w:val="default"/>
    <w:sig w:usb0="00000001" w:usb1="080E0000" w:usb2="00000000" w:usb3="00000000" w:csb0="00040000" w:csb1="00000000"/>
    <w:embedRegular r:id="rId3" w:fontKey="{87D97E0E-8405-4E41-A5DF-EFC808B04B0C}"/>
  </w:font>
  <w:font w:name="楷体_GB2312">
    <w:panose1 w:val="02010609030101010101"/>
    <w:charset w:val="86"/>
    <w:family w:val="auto"/>
    <w:pitch w:val="default"/>
    <w:sig w:usb0="00000001" w:usb1="080E0000" w:usb2="00000000" w:usb3="00000000" w:csb0="00040000" w:csb1="00000000"/>
    <w:embedRegular r:id="rId4" w:fontKey="{A0B60A97-F7B9-4E98-BF4F-07E833F340BC}"/>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836FA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4848A2"/>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6015</Words>
  <Characters>6864</Characters>
  <Lines>0</Lines>
  <Paragraphs>0</Paragraphs>
  <TotalTime>5</TotalTime>
  <ScaleCrop>false</ScaleCrop>
  <LinksUpToDate>false</LinksUpToDate>
  <CharactersWithSpaces>6872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2025-09-25T04:38:15Z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