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xmlns:cx1="http://schemas.microsoft.com/office/drawing/2015/9/8/chartex" xmlns:w15="http://schemas.microsoft.com/office/word/2012/wordml" mc:Ignorable="w14 wp14 w15">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w:t>
      </w: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w:t>
      </w:r>
      <w:r>
        <w:rPr>
          <w:rFonts w:eastAsia="仿宋_GB2312" w:hAnsi="宋体" w:cs="宋体" w:hint="eastAsia"/>
          <w:kern w:val="0"/>
          <w:sz w:val="36"/>
          <w:szCs w:val="36"/>
        </w:rPr>
        <w:t xml:space="preserve">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农村综合改革转移支付(第二批资金)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 xml:space="preserve">实施单位（公章）：</w:t>
      </w:r>
      <w:r>
        <w:rPr>
          <w:rStyle w:val="Strong"/>
          <w:rFonts w:ascii="楷体" w:eastAsia="楷体" w:hAnsi="楷体" w:hint="eastAsia"/>
          <w:spacing w:val="-4"/>
          <w:sz w:val="28"/>
          <w:szCs w:val="28"/>
        </w:rPr>
        <w:t xml:space="preserve">霍城县萨尔布拉克镇人民政府</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霍城县萨尔布拉克镇人民政府</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加林</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不断改善农村生产生活条件和人居环境，实施乡村振兴战略，加大基础设施建设，坚持发挥农村公益事业财政奖补项目引领带动作用，从群众最需要、最期盼的公益事业入手，推进村级公益事业财政奖补项目建设，持续改善农村生产生活条件，增强基层党组织凝聚力，调动广大农民参与乡村振兴，美丽乡村建设，发展现代农业的积极性，促进村级高质量发展。根据《关于提前下达2024年中央农村综合改革转移支付预算的通知》（伊州财农【2024】33号）文件精神，助力乡村农业基础设施建设更加完善，改善人居环境，提升村容村貌，促进农牧民收入提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2.项目主要内容：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主要内容：推进农村公益事业建设，提升农村人居环境。拜斯铁烈克村二组通过道路硬化及铺设彩砖2500平方，助力乡村人行道路建设更加完善，改善人居环境，提升村容村貌，促进农牧民收入提升。巴依地响村通过铺设饮用水管网2.35公里和安装太阳能路灯54盏，将解决十五户居民饮水困难的问题和方便村民夜间出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情况：拜斯铁烈克村二组新建道路硬化及铺设彩砖2445平方，投入资金29.97万元；巴依地响村铺设饮用水管网2.35公里，投入资金16.95万元；安装太阳能路灯54盏，投入资金12.96万元。通过道路硬化及铺设彩砖、管网铺设和安装太阳能路灯的实施，有效提升农村综合性改革试点试验地区乡村治理能力和改善农村生态环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（1）资金投入情况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该项目年初预算数60.00万元，全年预算数60.00万元，该项目资金已全部落实到位，资金来源为财政拨款。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60.00万元，全年预算数60.00万元，全年执行数59.89万元，预算执行率为99.82%，主要用于：拜斯铁烈克村二组通过道路硬化及铺设彩砖2500平方，投入29.97万元。巴依地响村通过铺设饮用水管网2.35公里和安装太阳能路灯54盏，投入资金29.92万元。</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1.总体目标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推进农村公益事业建设，提升农村人居环境。拜斯铁烈克村二组通过道路硬化及铺设彩砖2500平方，助力乡村人行道路建设更加完善，改善人居环境，提升村容村貌，促进农牧民收入提升。巴依地响村通过铺设饮用水管网2.35公里和安装太阳能路灯54盏，将解决十五户居民饮水困难的问题和方便村民夜间出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（1）前期筹备阶段。拜斯铁烈克村和巴依地响村两个村通过“四议两公开”程序确定项目实施内容及选定施工单位。拜斯铁列克村实施道路硬化及铺设彩砖，巴依地响村铺设饮用水管网和安装太阳能路灯。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（2）项目执行阶段。拜斯铁烈克村党支部书记董玉华、巴依地响村党支部书记杨照国配合施工单位开展项目建设，协调场地清理、材料运输，配合施工并维护现场秩序，处理村民咨询，确保项目按计划完成。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（3）总结验收阶段。项目办干部艾尼瓦尔·肖开提负责项目验收及决算审计工作，萨尔布拉克镇经济发展办公室干部易科吉进行票据审核及监管资金拨付。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1.绩效评价完整性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本项目预算绩效评价报告在编制过程中，严格遵循相关法规与标准，确保评价内容的全面性与准确性。报告涵盖了项目从预算编制、执行到完成的全过程，对项目的各项绩效指标进行了细致的梳理与评估。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指标体系的构建上，充分考虑了项目的性质、目标以及预期成果，选取了具有代表性和可衡量性的关键指标，涵盖了社会效益、生态效益等多个维度，力求全方位反映项目的绩效状况。同时，对于每个指标的评价标准和数据来源均进行了明确说明，确保评价结果的客观性和可追溯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2.绩效评价的目的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（1）评估项目实施效果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通过对项目预算执行情况及各项绩效目标达成程度的系统性分析，全面、客观地评估项目在预定周期内的实施效果，包括社会效益、生态效益等多维度指标，为项目后续的改进与优化提供科学依据。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（2）提升资源利用效率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（3）强化项目管理责任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（4）为决策提供支持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（5）促进项目持续改进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3.绩效评价的对象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对象是农村综合改革转移支付(第二批资金)及其预算执行情况。该项目由霍城县萨尔布拉克镇人民政府负责实施，旨在推进农村公益事业建设，提升农村人居环境。项目预算涵盖从2024年8月1日至2024年12月25日的全部资金投入与支出，涉及资金总额为59.89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4.绩效评价的范围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本项目预算绩效评价报告的评价范围广泛而全面，涵盖了从项目立项至评价时点期间的所有关键预算活动和财务流程。具体而言，评价范围包括但不限于以下几个方面：</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（1）项目预算编制与执行：全面审视项目预算的编制依据、合理性、科学性以及实际执行情况，包括预算调整的原因和效果。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（2）资金管理：深入分析项目资金的分配、使用和监管情况，确保资金使用的合规性、高效性和透明度。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（3）项目实施进度与产出：评估项目是否按照既定计划顺利推进，各项任务是否按时完成，以及项目产出的数量、质量和时效性是否符合预期。</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（4）社会、生态等影响：考察项目对社会、生态等方面的综合影响。</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本次项目绩效评价遵循以下基本原则：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（1）科学公正。绩效评价应当运用科学合理的方法，按照规范的程序，对项目绩效进行客观、公正的反映。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（4）公开透明。绩效评价结果应依法依规公开，并自觉接受社会监督。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绩效评价框架是开展绩效评价的核心。绩效评价框架包括评价准则、关键评价问题、评价指标、数据来源、数据收集方法等。指标体系建立过程如下：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（1）确定评价指标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（2）确定权重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确定各个指标相对于项目总体绩效的权重分值。在绩效评价指标体系中，项目决策权重为20分，项目过程权重为20分，项目产出权重为40分，项目效益权重为20分。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（3）确定指标标准值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指标标准值是绩效评价指标的尺度，既要反映同类项目的先进水平，又要符合项目的实际绩效水平。具体采用计划标准等确定此次绩效评价指标标准值。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绩效评价总分值100分，根据综合评分结果，90（含）-100分为优、80（含）-90分为良、60（含）-80分为中、60分以下为差。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具体评价指标体系详情见附件1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绩效评价从项目决策、项目过程、项目产出、项目效益四个维度进行评价。评价对象为项目目标实施情况，  评价核心为资金的支出完成情况和项目的产出效益。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指标中，既有定性指标又有定量指标，各类指标因考核内容不同和客观标准不同存在较大差异，因此核定具体指标时采用了不同方法，具体评价方法及使用原因如下：本次项目支出绩效采用成本效益分析法，通过支出道路硬化及铺设彩砖费用29.97万元，管网铺设费用16.95万元，安装太阳能路灯费用12.96万元，运用成本效益分析法能够将投入和产出更好的关联，促进资金的更合理使用，实现成本可控，助力乡村人行道路建设更加完善，解决十五户居民饮水困难的问题和方便村民夜间出行，改善人居环境，提升村容村貌，促进农牧民收入提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标准通常包括计划标准、行业标准、历史标准等，用于对绩效指标完成情况进行比较、分析、评价。本次评价主要采用了计划标准，原因是根据年初制定的年度重点工作计划和绩效指定定额完成量，拜斯铁烈克村二组通过道路硬化及铺设彩砖2500平方，巴依地响村铺设饮用水管网2.35公里和安装太阳能路灯54盏，为体现绩效改进的原则，在可实现的条件下确定了相对较高的评价标准。</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（1）前期准备与规划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绩效评价工作启动之初，成立了专门的评价工作小组，小组成员由财务人员、项目管理专业人员及相关领域技术骨干组成，确保从多角度、全方位对项目绩效进行评价。同时，明确了评价工作的目标、范围、重点及时间安排，制定了详细的工作计划，为评价工作的顺利开展奠定了坚实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（2）指标体系构建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（3）数据收集与整理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（4）数据分析与评估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（5）报告撰写与反馈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（6）后续跟踪与改进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综合评价基于对项目各方面绩效的深入分析与评估。从项目目标的达成情况来看，农村综合改革转移支付(第二批资金)在支持村内公益设施建设数量、饮用水管网铺设面积等方面表现出色，达到了预期的标准与要求。同时，项目也在改善农村人居环境方面取得了显著的成效，如农村生态环境有效改善、农村综合性改革试点试验地区乡村治理能力有所提升等。</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在项目管理方面，霍城县萨尔布拉克镇人民政府通过有效的规划、组织与协调，项目得以顺利实施，并在预算与时间上保持了良好的控制。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从项目效益的角度来看，本项目不仅实现了预期的社会效益、生态效益等方面产生了积极的影响。具体而言，农村综合性改革试点试验地区乡村治理能力、农村生态环境等方面的提升，为项目的利益相关者带来了实实在在的利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综上所述，农村综合改革转移支付(第二批资金)在绩效评价中表现出色，达到了项目的预期目标，并在多个方面取得了显著的成效。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 99.92分，属于“优”。其中，项目决策类指标权重为20分，得分为 20分，得分率为 100%。项目过程类指标权重为20分，得分为19.99分，得分率为99.95%。项目产出类指标权重为40分，得分为39.93分，得分率为 99.83%。项目效益类指标权重为20分，得分为20分，得分率为100%。具体打分情况详见：附件1综合评分表。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项目决策类指标包括项目立项、绩效目标和资金投入三方面的内容，由6个三级指标构成，权重分值为20分，实际得分20分，得分率为100.00%。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1.项目立项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项目设置了明确的预期产出效益和效果，将绩效目标细化分解为具体的绩效指标，绩效目标与项目目标任务数相对应，绩效目标设定的绩效指标清晰、细化、可衡量。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本项目的资金分配遵循了公平、公正、透明的原则，确保了项目资源的合理配置与高效利用。在资金分配过程中，我们充分考虑了项目的实际需求与目标，对不同阶段、不同任务的资金进行了科学的规划与安排。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项目过程类指标包括资金管理和组织实施两方面的内容，由5个三级指标构成，权重分值为20分，实际得分19.99分，得分率为99.95%。</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本项目总投资60.00万元，财政资金及时足额到位，到位率100%，预算资金按计划进度执行。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预算编制较为详细，项目资金支出总体能够按照预算执行，预算资金支出59.98万元，预算执行率为99.82%。</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本项目的资金使用严格遵循了国家相关法律法规与财务制度，确保了资金的合规性与安全性。在资金使用过程中，我们建立了完善的财务管理体系，对资金的流动进行了全程监控与记录。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本项目拥有一套完善、健全的管理制度体系，为项目的成功实施提供了坚实的制度保障。项目管理制度的制定紧密结合了项目的特点与实际情况，涵盖了项目的策划、组织、实施、监控与收尾等各个环节。</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在制度设计上，我们注重了制度的科学性与可操作性，确保制度能够切实指导项目的执行与管理。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综上所述，本项目的管理制度是健全的、有效的，既符合项目的实际情况，又满足了项目管理的需要。管理制度的健全性为项目的成功实施提供了有力的保障，也为项目的绩效评价奠定了坚实的基础。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在具体执行过程中，项目团队成员严格按照制度要求进行操作。同时，我们还建立了有效的沟通机制与反馈机制，确保项目信息的及时传递与问题的及时解决，进一步提高了制度执行的效率与效果。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综上所述，本项目的管理制度在执行过程中表现出了高度的有效性，既确保了项目的顺利进行，又实现了项目目标的有效达成。</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项目产出类指标包括产出数量、产出质量、产出时效、产出成本四方面的内容，由11个三级指标构成，权重分为40分，实际得分39.93分，得分率为99.83%。具体产出指标完成情况如下：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指标1：支持村内公益设施建设数量，指标值：=2个，实际完成值：2个，指标完成率100%。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指标2：道路硬化及铺设彩砖面积，指标值：=2500平方，实际完成值：2445平方，指标完成率97.8%，偏差原因：按照项目内容，完成实际的工程量。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指标3：饮用水管网铺设面积，指标值：=2.35公里，实际完成值：2.35公里，指标完成率100%。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指标4：安装太阳能路灯，指标值：=54盏，实际完成值：54盏，指标完成率100%。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②质量指标：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指标1：村内公益设施建设验收合格率，指标值：=100%，实际完成值：100%，指标完成率100%。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③时效指标：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指标1：中央财政资金下达及时性（收到文件后7个工作日内将预算分解下达相关单位），指标值：=100%，实际完成值：100%，指标完成率100%。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指标2：项目按计划开工时间，指标值：=2024年8月1日，实际完成值：2024年8月1日，指标完成率100%。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指标3：项目按计划完工时间，指标值：=2024年12月25日，实际完成值：2024年10月18日，指标完成率100%。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④成本指标：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指标1：道路硬化及铺设彩砖费用，指标值：&lt;=30万元，实际完成值：29.97万元，指标完成率99.9%，偏差原因：严格控制开支，降低运行成本。</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指标2：管网铺设费用，指标值：&lt;=17.04万元，实际完成值：16.95万元，指标完成率99.47%，偏差原因：严格控制开支，降低运行成本。</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指标3：安装太阳能路灯费用，指标值：&lt;=12.96万元，实际完成值：12.96万元，指标完成率100%。</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项目效益类指标包括项目实施效益和满意度两方面的内容，由5个三级指标构成，权重分为20分，实际得分20分，得分率为100%。具体效益指标及满意度指标完成情况如下：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1.实施效益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①社会效益指标：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指标1：农村综合性改革试点试验地区乡村治理能力，指标值：有所提升，实际完成值：有所提升，指标完成率100%。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指标2：农村公益事业滚动项目库，指标值：基本建立，实际完成值：基本建立，指标完成率100%。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②生态效益指标：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指标1：农村生态环境，指标值：有效改善，实际完成值：有效改善，指标完成率100%。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2.满意度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指标1：项目区农民满意度，指标值：&gt;=90%，实际完成值：100%，指标完成率111%，偏差原因：达到预期目标。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指标2：项目区基层干部满意度，指标值：&gt;=90%，实际完成值：100%，指标完成率111%，偏差原因：达到预期目标。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（五）预算执行进度与绩效指标总体完成率偏差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农村综合改革转移支付(第二批资金)项目年初预算60.00万元，全年预算60.00万元，实际支出59.98万元，预算执行率为99.82%，项目绩效指标总体完成率为101.2%，总体偏差率为1.38%，偏差原因在项目实施过程中，严格控制道路硬化及彩砖铺设和管网铺设成本，实际支出与预算支出存在差异。改进措施：在项目编制预算时，细化支出分项预算，降低实际支出与预算支出的差异。</w:t>
      </w:r>
    </w:p>
    <w:p>
      <w:pPr>
        <w:spacing w:line="540" w:lineRule="exact"/>
        <w:ind w:firstLine="567"/>
        <w:rPr>
          <w:rStyle w:val="Strong"/>
          <w:rFonts w:ascii="楷体" w:eastAsia="楷体" w:hAnsi="楷体"/>
          <w:spacing w:val="-4"/>
          <w:sz w:val="32"/>
          <w:szCs w:val="32"/>
        </w:rPr>
      </w:pPr>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rPr>
        <w:t xml:space="preserve">五、</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1.相关绩效管理方面专业知识的系统性学习有待加强。各项指标的设置要进一步优化、完善，主要在细化、量化上改进。在绩效自评过程中，由</w:t>
      </w:r>
      <w:r>
        <w:rPr>
          <w:rStyle w:val="Strong"/>
          <w:rFonts w:ascii="楷体" w:eastAsia="楷体" w:hAnsi="楷体" w:hint="eastAsia"/>
          <w:spacing w:val="-4"/>
          <w:sz w:val="32"/>
          <w:szCs w:val="32"/>
        </w:rPr>
        <w:t xml:space="preserve">干部</w:t>
      </w:r>
      <w:r>
        <w:rPr>
          <w:rStyle w:val="Strong"/>
          <w:rFonts w:ascii="楷体" w:eastAsia="楷体" w:hAnsi="楷体" w:hint="eastAsia"/>
          <w:spacing w:val="-4"/>
          <w:sz w:val="32"/>
          <w:szCs w:val="32"/>
        </w:rPr>
        <w:t xml:space="preserve">分人员缺乏相关绩效管理专业知识，自评价工作还存在自我审定的局限性，影响评价质量。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2.因轮岗、调动等因素使我单位绩效工作人员流动频繁，造成工作衔接不到位的情况。</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1.多进行有关绩效管理工作方面的培训。积极组织第三方开展绩效管理工作培训，进一步夯实业务基础，提高我单位绩效人员水平。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2.专门设定对绩效工作人员定职、定岗、定责等相关制度措施，进一步提升我单位绩效管理工作业务水平，扎实做好绩效管理工作。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4.进一步完善项目评价过程中有关数据和资料的收集、整理、审核及分析。项目启动时同步做好档案的归纳与整理，及时整理、收集、汇总，健全档案资料。项目后续管理有待进一步加强和跟踪。</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本项目无其他需说明的问题。</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3"/>
      <w:pgSz w:w="11906" w:h="16838" w:orient="portrait"/>
      <w:pgMar w:top="1440" w:right="1558" w:bottom="1440" w:left="1800" w:header="851" w:footer="992" w:gutter="0"/>
      <w:pgBorders/>
      <w:cols w:num="1" w:space="425">
        <w:col w:w="8548" w:space="425"/>
      </w:cols>
      <w:docGrid w:type="lines" w:linePitch="312"/>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rPr/>
        </w:pPr>
        <w:r>
          <w:fldChar w:fldCharType="begin"/>
        </w:r>
        <w:r>
          <w:instrText xml:space="preserve">PAGE   \* MERGEFORMAT</w:instrText>
        </w:r>
        <w:r>
          <w:fldChar w:fldCharType="separate"/>
        </w:r>
        <w:r>
          <w:rPr>
            <w:lang w:val="zh-CN"/>
          </w:rPr>
          <w:t xml:space="preserve">1</w:t>
        </w:r>
        <w:r>
          <w:fldChar w:fldCharType="end"/>
        </w:r>
      </w:p>
    </w:sdtContent>
  </w:sdt>
  <w:p>
    <w:pPr>
      <w:pStyle w:val="Footer"/>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xmlns:w15="http://schemas.microsoft.com/office/word/2012/wordml" mc:Ignorable="w14 w15">
  <w:zoom w:percent="120"/>
  <w:bordersDoNotSurroundFooter/>
  <w:bordersDoNotSurroundHeader/>
  <w:proofState w:spelling="clean" w:grammar="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5"/>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decimalSymbol w:val="."/>
  <w:listSeparator w:val=","/>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s New Roman" w:eastAsia="宋体" w:hAnsi="Times New Roman"/>
      <w:kern w:val="2"/>
      <w:sz w:val="21"/>
      <w:szCs w:val="24"/>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Ind w:w="0" w:type="dxa"/>
      <w:tblCellMar>
        <w:top w:w="0" w:type="dxa"/>
        <w:left w:w="108" w:type="dxa"/>
        <w:bottom w:w="0" w:type="dxa"/>
        <w:right w:w="108" w:type="dxa"/>
      </w:tblCellMar>
    </w:tblPr>
  </w:style>
  <w:style w:type="numbering" w:styleId="NoList">
    <w:name w:val="No List"/>
    <w:uiPriority w:val="99"/>
    <w:semiHidden/>
    <w:unhideWhenUsed/>
    <w:rPr/>
  </w:style>
  <w:style w:type="paragraph" w:styleId="BalloonText">
    <w:name w:val="Balloon Text"/>
    <w:basedOn w:val="Normal"/>
    <w:link w:val="批注框文本字符"/>
    <w:uiPriority w:val="99"/>
    <w:semiHidden/>
    <w:unhideWhenUsed/>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rPr>
      <w:rFonts w:ascii="Calibri" w:eastAsia="宋体" w:hAnsi="Calibri"/>
      <w:kern w:val="2"/>
      <w:sz w:val="18"/>
      <w:szCs w:val="18"/>
    </w:rPr>
  </w:style>
  <w:style w:type="character" w:customStyle="1" w:styleId="页脚字符">
    <w:name w:val="页脚 字符"/>
    <w:basedOn w:val="DefaultParagraphFont"/>
    <w:link w:val="Footer"/>
    <w:uiPriority w:val="99"/>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21EF0CDCB73D4B8D8FAC715995DB8275</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3</Pages>
  <Words>104</Words>
  <Characters>598</Characters>
  <Application>Microsoft Office Word</Application>
  <DocSecurity>0</DocSecurity>
  <Lines>4</Lines>
  <Paragraphs>1</Paragraphs>
  <Company>微软中国</Company>
  <CharactersWithSpaces>701</CharactersWithSpaces>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2</cp:revision>
  <cp:lastPrinted>2018-12-31T10:56:00Z</cp:lastPrinted>
  <dcterms:created xsi:type="dcterms:W3CDTF">2025-03-11T03:27:00Z</dcterms:created>
  <dcterms:modified xsi:type="dcterms:W3CDTF">2025-03-11T03:27:00Z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2052-11.1.0.11365</vt:lpwstr>
  </property>
  <property fmtid="{D5CDD505-2E9C-101B-9397-08002B2CF9AE}" pid="3" name="ICV">
    <vt:lpwstr>21EF0CDCB73D4B8D8FAC715995DB8275</vt:lpwstr>
  </property>
</Properties>
</file>