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霍城县芦草沟镇卫生院2024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35B83C">
      <w:r>
        <w:br w:type="page"/>
      </w:r>
    </w:p>
    <w:p w14:paraId="273A4815">
      <w:pPr>
        <w:spacing w:line="640" w:lineRule="exact"/>
        <w:jc w:val="center"/>
        <w:outlineLvl w:val="1"/>
      </w:pPr>
      <w:r>
        <w:rPr>
          <w:rFonts w:ascii="黑体" w:hAnsi="黑体" w:eastAsia="黑体"/>
          <w:sz w:val="32"/>
        </w:rPr>
        <w:t>第一部分 单位概况</w:t>
      </w:r>
    </w:p>
    <w:p w14:paraId="324BD9C5">
      <w:pPr>
        <w:spacing w:line="640" w:lineRule="exact"/>
        <w:ind w:firstLine="640"/>
        <w:jc w:val="both"/>
        <w:outlineLvl w:val="2"/>
      </w:pPr>
      <w:r>
        <w:rPr>
          <w:rFonts w:ascii="黑体" w:hAnsi="黑体" w:eastAsia="黑体"/>
          <w:sz w:val="32"/>
        </w:rPr>
        <w:t>一、主要职能</w:t>
      </w:r>
    </w:p>
    <w:p w14:paraId="5371A445">
      <w:pPr>
        <w:spacing w:line="580" w:lineRule="exact"/>
        <w:ind w:firstLine="640"/>
        <w:jc w:val="both"/>
      </w:pPr>
      <w:r>
        <w:rPr>
          <w:rFonts w:ascii="仿宋_GB2312" w:hAnsi="仿宋_GB2312" w:eastAsia="仿宋_GB2312"/>
          <w:sz w:val="32"/>
        </w:rPr>
        <w:t>为各民族农牧民提供基本医疗卫生服务，医疗、护理、卫生防治、妇幼保健、健康教育、计生技术服务等工作。为农村初级合作医疗提供基本卫生保健和医疗服务，并指导村级卫生室的建设和业务。</w:t>
      </w:r>
    </w:p>
    <w:p w14:paraId="077DF308">
      <w:pPr>
        <w:spacing w:line="640" w:lineRule="exact"/>
        <w:ind w:firstLine="640"/>
        <w:jc w:val="both"/>
        <w:outlineLvl w:val="2"/>
      </w:pPr>
      <w:r>
        <w:rPr>
          <w:rFonts w:ascii="黑体" w:hAnsi="黑体" w:eastAsia="黑体"/>
          <w:sz w:val="32"/>
        </w:rPr>
        <w:t>二、机构设置及人员情况</w:t>
      </w:r>
    </w:p>
    <w:p w14:paraId="5299681B">
      <w:pPr>
        <w:spacing w:line="580" w:lineRule="exact"/>
        <w:ind w:firstLine="640"/>
        <w:jc w:val="both"/>
      </w:pPr>
      <w:r>
        <w:rPr>
          <w:rFonts w:ascii="仿宋_GB2312" w:hAnsi="仿宋_GB2312" w:eastAsia="仿宋_GB2312"/>
          <w:sz w:val="32"/>
        </w:rPr>
        <w:t>霍城县芦草沟镇卫生院2024年度，实有人数55人，其中：在职人员40人，增加1人；离休人员0人，增加0人；退休人员15人,减少1人。</w:t>
      </w:r>
    </w:p>
    <w:p w14:paraId="2384D69D">
      <w:pPr>
        <w:spacing w:line="580" w:lineRule="exact"/>
        <w:ind w:firstLine="640"/>
        <w:jc w:val="both"/>
      </w:pPr>
      <w:r>
        <w:rPr>
          <w:rFonts w:ascii="仿宋_GB2312" w:hAnsi="仿宋_GB2312" w:eastAsia="仿宋_GB2312"/>
          <w:sz w:val="32"/>
        </w:rPr>
        <w:t>霍城县芦草沟镇卫生院无下属预算单位，下设12个科室，分别是：办公室、财务室、收费室、门诊、药剂科、住院部、中医科、检验室、心电B超室、X光室、妇幼保健科、公卫科。</w:t>
      </w:r>
    </w:p>
    <w:p w14:paraId="59D7D6E4">
      <w:r>
        <w:br w:type="page"/>
      </w:r>
    </w:p>
    <w:p w14:paraId="1B38EB26">
      <w:pPr>
        <w:spacing w:line="240" w:lineRule="auto"/>
        <w:jc w:val="center"/>
        <w:outlineLvl w:val="1"/>
      </w:pPr>
      <w:r>
        <w:rPr>
          <w:rFonts w:ascii="黑体" w:hAnsi="黑体" w:eastAsia="黑体"/>
          <w:sz w:val="32"/>
        </w:rPr>
        <w:t>第二部分 部门决算情况说明</w:t>
      </w:r>
    </w:p>
    <w:p w14:paraId="69F9EBDB">
      <w:pPr>
        <w:spacing w:line="640" w:lineRule="exact"/>
        <w:ind w:firstLine="640"/>
        <w:jc w:val="both"/>
        <w:outlineLvl w:val="2"/>
      </w:pPr>
      <w:r>
        <w:rPr>
          <w:rFonts w:ascii="黑体" w:hAnsi="黑体" w:eastAsia="黑体"/>
          <w:sz w:val="32"/>
        </w:rPr>
        <w:t>一、收入支出决算总体情况说明</w:t>
      </w:r>
    </w:p>
    <w:p w14:paraId="51EE564B">
      <w:pPr>
        <w:spacing w:line="580" w:lineRule="exact"/>
        <w:ind w:firstLine="640"/>
        <w:jc w:val="both"/>
      </w:pPr>
      <w:r>
        <w:rPr>
          <w:rFonts w:ascii="仿宋_GB2312" w:hAnsi="仿宋_GB2312" w:eastAsia="仿宋_GB2312"/>
          <w:b/>
          <w:sz w:val="32"/>
        </w:rPr>
        <w:t>2024年度收入总计1,500.20万元，</w:t>
      </w:r>
      <w:r>
        <w:rPr>
          <w:rFonts w:ascii="仿宋_GB2312" w:hAnsi="仿宋_GB2312" w:eastAsia="仿宋_GB2312"/>
          <w:b w:val="0"/>
          <w:sz w:val="32"/>
        </w:rPr>
        <w:t>其中：本年收入合计1,500.20万元，使用非财政拨款结余（含专用结余）0.00万元，年初结转和结余0.00万元。</w:t>
      </w:r>
    </w:p>
    <w:p w14:paraId="1CD814B1">
      <w:pPr>
        <w:spacing w:line="580" w:lineRule="exact"/>
        <w:ind w:firstLine="640"/>
        <w:jc w:val="both"/>
      </w:pPr>
      <w:r>
        <w:rPr>
          <w:rFonts w:ascii="仿宋_GB2312" w:hAnsi="仿宋_GB2312" w:eastAsia="仿宋_GB2312"/>
          <w:b/>
          <w:sz w:val="32"/>
        </w:rPr>
        <w:t>2024年度支出总计1,500.20万元，</w:t>
      </w:r>
      <w:r>
        <w:rPr>
          <w:rFonts w:ascii="仿宋_GB2312" w:hAnsi="仿宋_GB2312" w:eastAsia="仿宋_GB2312"/>
          <w:b w:val="0"/>
          <w:sz w:val="32"/>
        </w:rPr>
        <w:t>其中：本年支出合计1,500.20万元，结余分配0.00万元，年末结转和结余0.00万元。</w:t>
      </w:r>
    </w:p>
    <w:p w14:paraId="090BC585">
      <w:pPr>
        <w:spacing w:line="580" w:lineRule="exact"/>
        <w:ind w:firstLine="640"/>
        <w:jc w:val="both"/>
      </w:pPr>
      <w:r>
        <w:rPr>
          <w:rFonts w:ascii="仿宋_GB2312" w:hAnsi="仿宋_GB2312" w:eastAsia="仿宋_GB2312"/>
          <w:b w:val="0"/>
          <w:sz w:val="32"/>
        </w:rPr>
        <w:t>收入支出总体与上年相比，减少251.47万元，下降14.36%，主要原因是：本年</w:t>
      </w:r>
      <w:r>
        <w:rPr>
          <w:rFonts w:hint="eastAsia" w:ascii="仿宋_GB2312" w:hAnsi="仿宋_GB2312" w:eastAsia="仿宋_GB2312"/>
          <w:b w:val="0"/>
          <w:sz w:val="32"/>
          <w:lang w:val="en-US" w:eastAsia="zh-CN"/>
        </w:rPr>
        <w:t>就诊</w:t>
      </w:r>
      <w:r>
        <w:rPr>
          <w:rFonts w:ascii="仿宋_GB2312" w:hAnsi="仿宋_GB2312" w:eastAsia="仿宋_GB2312"/>
          <w:b w:val="0"/>
          <w:sz w:val="32"/>
        </w:rPr>
        <w:t>人数减少，</w:t>
      </w:r>
      <w:r>
        <w:rPr>
          <w:rFonts w:hint="eastAsia" w:ascii="仿宋_GB2312" w:hAnsi="仿宋_GB2312" w:eastAsia="仿宋_GB2312"/>
          <w:b w:val="0"/>
          <w:sz w:val="32"/>
          <w:lang w:val="en-US" w:eastAsia="zh-CN"/>
        </w:rPr>
        <w:t>相应医疗收入支出减少，</w:t>
      </w:r>
      <w:r>
        <w:rPr>
          <w:rFonts w:ascii="仿宋_GB2312" w:hAnsi="仿宋_GB2312" w:eastAsia="仿宋_GB2312"/>
          <w:b w:val="0"/>
          <w:sz w:val="32"/>
        </w:rPr>
        <w:t>药品款减少。</w:t>
      </w:r>
    </w:p>
    <w:p w14:paraId="16EF4B8F">
      <w:pPr>
        <w:spacing w:line="640" w:lineRule="exact"/>
        <w:ind w:firstLine="640"/>
        <w:jc w:val="both"/>
        <w:outlineLvl w:val="2"/>
      </w:pPr>
      <w:r>
        <w:rPr>
          <w:rFonts w:ascii="黑体" w:hAnsi="黑体" w:eastAsia="黑体"/>
          <w:sz w:val="32"/>
        </w:rPr>
        <w:t>二、收入决算情况说明</w:t>
      </w:r>
    </w:p>
    <w:p w14:paraId="0A226177">
      <w:pPr>
        <w:spacing w:line="580" w:lineRule="exact"/>
        <w:ind w:firstLine="640"/>
        <w:jc w:val="both"/>
      </w:pPr>
      <w:r>
        <w:rPr>
          <w:rFonts w:ascii="仿宋_GB2312" w:hAnsi="仿宋_GB2312" w:eastAsia="仿宋_GB2312"/>
          <w:b/>
          <w:sz w:val="32"/>
        </w:rPr>
        <w:t>本年收入1,500.20万元，</w:t>
      </w:r>
      <w:r>
        <w:rPr>
          <w:rFonts w:ascii="仿宋_GB2312" w:hAnsi="仿宋_GB2312" w:eastAsia="仿宋_GB2312"/>
          <w:b w:val="0"/>
          <w:sz w:val="32"/>
        </w:rPr>
        <w:t>其中：财政拨款收入1,100.20万元，占73.34%；上级补助收入0.00万元，占0.00%；事业收入400.00万元，占26.66%；经营收入0.00万元，占0.00%；附属单位上缴收入0.00万元，占0.00%；其他收入0.00万元，占0.00%。</w:t>
      </w:r>
    </w:p>
    <w:p w14:paraId="1B5CA059">
      <w:pPr>
        <w:spacing w:line="640" w:lineRule="exact"/>
        <w:ind w:firstLine="640"/>
        <w:jc w:val="both"/>
        <w:outlineLvl w:val="2"/>
      </w:pPr>
      <w:r>
        <w:rPr>
          <w:rFonts w:ascii="黑体" w:hAnsi="黑体" w:eastAsia="黑体"/>
          <w:sz w:val="32"/>
        </w:rPr>
        <w:t>三、支出决算情况说明</w:t>
      </w:r>
    </w:p>
    <w:p w14:paraId="5878028C">
      <w:pPr>
        <w:spacing w:line="580" w:lineRule="exact"/>
        <w:ind w:firstLine="640"/>
        <w:jc w:val="both"/>
      </w:pPr>
      <w:r>
        <w:rPr>
          <w:rFonts w:ascii="仿宋_GB2312" w:hAnsi="仿宋_GB2312" w:eastAsia="仿宋_GB2312"/>
          <w:b/>
          <w:sz w:val="32"/>
        </w:rPr>
        <w:t>本年支出1,500.20万元，</w:t>
      </w:r>
      <w:r>
        <w:rPr>
          <w:rFonts w:ascii="仿宋_GB2312" w:hAnsi="仿宋_GB2312" w:eastAsia="仿宋_GB2312"/>
          <w:b w:val="0"/>
          <w:sz w:val="32"/>
        </w:rPr>
        <w:t>其中：基本支出1,094.86万元，占72.98%；项目支出405.34万元，占27.02%；上缴上级支出0.00万元，占0.00%；经营支出0.00万元，占0.00%；对附属单位补助支出0.00万元，占0.00%。</w:t>
      </w:r>
    </w:p>
    <w:p w14:paraId="13845BF9">
      <w:pPr>
        <w:spacing w:line="640" w:lineRule="exact"/>
        <w:ind w:firstLine="640"/>
        <w:jc w:val="both"/>
        <w:outlineLvl w:val="2"/>
      </w:pPr>
      <w:r>
        <w:rPr>
          <w:rFonts w:ascii="黑体" w:hAnsi="黑体" w:eastAsia="黑体"/>
          <w:sz w:val="32"/>
        </w:rPr>
        <w:t>四、财政拨款收入支出决算总体情况说明</w:t>
      </w:r>
    </w:p>
    <w:p w14:paraId="79EA4D04">
      <w:pPr>
        <w:spacing w:line="580" w:lineRule="exact"/>
        <w:ind w:firstLine="640"/>
        <w:jc w:val="both"/>
      </w:pPr>
      <w:r>
        <w:rPr>
          <w:rFonts w:ascii="仿宋_GB2312" w:hAnsi="仿宋_GB2312" w:eastAsia="仿宋_GB2312"/>
          <w:b/>
          <w:sz w:val="32"/>
        </w:rPr>
        <w:t>2024年度财政拨款收入总计1,100.20万元，</w:t>
      </w:r>
      <w:r>
        <w:rPr>
          <w:rFonts w:ascii="仿宋_GB2312" w:hAnsi="仿宋_GB2312" w:eastAsia="仿宋_GB2312"/>
          <w:b w:val="0"/>
          <w:sz w:val="32"/>
        </w:rPr>
        <w:t>其中：年初财政拨款结转和结余0.00万元，本年财政拨款收入1,100.20万元。</w:t>
      </w:r>
      <w:r>
        <w:rPr>
          <w:rFonts w:ascii="仿宋_GB2312" w:hAnsi="仿宋_GB2312" w:eastAsia="仿宋_GB2312"/>
          <w:b/>
          <w:sz w:val="32"/>
        </w:rPr>
        <w:t>财政拨款支出总计1,100.20万元，</w:t>
      </w:r>
      <w:r>
        <w:rPr>
          <w:rFonts w:ascii="仿宋_GB2312" w:hAnsi="仿宋_GB2312" w:eastAsia="仿宋_GB2312"/>
          <w:b w:val="0"/>
          <w:sz w:val="32"/>
        </w:rPr>
        <w:t>其中：年末财政拨款结转和结余0.00万元，本年财政拨款支出1,100.20万元。</w:t>
      </w:r>
    </w:p>
    <w:p w14:paraId="6A79845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增加33.74万元，增长3.16%，主要原因是：本年在职人员工资调增，相关人员经费增加；增加重大传染病防控经费、自治区医疗服务与保障能力提升补助资金、80岁以上老年人体检补助资金等。</w:t>
      </w:r>
      <w:r>
        <w:rPr>
          <w:rFonts w:ascii="仿宋_GB2312" w:hAnsi="仿宋_GB2312" w:eastAsia="仿宋_GB2312"/>
          <w:b/>
          <w:sz w:val="32"/>
        </w:rPr>
        <w:t>与年初预算相比，</w:t>
      </w:r>
      <w:r>
        <w:rPr>
          <w:rFonts w:ascii="仿宋_GB2312" w:hAnsi="仿宋_GB2312" w:eastAsia="仿宋_GB2312"/>
          <w:b w:val="0"/>
          <w:sz w:val="32"/>
        </w:rPr>
        <w:t>年初预算数639.60万元，决算数1,100.20万元，预决算差异率72.01%，主要原因是：年中追加人员工资、社保、公积金基数调增部分资金及重大传染病防控经费、自治区医疗服务与保障能力提升补助资金、80岁以上老年人体检补助资金等，导致预决算存在差异。</w:t>
      </w:r>
    </w:p>
    <w:p w14:paraId="39BCE4F0">
      <w:pPr>
        <w:spacing w:line="640" w:lineRule="exact"/>
        <w:ind w:firstLine="640"/>
        <w:jc w:val="both"/>
        <w:outlineLvl w:val="2"/>
      </w:pPr>
      <w:r>
        <w:rPr>
          <w:rFonts w:ascii="黑体" w:hAnsi="黑体" w:eastAsia="黑体"/>
          <w:sz w:val="32"/>
        </w:rPr>
        <w:t>五、一般公共预算财政拨款支出决算情况说明</w:t>
      </w:r>
    </w:p>
    <w:p w14:paraId="3EA8447F">
      <w:pPr>
        <w:spacing w:line="640" w:lineRule="exact"/>
        <w:ind w:firstLine="640"/>
        <w:jc w:val="both"/>
        <w:outlineLvl w:val="3"/>
      </w:pPr>
      <w:r>
        <w:rPr>
          <w:rFonts w:ascii="楷体_GB2312" w:hAnsi="楷体_GB2312" w:eastAsia="楷体_GB2312"/>
          <w:b/>
          <w:sz w:val="32"/>
        </w:rPr>
        <w:t>（一）一般公共预算财政拨款支出决算总体情况</w:t>
      </w:r>
    </w:p>
    <w:p w14:paraId="505C4BCA">
      <w:pPr>
        <w:spacing w:line="580" w:lineRule="exact"/>
        <w:ind w:firstLine="640"/>
        <w:jc w:val="both"/>
      </w:pPr>
      <w:r>
        <w:rPr>
          <w:rFonts w:ascii="仿宋_GB2312" w:hAnsi="仿宋_GB2312" w:eastAsia="仿宋_GB2312"/>
          <w:b/>
          <w:sz w:val="32"/>
        </w:rPr>
        <w:t>2024年度一般公共预算财政拨款支出1,094.25万元，</w:t>
      </w:r>
      <w:r>
        <w:rPr>
          <w:rFonts w:ascii="仿宋_GB2312" w:hAnsi="仿宋_GB2312" w:eastAsia="仿宋_GB2312"/>
          <w:b w:val="0"/>
          <w:sz w:val="32"/>
        </w:rPr>
        <w:t>占本年支出合计的72.94%。</w:t>
      </w:r>
      <w:r>
        <w:rPr>
          <w:rFonts w:ascii="仿宋_GB2312" w:hAnsi="仿宋_GB2312" w:eastAsia="仿宋_GB2312"/>
          <w:b/>
          <w:sz w:val="32"/>
        </w:rPr>
        <w:t>与上年相比，</w:t>
      </w:r>
      <w:r>
        <w:rPr>
          <w:rFonts w:ascii="仿宋_GB2312" w:hAnsi="仿宋_GB2312" w:eastAsia="仿宋_GB2312"/>
          <w:b w:val="0"/>
          <w:sz w:val="32"/>
        </w:rPr>
        <w:t>增加31.65万元，增长2.98%，主要原因是：本年在职人员工资调增，相关人员经费增加；增加重大传染病防控经费、自治区医疗服务与保障能力提升补助资金等。</w:t>
      </w:r>
      <w:r>
        <w:rPr>
          <w:rFonts w:ascii="仿宋_GB2312" w:hAnsi="仿宋_GB2312" w:eastAsia="仿宋_GB2312"/>
          <w:b/>
          <w:sz w:val="32"/>
        </w:rPr>
        <w:t>与年初预算相比,</w:t>
      </w:r>
      <w:r>
        <w:rPr>
          <w:rFonts w:ascii="仿宋_GB2312" w:hAnsi="仿宋_GB2312" w:eastAsia="仿宋_GB2312"/>
          <w:b w:val="0"/>
          <w:sz w:val="32"/>
        </w:rPr>
        <w:t>年初预算数639.60万元，决算数1,094.25万元，预决算差异率71.08%，主要原因是：年中追加人员工资、社保、公积金基数调增部分资金及重大传染病防控经费、自治区医疗服务与保障能力提升补助资金等，导致预决算存在差异。</w:t>
      </w:r>
    </w:p>
    <w:p w14:paraId="3DF125FD">
      <w:pPr>
        <w:spacing w:line="640" w:lineRule="exact"/>
        <w:ind w:firstLine="640"/>
        <w:jc w:val="both"/>
        <w:outlineLvl w:val="3"/>
      </w:pPr>
      <w:r>
        <w:rPr>
          <w:rFonts w:ascii="楷体_GB2312" w:hAnsi="楷体_GB2312" w:eastAsia="楷体_GB2312"/>
          <w:b/>
          <w:sz w:val="32"/>
        </w:rPr>
        <w:t>（二）一般公共预算财政拨款支出决算结构情况</w:t>
      </w:r>
    </w:p>
    <w:p w14:paraId="3317DF95">
      <w:pPr>
        <w:spacing w:line="580" w:lineRule="exact"/>
        <w:ind w:firstLine="640"/>
        <w:jc w:val="both"/>
      </w:pPr>
      <w:r>
        <w:rPr>
          <w:rFonts w:ascii="仿宋_GB2312" w:hAnsi="仿宋_GB2312" w:eastAsia="仿宋_GB2312"/>
          <w:b w:val="0"/>
          <w:sz w:val="32"/>
        </w:rPr>
        <w:t>1.社会保障和就业支出(类)77.63万元,占7.09%。</w:t>
      </w:r>
    </w:p>
    <w:p w14:paraId="0E971761">
      <w:pPr>
        <w:spacing w:line="580" w:lineRule="exact"/>
        <w:ind w:firstLine="640"/>
        <w:jc w:val="both"/>
      </w:pPr>
      <w:r>
        <w:rPr>
          <w:rFonts w:ascii="仿宋_GB2312" w:hAnsi="仿宋_GB2312" w:eastAsia="仿宋_GB2312"/>
          <w:b w:val="0"/>
          <w:sz w:val="32"/>
        </w:rPr>
        <w:t>2.卫生健康支出(类)959.55万元,占87.69%。</w:t>
      </w:r>
    </w:p>
    <w:p w14:paraId="2DC76179">
      <w:pPr>
        <w:spacing w:line="580" w:lineRule="exact"/>
        <w:ind w:firstLine="640"/>
        <w:jc w:val="both"/>
      </w:pPr>
      <w:r>
        <w:rPr>
          <w:rFonts w:ascii="仿宋_GB2312" w:hAnsi="仿宋_GB2312" w:eastAsia="仿宋_GB2312"/>
          <w:b w:val="0"/>
          <w:sz w:val="32"/>
        </w:rPr>
        <w:t>3.住房保障支出(类)57.07万元,占5.22%。</w:t>
      </w:r>
    </w:p>
    <w:p w14:paraId="59E1CC27">
      <w:pPr>
        <w:spacing w:line="640" w:lineRule="exact"/>
        <w:ind w:firstLine="640"/>
        <w:jc w:val="both"/>
        <w:outlineLvl w:val="3"/>
      </w:pPr>
      <w:r>
        <w:rPr>
          <w:rFonts w:ascii="楷体_GB2312" w:hAnsi="楷体_GB2312" w:eastAsia="楷体_GB2312"/>
          <w:b/>
          <w:sz w:val="32"/>
        </w:rPr>
        <w:t>（三）一般公共预算财政拨款支出决算具体情况</w:t>
      </w:r>
    </w:p>
    <w:p w14:paraId="2572E77A">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1.社会保障和就业支出(类)行政事业单位养老支出(款)事业单位离退休(项):支出决算数为10.82万元，比上年决算增加8.18万元，增长309.85%,主要原因是：本年增加退休人员基础绩效奖，退休费支出增加。</w:t>
      </w:r>
    </w:p>
    <w:p w14:paraId="4C03EA95">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66.81万元，比上年决算增加8.28万元，增长14.15%,主要原因是：本年在职人员工资基数调增，养老缴费基数上涨，相应支出增加。</w:t>
      </w:r>
    </w:p>
    <w:p w14:paraId="61FDDFA9">
      <w:pPr>
        <w:spacing w:line="580" w:lineRule="exact"/>
        <w:ind w:firstLine="640"/>
        <w:jc w:val="both"/>
      </w:pPr>
      <w:r>
        <w:rPr>
          <w:rFonts w:ascii="仿宋_GB2312" w:hAnsi="仿宋_GB2312" w:eastAsia="仿宋_GB2312"/>
          <w:b w:val="0"/>
          <w:sz w:val="32"/>
        </w:rPr>
        <w:t>3.社会保障和就业支出(类)抚恤(款)死亡抚恤(项):支出决算数为0.00万元，比上年决算减少5.41万元，下降100.00%,主要原因是：本年无新增死亡人员，死亡抚恤支出较上年减少。</w:t>
      </w:r>
    </w:p>
    <w:p w14:paraId="16852317">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4.卫生健康支出(类)卫生健康管理事务(款)其他卫生健康管理事务支出(项):支出决算数为0.89万元，比上年决算减少9.71万元，下降91.60%,主要原因是：本年</w:t>
      </w:r>
      <w:r>
        <w:rPr>
          <w:rFonts w:hint="eastAsia" w:ascii="仿宋_GB2312" w:hAnsi="仿宋_GB2312" w:eastAsia="仿宋_GB2312"/>
          <w:b w:val="0"/>
          <w:sz w:val="32"/>
          <w:lang w:val="en-US" w:eastAsia="zh-CN"/>
        </w:rPr>
        <w:t>减少</w:t>
      </w:r>
      <w:r>
        <w:rPr>
          <w:rFonts w:ascii="仿宋_GB2312" w:hAnsi="仿宋_GB2312" w:eastAsia="仿宋_GB2312"/>
          <w:b w:val="0"/>
          <w:sz w:val="32"/>
        </w:rPr>
        <w:t>自治区医疗服务与保障能力提升补助资金。</w:t>
      </w:r>
    </w:p>
    <w:p w14:paraId="7FE9AB55">
      <w:pPr>
        <w:spacing w:line="580" w:lineRule="exact"/>
        <w:ind w:firstLine="640"/>
        <w:jc w:val="both"/>
      </w:pPr>
      <w:r>
        <w:rPr>
          <w:rFonts w:ascii="仿宋_GB2312" w:hAnsi="仿宋_GB2312" w:eastAsia="仿宋_GB2312"/>
          <w:b w:val="0"/>
          <w:sz w:val="32"/>
        </w:rPr>
        <w:t>5.卫生健康支出(类)公立医院(款)其他公立医院支出(项):支出决算数为4.00万元，比上年决算增加4.00万元，增长100.00%,主要原因是：本年增加中央财政医疗服务与保障能力提升补助资金。</w:t>
      </w:r>
    </w:p>
    <w:p w14:paraId="545F6518">
      <w:pPr>
        <w:spacing w:line="580" w:lineRule="exact"/>
        <w:ind w:firstLine="640"/>
        <w:jc w:val="both"/>
      </w:pPr>
      <w:r>
        <w:rPr>
          <w:rFonts w:ascii="仿宋_GB2312" w:hAnsi="仿宋_GB2312" w:eastAsia="仿宋_GB2312"/>
          <w:b w:val="0"/>
          <w:sz w:val="32"/>
        </w:rPr>
        <w:t>6.卫生健康支出(类)基层医疗卫生机构(款)乡镇卫生院(项):支出决算数为526.75万元，比上年决算增加12.86万元，增长2.50%,主要原因是：本年在职人员工资调增，相关人员经费增加。</w:t>
      </w:r>
    </w:p>
    <w:p w14:paraId="21EDB108">
      <w:pPr>
        <w:spacing w:line="580" w:lineRule="exact"/>
        <w:ind w:firstLine="640"/>
        <w:jc w:val="both"/>
      </w:pPr>
      <w:r>
        <w:rPr>
          <w:rFonts w:ascii="仿宋_GB2312" w:hAnsi="仿宋_GB2312" w:eastAsia="仿宋_GB2312"/>
          <w:b w:val="0"/>
          <w:sz w:val="32"/>
        </w:rPr>
        <w:t>7.卫生健康支出(类)基层医疗卫生机构(款)其他基层医疗卫生机构支出(项):支出决算数为43.16万元，比上年决算增加1.36万元，增长3.25%,主要原因是：本年增加基本药物制度补助资金。</w:t>
      </w:r>
    </w:p>
    <w:p w14:paraId="1D561131">
      <w:pPr>
        <w:spacing w:line="580" w:lineRule="exact"/>
        <w:ind w:firstLine="640"/>
        <w:jc w:val="both"/>
      </w:pPr>
      <w:r>
        <w:rPr>
          <w:rFonts w:ascii="仿宋_GB2312" w:hAnsi="仿宋_GB2312" w:eastAsia="仿宋_GB2312"/>
          <w:b w:val="0"/>
          <w:sz w:val="32"/>
        </w:rPr>
        <w:t>8.卫生健康支出(类)公共卫生(款)基本公共卫生服务(项):支出决算数为261.57万元，比上年决算增加0.14万元，增长0.05%,主要原因是：本年增加中央基本公共卫生服务补助。</w:t>
      </w:r>
    </w:p>
    <w:p w14:paraId="4B0217BE">
      <w:pPr>
        <w:spacing w:line="580" w:lineRule="exact"/>
        <w:ind w:firstLine="640"/>
        <w:jc w:val="both"/>
      </w:pPr>
      <w:r>
        <w:rPr>
          <w:rFonts w:ascii="仿宋_GB2312" w:hAnsi="仿宋_GB2312" w:eastAsia="仿宋_GB2312"/>
          <w:b w:val="0"/>
          <w:sz w:val="32"/>
        </w:rPr>
        <w:t>9.卫生健康支出(类)公共卫生(款)重大公共卫生服务(项):支出决算数为3.10万元，比上年决算增加3.10万元，增长100.00%,主要原因是：本年增加重大传染病防控经费。</w:t>
      </w:r>
    </w:p>
    <w:p w14:paraId="514A1098">
      <w:pPr>
        <w:spacing w:line="580" w:lineRule="exact"/>
        <w:ind w:firstLine="640"/>
        <w:jc w:val="both"/>
      </w:pPr>
      <w:r>
        <w:rPr>
          <w:rFonts w:ascii="仿宋_GB2312" w:hAnsi="仿宋_GB2312" w:eastAsia="仿宋_GB2312"/>
          <w:b w:val="0"/>
          <w:sz w:val="32"/>
        </w:rPr>
        <w:t>10.卫生健康支出(类)公共卫生(款)突发公共卫生事件应急处理(项):支出决算数为0.00万元，比上年决算减少0.47万元，下降100.00%,主要原因是：本年减少中央突发事件财力补助项目资金。</w:t>
      </w:r>
    </w:p>
    <w:p w14:paraId="47E91ECB">
      <w:pPr>
        <w:spacing w:line="580" w:lineRule="exact"/>
        <w:ind w:firstLine="640"/>
        <w:jc w:val="both"/>
      </w:pPr>
      <w:r>
        <w:rPr>
          <w:rFonts w:ascii="仿宋_GB2312" w:hAnsi="仿宋_GB2312" w:eastAsia="仿宋_GB2312"/>
          <w:b w:val="0"/>
          <w:sz w:val="32"/>
        </w:rPr>
        <w:t>11.卫生健康支出(类)公共卫生(款)其他公共卫生支出(项):支出决算数为86.67万元，比上年决算增加5.83万元，增长7.21%,主要原因是：本年增加自治区地方公共卫生服务补助资金。</w:t>
      </w:r>
    </w:p>
    <w:p w14:paraId="710B450A">
      <w:pPr>
        <w:spacing w:line="580" w:lineRule="exact"/>
        <w:ind w:firstLine="640"/>
        <w:jc w:val="both"/>
      </w:pPr>
      <w:r>
        <w:rPr>
          <w:rFonts w:ascii="仿宋_GB2312" w:hAnsi="仿宋_GB2312" w:eastAsia="仿宋_GB2312"/>
          <w:b w:val="0"/>
          <w:sz w:val="32"/>
        </w:rPr>
        <w:t>12.卫生健康支出(类)行政事业单位医疗(款)事业单位医疗(项):支出决算数为33.41万元，比上年决算减少3.98万元，下降10.64%,主要原因是：因退休人员医疗保险制度改革，退休人员基本医疗不再由单位缴纳，导致经费较上年减少。</w:t>
      </w:r>
    </w:p>
    <w:p w14:paraId="31350AE5">
      <w:pPr>
        <w:spacing w:line="580" w:lineRule="exact"/>
        <w:ind w:firstLine="640"/>
        <w:jc w:val="both"/>
      </w:pPr>
      <w:r>
        <w:rPr>
          <w:rFonts w:ascii="仿宋_GB2312" w:hAnsi="仿宋_GB2312" w:eastAsia="仿宋_GB2312"/>
          <w:b w:val="0"/>
          <w:sz w:val="32"/>
        </w:rPr>
        <w:t>13.住房保障支出(类)住房改革支出(款)住房公积金(项):支出决算数为57.07万元，比上年决算增加7.48万元，增长15.08%,主要原因是：本年在职人员工资基数调增，公积金缴费基数上涨，相应支出增加。</w:t>
      </w:r>
    </w:p>
    <w:p w14:paraId="7E4FAA05">
      <w:pPr>
        <w:spacing w:line="640" w:lineRule="exact"/>
        <w:ind w:firstLine="640"/>
        <w:jc w:val="both"/>
        <w:outlineLvl w:val="2"/>
      </w:pPr>
      <w:r>
        <w:rPr>
          <w:rFonts w:ascii="黑体" w:hAnsi="黑体" w:eastAsia="黑体"/>
          <w:sz w:val="32"/>
        </w:rPr>
        <w:t>六、一般公共预算财政拨款基本支出决算情况说明</w:t>
      </w:r>
    </w:p>
    <w:p w14:paraId="1D62D444">
      <w:pPr>
        <w:spacing w:line="580" w:lineRule="exact"/>
        <w:ind w:firstLine="640"/>
        <w:jc w:val="both"/>
      </w:pPr>
      <w:r>
        <w:rPr>
          <w:rFonts w:ascii="仿宋_GB2312" w:hAnsi="仿宋_GB2312" w:eastAsia="仿宋_GB2312"/>
          <w:b w:val="0"/>
          <w:sz w:val="32"/>
        </w:rPr>
        <w:t>2024年度一般公共预算财政拨款基本支出694.86万元，其中：</w:t>
      </w:r>
      <w:r>
        <w:rPr>
          <w:rFonts w:ascii="仿宋_GB2312" w:hAnsi="仿宋_GB2312" w:eastAsia="仿宋_GB2312"/>
          <w:b/>
          <w:sz w:val="32"/>
        </w:rPr>
        <w:t>人员经费691.57万元，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包括：基本工资、津贴补贴、奖金、绩效工资、机关事业单位基本养老保险缴费、职工基本医疗保险缴费、其他社会保障缴费、住房公积金、其他工资福利支出、退休费、生活补助。</w:t>
      </w:r>
    </w:p>
    <w:p w14:paraId="10F177F5">
      <w:pPr>
        <w:spacing w:line="580" w:lineRule="exact"/>
        <w:ind w:firstLine="640"/>
        <w:jc w:val="both"/>
      </w:pPr>
      <w:r>
        <w:rPr>
          <w:rFonts w:ascii="仿宋_GB2312" w:hAnsi="仿宋_GB2312" w:eastAsia="仿宋_GB2312"/>
          <w:b/>
          <w:sz w:val="32"/>
        </w:rPr>
        <w:t>公用经费3.29万元，</w:t>
      </w:r>
      <w:r>
        <w:rPr>
          <w:rFonts w:ascii="仿宋_GB2312" w:hAnsi="仿宋_GB2312" w:eastAsia="仿宋_GB2312"/>
          <w:b w:val="0"/>
          <w:sz w:val="32"/>
        </w:rPr>
        <w:t>包括：工会经费、福利费。</w:t>
      </w:r>
    </w:p>
    <w:p w14:paraId="7A14337B">
      <w:pPr>
        <w:spacing w:line="640" w:lineRule="exact"/>
        <w:ind w:firstLine="640"/>
        <w:jc w:val="both"/>
        <w:outlineLvl w:val="2"/>
      </w:pPr>
      <w:r>
        <w:rPr>
          <w:rFonts w:ascii="黑体" w:hAnsi="黑体" w:eastAsia="黑体"/>
          <w:sz w:val="32"/>
        </w:rPr>
        <w:t>七、政府性基金预算财政拨款收入支出决算情况说明</w:t>
      </w:r>
    </w:p>
    <w:p w14:paraId="45B41D50">
      <w:pPr>
        <w:spacing w:line="580" w:lineRule="exact"/>
        <w:ind w:firstLine="640"/>
        <w:jc w:val="both"/>
      </w:pPr>
      <w:r>
        <w:rPr>
          <w:rFonts w:ascii="仿宋_GB2312" w:hAnsi="仿宋_GB2312" w:eastAsia="仿宋_GB2312"/>
          <w:b/>
          <w:sz w:val="32"/>
        </w:rPr>
        <w:t>2024年度政府性基金预算财政拨款收入总计5.95万元，</w:t>
      </w:r>
      <w:r>
        <w:rPr>
          <w:rFonts w:ascii="仿宋_GB2312" w:hAnsi="仿宋_GB2312" w:eastAsia="仿宋_GB2312"/>
          <w:b w:val="0"/>
          <w:sz w:val="32"/>
        </w:rPr>
        <w:t>其中：年初结转和结余0.00万元，本年收入5.95万元。</w:t>
      </w:r>
      <w:r>
        <w:rPr>
          <w:rFonts w:ascii="仿宋_GB2312" w:hAnsi="仿宋_GB2312" w:eastAsia="仿宋_GB2312"/>
          <w:b/>
          <w:sz w:val="32"/>
        </w:rPr>
        <w:t>政府性基金预算财政拨款支出总计5.95万元，</w:t>
      </w:r>
      <w:r>
        <w:rPr>
          <w:rFonts w:ascii="仿宋_GB2312" w:hAnsi="仿宋_GB2312" w:eastAsia="仿宋_GB2312"/>
          <w:b w:val="0"/>
          <w:sz w:val="32"/>
        </w:rPr>
        <w:t>其中：年末结转和结余0.00万元，本年支出5.95万元。</w:t>
      </w:r>
    </w:p>
    <w:p w14:paraId="1BB688C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增加2.09万元，增长54.15%，主要原因是：本年80岁以上老年人体检补助资金、2024年中央专项彩票公益金支持地方社会公益事业发展（医疗救助）资金较上年增加。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年初预算数0.00万元，决算数5.95万元，预决算差异率100.00%，主要原因是：年中追加80岁以上老年人体检补助资金，导致预决算存在差异。</w:t>
      </w:r>
    </w:p>
    <w:p w14:paraId="069E4F1F">
      <w:pPr>
        <w:spacing w:line="580" w:lineRule="exact"/>
        <w:ind w:firstLine="640"/>
        <w:jc w:val="both"/>
      </w:pPr>
      <w:r>
        <w:rPr>
          <w:rFonts w:ascii="仿宋_GB2312" w:hAnsi="仿宋_GB2312" w:eastAsia="仿宋_GB2312"/>
          <w:b w:val="0"/>
          <w:sz w:val="32"/>
        </w:rPr>
        <w:t>政府性基金预算财政拨款支出5.95万元。</w:t>
      </w:r>
    </w:p>
    <w:p w14:paraId="1C2594DF">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1.其他支出(类)彩票公益金安排的支出(款)用于社会福利的彩票公益金支出(项):支出决算数为4.90万元，比上年决算增加1.04万元，增长26.94%,主要原因是：本年80岁以上老年人体检补助资金较上年增加。</w:t>
      </w:r>
    </w:p>
    <w:p w14:paraId="7F1CB5EB">
      <w:pPr>
        <w:spacing w:line="580" w:lineRule="exact"/>
        <w:ind w:firstLine="640"/>
        <w:jc w:val="both"/>
      </w:pPr>
      <w:r>
        <w:rPr>
          <w:rFonts w:ascii="仿宋_GB2312" w:hAnsi="仿宋_GB2312" w:eastAsia="仿宋_GB2312"/>
          <w:b w:val="0"/>
          <w:sz w:val="32"/>
        </w:rPr>
        <w:t>2.其他支出(类)彩票公益金安排的支出(款)用于城乡医疗救助的彩票公益金支出(项):支出决算数为1.05万元，比上年决算增加1.05万元，增长100.00%,主要原因是：本年度增加2024年中央专项彩票公益金支持地方社会公益事业发展（医疗救助）资金。</w:t>
      </w:r>
    </w:p>
    <w:p w14:paraId="1CE11054">
      <w:pPr>
        <w:spacing w:line="640" w:lineRule="exact"/>
        <w:ind w:firstLine="640"/>
        <w:jc w:val="both"/>
        <w:outlineLvl w:val="2"/>
      </w:pPr>
      <w:r>
        <w:rPr>
          <w:rFonts w:ascii="黑体" w:hAnsi="黑体" w:eastAsia="黑体"/>
          <w:sz w:val="32"/>
        </w:rPr>
        <w:t>八、国有资本经营预算财政拨款收入支出决算情况说明</w:t>
      </w:r>
    </w:p>
    <w:p w14:paraId="692DFD3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EF90981">
      <w:pPr>
        <w:spacing w:line="640" w:lineRule="exact"/>
        <w:ind w:firstLine="640"/>
        <w:jc w:val="both"/>
        <w:outlineLvl w:val="2"/>
      </w:pPr>
      <w:r>
        <w:rPr>
          <w:rFonts w:ascii="黑体" w:hAnsi="黑体" w:eastAsia="黑体"/>
          <w:sz w:val="32"/>
        </w:rPr>
        <w:t>九、财政拨款“三公”经费支出决算情况说明</w:t>
      </w:r>
    </w:p>
    <w:p w14:paraId="4306DF5B">
      <w:pPr>
        <w:spacing w:line="580" w:lineRule="exact"/>
        <w:ind w:firstLine="640"/>
        <w:jc w:val="both"/>
      </w:pPr>
      <w:r>
        <w:rPr>
          <w:rFonts w:ascii="仿宋_GB2312" w:hAnsi="仿宋_GB2312" w:eastAsia="仿宋_GB2312"/>
          <w:b/>
          <w:sz w:val="32"/>
        </w:rPr>
        <w:t>2024年度财政拨款“三公”经费支出1.94万元，</w:t>
      </w:r>
      <w:r>
        <w:rPr>
          <w:rFonts w:ascii="仿宋_GB2312" w:hAnsi="仿宋_GB2312" w:eastAsia="仿宋_GB2312"/>
          <w:b w:val="0"/>
          <w:sz w:val="32"/>
        </w:rPr>
        <w:t>比上年减少4.76万元，下降71.04%，主要原因是：严格落实中央八项规定精神，厉行节约，本年车辆外出较少，车辆燃油费减少。其中：因公出国（境）费支出0.00万元，占0.00%，比上年增加0.00万元，增长0.00%，主要原因是：2023年与2024年均未安排因公出国（境）费支出。公务用车购置及运行维护费支出1.94万元，占100.00%，比上年减少4.76万元，下降71.04%，主要原因是：严格落实中央八项规定精神，厉行节约，本年车辆外出较少，车辆燃油费减少。公务接待费支出0.00万元，占0.00%，比上年增加0.00万元，增长0.00%，主要原因是：2023年与2024年均未安排公务接待费支出。</w:t>
      </w:r>
    </w:p>
    <w:p w14:paraId="0A2D777B">
      <w:pPr>
        <w:spacing w:line="580" w:lineRule="exact"/>
        <w:ind w:firstLine="640"/>
        <w:jc w:val="both"/>
      </w:pPr>
      <w:r>
        <w:rPr>
          <w:rFonts w:ascii="仿宋_GB2312" w:hAnsi="仿宋_GB2312" w:eastAsia="仿宋_GB2312"/>
          <w:b/>
          <w:sz w:val="32"/>
        </w:rPr>
        <w:t>具体情况如下：</w:t>
      </w:r>
    </w:p>
    <w:p w14:paraId="5974525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E416670">
      <w:pPr>
        <w:spacing w:line="580" w:lineRule="exact"/>
        <w:ind w:firstLine="640"/>
        <w:jc w:val="both"/>
      </w:pPr>
      <w:r>
        <w:rPr>
          <w:rFonts w:ascii="仿宋_GB2312" w:hAnsi="仿宋_GB2312" w:eastAsia="仿宋_GB2312"/>
          <w:b w:val="0"/>
          <w:sz w:val="32"/>
        </w:rPr>
        <w:t>公务用车购置及运行维护费1.94万元，其中：公务用车购置费0.00万元，公务用车运行维护费1.94万元。公务用车运行维护费开支内容包括燃油费、保险费、维修费、过路费。公务用车购置数0辆，公务用车保有量6辆。国有资产占用情况中固定资产车辆6辆，与公务用车保有量差异原因是：本单位固定资产车辆与公务用车保有量一致无差异。</w:t>
      </w:r>
    </w:p>
    <w:p w14:paraId="753AD78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C24B559">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1.94万元，决算数1.94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1.94万元，决算数1.94万元，预决算差异率0.00%，主要原因是：严格按照预算执行，预决算无差异。公务接待费全年预算数0.00万元，决算数0.00万元，预决算差异率0.00%，主要原因是：本单位无公务接待费。</w:t>
      </w:r>
    </w:p>
    <w:p w14:paraId="2EC28CFF">
      <w:pPr>
        <w:spacing w:line="640" w:lineRule="exact"/>
        <w:ind w:firstLine="640"/>
        <w:jc w:val="both"/>
        <w:outlineLvl w:val="2"/>
      </w:pPr>
      <w:r>
        <w:rPr>
          <w:rFonts w:ascii="黑体" w:hAnsi="黑体" w:eastAsia="黑体"/>
          <w:sz w:val="32"/>
        </w:rPr>
        <w:t>十、其他重要事项的情况说明</w:t>
      </w:r>
    </w:p>
    <w:p w14:paraId="21274A85">
      <w:pPr>
        <w:spacing w:line="640" w:lineRule="exact"/>
        <w:ind w:firstLine="640"/>
        <w:jc w:val="both"/>
        <w:outlineLvl w:val="3"/>
      </w:pPr>
      <w:r>
        <w:rPr>
          <w:rFonts w:ascii="楷体_GB2312" w:hAnsi="楷体_GB2312" w:eastAsia="楷体_GB2312"/>
          <w:b/>
          <w:sz w:val="32"/>
        </w:rPr>
        <w:t>（一）机关运行经费及公用经费支出情况</w:t>
      </w:r>
    </w:p>
    <w:p w14:paraId="56FF47EF">
      <w:pPr>
        <w:spacing w:line="580" w:lineRule="exact"/>
        <w:ind w:firstLine="640"/>
        <w:jc w:val="both"/>
      </w:pPr>
      <w:r>
        <w:rPr>
          <w:rFonts w:ascii="仿宋_GB2312" w:hAnsi="仿宋_GB2312" w:eastAsia="仿宋_GB2312"/>
          <w:b w:val="0"/>
          <w:sz w:val="32"/>
        </w:rPr>
        <w:t>2024年度霍城县芦草沟镇卫生院（事业单位）公用经费支出3.29万元，比上年减少0.87万元，下降20.91%，主要原因是：严格控制公用经费，合理节约办公用品，减少不必要开支。</w:t>
      </w:r>
    </w:p>
    <w:p w14:paraId="3C573750">
      <w:pPr>
        <w:spacing w:line="640" w:lineRule="exact"/>
        <w:ind w:firstLine="640"/>
        <w:jc w:val="both"/>
        <w:outlineLvl w:val="3"/>
      </w:pPr>
      <w:r>
        <w:rPr>
          <w:rFonts w:ascii="楷体_GB2312" w:hAnsi="楷体_GB2312" w:eastAsia="楷体_GB2312"/>
          <w:b/>
          <w:sz w:val="32"/>
        </w:rPr>
        <w:t>（二）政府采购情况</w:t>
      </w:r>
    </w:p>
    <w:p w14:paraId="21C29ED1">
      <w:pPr>
        <w:spacing w:line="580" w:lineRule="exact"/>
        <w:ind w:firstLine="640"/>
        <w:jc w:val="both"/>
      </w:pPr>
      <w:r>
        <w:rPr>
          <w:rFonts w:ascii="仿宋_GB2312" w:hAnsi="仿宋_GB2312" w:eastAsia="仿宋_GB2312"/>
          <w:b w:val="0"/>
          <w:sz w:val="32"/>
        </w:rPr>
        <w:t>2024年度政府采购支出总额5.73万元，其中：政府采购货物支出1.81万元、政府采购工程支出0.51万元、政府采购服务支出3.41万元。</w:t>
      </w:r>
    </w:p>
    <w:p w14:paraId="4C9293EF">
      <w:pPr>
        <w:spacing w:line="580" w:lineRule="exact"/>
        <w:ind w:firstLine="640"/>
        <w:jc w:val="both"/>
      </w:pPr>
      <w:r>
        <w:rPr>
          <w:rFonts w:ascii="仿宋_GB2312" w:hAnsi="仿宋_GB2312" w:eastAsia="仿宋_GB2312"/>
          <w:b w:val="0"/>
          <w:sz w:val="32"/>
        </w:rPr>
        <w:t>授予中小企业合同金额5.73万元，占政府采购支出总额的100.00%，其中：授予小微企业合同金额5.73万元，占政府采购支出总额的100.00%。</w:t>
      </w:r>
    </w:p>
    <w:p w14:paraId="2B3CF0B1">
      <w:pPr>
        <w:spacing w:line="640" w:lineRule="exact"/>
        <w:ind w:firstLine="640"/>
        <w:jc w:val="both"/>
        <w:outlineLvl w:val="3"/>
      </w:pPr>
      <w:r>
        <w:rPr>
          <w:rFonts w:ascii="楷体_GB2312" w:hAnsi="楷体_GB2312" w:eastAsia="楷体_GB2312"/>
          <w:b/>
          <w:sz w:val="32"/>
        </w:rPr>
        <w:t>（三）国有资产占用情况说明</w:t>
      </w:r>
    </w:p>
    <w:p w14:paraId="7C4C4442">
      <w:pPr>
        <w:spacing w:line="580" w:lineRule="exact"/>
        <w:ind w:firstLine="640"/>
        <w:jc w:val="both"/>
      </w:pPr>
      <w:r>
        <w:rPr>
          <w:rFonts w:ascii="仿宋_GB2312" w:hAnsi="仿宋_GB2312" w:eastAsia="仿宋_GB2312"/>
          <w:b w:val="0"/>
          <w:sz w:val="32"/>
        </w:rPr>
        <w:t>截至2024年12月31日，房屋7,175.22平方米，价值1,286.53万元。车辆6辆，价值121.85万元，其中：副部（省）级及以上领导用车0辆、主要负责人用车0辆、机要通信用车0辆、应急保障用车0辆、执法执勤用车0辆、特种专业技术用车0辆、离退休干部服务用车0辆、其他用车6辆，其他用车主要是：救护车及负压救护车。单价100万元（含）以上设备（不含车辆）0台（套）。</w:t>
      </w:r>
    </w:p>
    <w:p w14:paraId="0130206D">
      <w:pPr>
        <w:spacing w:line="640" w:lineRule="exact"/>
        <w:ind w:firstLine="640"/>
        <w:jc w:val="both"/>
        <w:outlineLvl w:val="2"/>
      </w:pPr>
      <w:r>
        <w:rPr>
          <w:rFonts w:ascii="黑体" w:hAnsi="黑体" w:eastAsia="黑体"/>
          <w:sz w:val="32"/>
        </w:rPr>
        <w:t>十一、预算绩效的情况说明</w:t>
      </w:r>
    </w:p>
    <w:p w14:paraId="10338B5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1,652.29万元，实际执行总额1,500.20万元；预算绩效评价项目1个，全年预算数400.00万元，全年执行数400.00万元。预算绩效管理取得的成效：本项目的综合评价基于对项目各方面绩效的深入分析与评估。从项目目标的达成情况来看，该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在项目管理方面，卫生院通过有效</w:t>
      </w:r>
      <w:r>
        <w:rPr>
          <w:rFonts w:hint="eastAsia" w:ascii="仿宋_GB2312" w:hAnsi="仿宋_GB2312" w:eastAsia="仿宋_GB2312"/>
          <w:b w:val="0"/>
          <w:sz w:val="32"/>
          <w:lang w:eastAsia="zh-CN"/>
        </w:rPr>
        <w:t>地</w:t>
      </w:r>
      <w:r>
        <w:rPr>
          <w:rFonts w:ascii="仿宋_GB2312" w:hAnsi="仿宋_GB2312" w:eastAsia="仿宋_GB2312"/>
          <w:b w:val="0"/>
          <w:sz w:val="32"/>
        </w:rPr>
        <w:t>规划、组织与协调，项目得以顺利实施，并在预算与时间上保持了良好的控制。从项目效益的角度来看，本项目不仅实现了预期的社会效益、经济效益等方面产生了积极的影响。具体而言，社会效益方面，辖区居民的健康意识得到增强，疾病预防和控制效果显著提升；经济效益方面，随着医疗服务质量的提高，患者就诊量有所增加，卫生院的业务收入也相应增长，为项目的利益相关者带来了实实在在的利益。综上所述，项目在绩效评价中表现出色，达到了项目的预期目标，并在多个方面取得了显著的成效。发现的问题及原因：（一）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固定资产管理制度不完善、日常管理不到位：资金的使用、实施等监管措施仍然存在改进的空间。下一步改进措施：（一）强化部门绩效管理体系建设：一是建议以规章规则的形式，出台绩效管理制度，对绩效管理的目的、意义、性质和特点，以及组织实施绩效管理的程序、步骤、方法、原则和要求进行统一的规定。二是合理设置年度任务。提高对部门中长期规划的重视程度，增强相关规划的落地性、导向性。三是探索符合部门工作特点的评价指标体系。在设定绩效目标时选取相关性强的量化指标，并注重选取符合实际工作情况的指标值。（二）加强固定资产管理，确保账实相符针对抽查发现的问题，查找根源并改进，建议：一是划分各科室在固定资产管理中的职责，如办公室负责资产采购，使用科室负责日常保管和使用，财务科负责核算和监督等，建立健全责任追究机制。二是制定严格的采购制度，明确采购审批权限，依据实际需求和预算进行采购，通过招标、询价等方式确保采购的资产性价比高。三是规范固定资产的报废、出售、捐赠等处置行为，明确处置审批程序，对处置收入和损失进行及时、准确的账务处理。四是制定详细的盘点方案，定期对固定资产进行全面盘点，核实资产的数量、状态等，对盘盈盘亏资产及时查明原因并进行处理。具体附整体支出绩效自评表，项目支出绩效自评表和评价报告。</w:t>
      </w:r>
    </w:p>
    <w:p w14:paraId="72BCE0C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62A48C2F">
        <w:tblPrEx>
          <w:tblCellMar>
            <w:top w:w="0" w:type="dxa"/>
            <w:left w:w="108" w:type="dxa"/>
            <w:bottom w:w="0" w:type="dxa"/>
            <w:right w:w="108" w:type="dxa"/>
          </w:tblCellMar>
        </w:tblPrEx>
        <w:tc>
          <w:tcPr>
            <w:tcW w:w="8840" w:type="dxa"/>
            <w:gridSpan w:val="8"/>
            <w:vAlign w:val="center"/>
          </w:tcPr>
          <w:p w14:paraId="0017B7B8">
            <w:pPr>
              <w:jc w:val="center"/>
            </w:pPr>
            <w:r>
              <w:rPr>
                <w:rFonts w:ascii="宋体" w:hAnsi="宋体" w:eastAsia="宋体"/>
                <w:sz w:val="24"/>
              </w:rPr>
              <w:t>单位整体支出绩效自评表</w:t>
            </w:r>
          </w:p>
        </w:tc>
      </w:tr>
      <w:tr w14:paraId="79504603">
        <w:tblPrEx>
          <w:tblCellMar>
            <w:top w:w="0" w:type="dxa"/>
            <w:left w:w="108" w:type="dxa"/>
            <w:bottom w:w="0" w:type="dxa"/>
            <w:right w:w="108" w:type="dxa"/>
          </w:tblCellMar>
        </w:tblPrEx>
        <w:tc>
          <w:tcPr>
            <w:tcW w:w="8840" w:type="dxa"/>
            <w:gridSpan w:val="8"/>
            <w:vAlign w:val="center"/>
          </w:tcPr>
          <w:p w14:paraId="6562E3C6">
            <w:pPr>
              <w:jc w:val="center"/>
            </w:pPr>
            <w:r>
              <w:rPr>
                <w:rFonts w:ascii="宋体" w:hAnsi="宋体" w:eastAsia="宋体"/>
                <w:sz w:val="24"/>
              </w:rPr>
              <w:t>（2024年度）</w:t>
            </w:r>
          </w:p>
        </w:tc>
      </w:tr>
      <w:tr w14:paraId="6A07FDA1">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76038C">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F0E0D6">
            <w:pPr>
              <w:jc w:val="center"/>
            </w:pPr>
            <w:r>
              <w:rPr>
                <w:rFonts w:ascii="宋体" w:hAnsi="宋体" w:eastAsia="宋体"/>
                <w:sz w:val="16"/>
              </w:rPr>
              <w:t>霍城县芦草沟镇卫生院</w:t>
            </w:r>
          </w:p>
        </w:tc>
      </w:tr>
      <w:tr w14:paraId="383F5DC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DEE5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77E2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DFB63">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0E27E">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3EDB7">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FF60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DB769B">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F2E143">
            <w:pPr>
              <w:jc w:val="center"/>
            </w:pPr>
            <w:r>
              <w:rPr>
                <w:rFonts w:ascii="宋体" w:hAnsi="宋体" w:eastAsia="宋体"/>
                <w:sz w:val="16"/>
              </w:rPr>
              <w:t>得分</w:t>
            </w:r>
          </w:p>
        </w:tc>
      </w:tr>
      <w:tr w14:paraId="5C2E5F9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0F0A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2BCE7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7A3776">
            <w:pPr>
              <w:jc w:val="center"/>
            </w:pPr>
            <w:r>
              <w:rPr>
                <w:rFonts w:ascii="宋体" w:hAnsi="宋体" w:eastAsia="宋体"/>
                <w:sz w:val="16"/>
              </w:rPr>
              <w:t>1,039.59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F0DFD4">
            <w:pPr>
              <w:jc w:val="center"/>
            </w:pPr>
            <w:r>
              <w:rPr>
                <w:rFonts w:ascii="宋体" w:hAnsi="宋体" w:eastAsia="宋体"/>
                <w:sz w:val="16"/>
              </w:rPr>
              <w:t>1,652.29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16327A">
            <w:pPr>
              <w:jc w:val="center"/>
            </w:pPr>
            <w:r>
              <w:rPr>
                <w:rFonts w:ascii="宋体" w:hAnsi="宋体" w:eastAsia="宋体"/>
                <w:sz w:val="16"/>
              </w:rPr>
              <w:t>1,500.20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F816D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135C3E">
            <w:pPr>
              <w:jc w:val="center"/>
            </w:pPr>
            <w:r>
              <w:rPr>
                <w:rFonts w:ascii="宋体" w:hAnsi="宋体" w:eastAsia="宋体"/>
                <w:sz w:val="16"/>
              </w:rPr>
              <w:t>90.8%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77898">
            <w:pPr>
              <w:jc w:val="center"/>
            </w:pPr>
            <w:r>
              <w:rPr>
                <w:rFonts w:ascii="宋体" w:hAnsi="宋体" w:eastAsia="宋体"/>
                <w:sz w:val="16"/>
              </w:rPr>
              <w:t>9.08</w:t>
            </w:r>
          </w:p>
        </w:tc>
      </w:tr>
      <w:tr w14:paraId="2C4ED75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14475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62D997">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2C87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3D731D">
            <w:pPr>
              <w:jc w:val="center"/>
            </w:pPr>
            <w:r>
              <w:rPr>
                <w:rFonts w:ascii="宋体" w:hAnsi="宋体" w:eastAsia="宋体"/>
                <w:sz w:val="16"/>
              </w:rPr>
              <w:t>405.34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E45AA">
            <w:pPr>
              <w:jc w:val="center"/>
            </w:pPr>
            <w:r>
              <w:rPr>
                <w:rFonts w:ascii="宋体" w:hAnsi="宋体" w:eastAsia="宋体"/>
                <w:sz w:val="16"/>
              </w:rPr>
              <w:t>405.34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F05EF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BD05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890123">
            <w:pPr>
              <w:jc w:val="center"/>
            </w:pPr>
            <w:r>
              <w:rPr>
                <w:rFonts w:ascii="宋体" w:hAnsi="宋体" w:eastAsia="宋体"/>
                <w:sz w:val="16"/>
              </w:rPr>
              <w:t>-</w:t>
            </w:r>
          </w:p>
        </w:tc>
      </w:tr>
      <w:tr w14:paraId="2E887FF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89A2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85C7F4">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94B93">
            <w:pPr>
              <w:jc w:val="center"/>
            </w:pPr>
            <w:r>
              <w:rPr>
                <w:rFonts w:ascii="宋体" w:hAnsi="宋体" w:eastAsia="宋体"/>
                <w:sz w:val="16"/>
              </w:rPr>
              <w:t>639.59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11B747">
            <w:pPr>
              <w:jc w:val="center"/>
            </w:pPr>
            <w:r>
              <w:rPr>
                <w:rFonts w:ascii="宋体" w:hAnsi="宋体" w:eastAsia="宋体"/>
                <w:sz w:val="16"/>
              </w:rPr>
              <w:t>694.86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8B539">
            <w:pPr>
              <w:jc w:val="center"/>
            </w:pPr>
            <w:r>
              <w:rPr>
                <w:rFonts w:ascii="宋体" w:hAnsi="宋体" w:eastAsia="宋体"/>
                <w:sz w:val="16"/>
              </w:rPr>
              <w:t>694.86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B428D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16A06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51CBF9">
            <w:pPr>
              <w:jc w:val="center"/>
            </w:pPr>
            <w:r>
              <w:rPr>
                <w:rFonts w:ascii="宋体" w:hAnsi="宋体" w:eastAsia="宋体"/>
                <w:sz w:val="16"/>
              </w:rPr>
              <w:t>-</w:t>
            </w:r>
          </w:p>
        </w:tc>
      </w:tr>
      <w:tr w14:paraId="5DC9CC1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4EA71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E4BA7">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CF75F0">
            <w:pPr>
              <w:jc w:val="center"/>
            </w:pPr>
            <w:r>
              <w:rPr>
                <w:rFonts w:ascii="宋体" w:hAnsi="宋体" w:eastAsia="宋体"/>
                <w:sz w:val="16"/>
              </w:rPr>
              <w:t>400.00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72C9A">
            <w:pPr>
              <w:jc w:val="center"/>
            </w:pPr>
            <w:r>
              <w:rPr>
                <w:rFonts w:ascii="宋体" w:hAnsi="宋体" w:eastAsia="宋体"/>
                <w:sz w:val="16"/>
              </w:rPr>
              <w:t>552.09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443182">
            <w:pPr>
              <w:jc w:val="center"/>
            </w:pPr>
            <w:r>
              <w:rPr>
                <w:rFonts w:ascii="宋体" w:hAnsi="宋体" w:eastAsia="宋体"/>
                <w:sz w:val="16"/>
              </w:rPr>
              <w:t>400.00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B7A0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2B415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4ABD5">
            <w:pPr>
              <w:jc w:val="center"/>
            </w:pPr>
            <w:r>
              <w:rPr>
                <w:rFonts w:ascii="宋体" w:hAnsi="宋体" w:eastAsia="宋体"/>
                <w:sz w:val="16"/>
              </w:rPr>
              <w:t>-</w:t>
            </w:r>
          </w:p>
        </w:tc>
      </w:tr>
      <w:tr w14:paraId="5E34A72D">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ACB7D4">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1B160C5">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A3BE54F">
            <w:pPr>
              <w:jc w:val="center"/>
            </w:pPr>
            <w:r>
              <w:rPr>
                <w:rFonts w:ascii="宋体" w:hAnsi="宋体" w:eastAsia="宋体"/>
                <w:sz w:val="16"/>
              </w:rPr>
              <w:t>实际完成情况</w:t>
            </w:r>
          </w:p>
        </w:tc>
      </w:tr>
      <w:tr w14:paraId="4FCFE7A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2332BA"/>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D488193">
            <w:pPr>
              <w:jc w:val="both"/>
            </w:pPr>
            <w:r>
              <w:rPr>
                <w:rFonts w:ascii="宋体" w:hAnsi="宋体" w:eastAsia="宋体"/>
                <w:sz w:val="16"/>
              </w:rPr>
              <w:t>贯彻落实习近平新时代中国特色社会主义思想，持续深化医药卫生体制改革，坚持科学发展，坚持以人民为中心，以社会需求为导向，突出重点、整体推进，促进医疗事业与社会经济协调发展。持续深化医改工作，立足重点专科，扎实推进内涵建设，积极开展医联体建设加快医改推进，进一步提升服务质量，做好医疗、预防和保健康任务。1.以公共卫生服务为主，提供预防保健、基本医疗、康复、健康教育和JHSY技术服务等综合性卫生服务，完成高血压、2型糖尿病患者基层规范管理服务，加强适龄儿童免疫规划疫苗接种，稳步推进基本公共卫生服务指标逐项完成。2.实施健康行动，做实做细家庭医生签约服务，达到国家目标要求。3.持续推动全民免费健康体检，保障区域内常见病、多发病的就诊医治，加强慢性病预防、治疗和控制。4.建立健全的监督和评估机制，对基本药物的执行情况进行定期检查和评估，及时发现问题并加以解决。</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3672BF">
            <w:pPr>
              <w:jc w:val="both"/>
            </w:pPr>
            <w:r>
              <w:rPr>
                <w:rFonts w:ascii="宋体" w:hAnsi="宋体" w:eastAsia="宋体"/>
                <w:sz w:val="16"/>
              </w:rPr>
              <w:t>霍城县芦草沟镇卫生院2024年严格执行国家基本药物制度，完成基本药物执行率达100%，通过加强药品管理和规范基层医疗机构和医务人员的用药规范，提升了基层医疗服务的质量和安全性。同时，实施基本药物制度，降低药品成本，实行零差率销售，药品价格下降，减轻患者负担，满足了城乡居民的基本用药需求。2024年完成本辖区内体检人数25485人，完成率100.95%，成功提高了居民对慢性病的预防、治疗和控制的意识，实现了疾病的早发现、早诊断、早治疗，降低了慢性疾病的发病率和并发症的发生风险，提高了患者的生活质量，整体提升了居民的健康水平。通过推行常住人口家庭医生签约服务，签约率达到90.95%，提高了健康管理的覆盖率，达到了国家目标要求。家庭医生的签约服务，提供了全面和个性化的医疗服务，有效提高了人们的健康水平。在公共卫生服务方面，提供了预防保健、基本医疗、康复、健康教育和</w:t>
            </w:r>
            <w:r>
              <w:rPr>
                <w:rFonts w:hint="eastAsia" w:ascii="宋体" w:hAnsi="宋体"/>
                <w:sz w:val="16"/>
                <w:lang w:val="en-US" w:eastAsia="zh-CN"/>
              </w:rPr>
              <w:t>JHSY</w:t>
            </w:r>
            <w:r>
              <w:rPr>
                <w:rFonts w:ascii="宋体" w:hAnsi="宋体" w:eastAsia="宋体"/>
                <w:sz w:val="16"/>
              </w:rPr>
              <w:t>技术服务等综合性卫生服务，完成了对高血压、2型糖尿病患者的基层规范管理服务率90%；加强了适龄儿童免疫规划疫苗接种工作，完成接种率93.20%；通过中医体质辨识，为患有慢性疾病的老年人提供中医药康复指导和干预，完成了老年人中医药健康管理率提升，努力实现了</w:t>
            </w:r>
            <w:r>
              <w:rPr>
                <w:rFonts w:hint="eastAsia" w:ascii="宋体" w:hAnsi="宋体"/>
                <w:sz w:val="16"/>
                <w:lang w:eastAsia="zh-CN"/>
              </w:rPr>
              <w:t>基本公共卫生服务均等化</w:t>
            </w:r>
            <w:r>
              <w:rPr>
                <w:rFonts w:ascii="宋体" w:hAnsi="宋体" w:eastAsia="宋体"/>
                <w:sz w:val="16"/>
              </w:rPr>
              <w:t>目标。保障了城乡居民的基本医疗需求，提升了慢性病预防和管理水平，改善了人民群众的健康状况。</w:t>
            </w:r>
          </w:p>
        </w:tc>
      </w:tr>
      <w:tr w14:paraId="02D983E5">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B3E4A0">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E938E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F62E7E">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F7D21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2272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4BF9A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FE2D87">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147875">
            <w:pPr>
              <w:jc w:val="center"/>
            </w:pPr>
            <w:r>
              <w:rPr>
                <w:rFonts w:ascii="宋体" w:hAnsi="宋体" w:eastAsia="宋体"/>
                <w:sz w:val="16"/>
              </w:rPr>
              <w:t>得分</w:t>
            </w:r>
          </w:p>
        </w:tc>
      </w:tr>
      <w:tr w14:paraId="741CD3D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DE1F2">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37890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81BE22">
            <w:pPr>
              <w:jc w:val="center"/>
            </w:pPr>
            <w:r>
              <w:rPr>
                <w:rFonts w:ascii="宋体" w:hAnsi="宋体" w:eastAsia="宋体"/>
                <w:sz w:val="16"/>
              </w:rPr>
              <w:t>全民免费健康体检完成率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FA23B">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6BF87E">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BDEEF">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4A65C2">
            <w:pPr>
              <w:jc w:val="center"/>
            </w:pPr>
            <w:r>
              <w:rPr>
                <w:rFonts w:ascii="宋体" w:hAnsi="宋体" w:eastAsia="宋体"/>
                <w:sz w:val="16"/>
              </w:rPr>
              <w:t>100.95%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95F79">
            <w:pPr>
              <w:jc w:val="center"/>
            </w:pPr>
            <w:r>
              <w:rPr>
                <w:rFonts w:ascii="宋体" w:hAnsi="宋体" w:eastAsia="宋体"/>
                <w:sz w:val="16"/>
              </w:rPr>
              <w:t>18</w:t>
            </w:r>
          </w:p>
        </w:tc>
      </w:tr>
      <w:tr w14:paraId="64BA1BD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0B9A6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834D9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66739E">
            <w:pPr>
              <w:jc w:val="center"/>
            </w:pPr>
            <w:r>
              <w:rPr>
                <w:rFonts w:ascii="宋体" w:hAnsi="宋体" w:eastAsia="宋体"/>
                <w:sz w:val="16"/>
              </w:rPr>
              <w:t>基本药物制度执行率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AD28B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68528A">
            <w:pPr>
              <w:jc w:val="center"/>
            </w:pPr>
            <w:r>
              <w:rPr>
                <w:rFonts w:ascii="宋体" w:hAnsi="宋体" w:eastAsia="宋体"/>
                <w:sz w:val="16"/>
              </w:rPr>
              <w:t>工作方案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B491B8">
            <w:pPr>
              <w:jc w:val="center"/>
            </w:pPr>
            <w:r>
              <w:rPr>
                <w:rFonts w:ascii="宋体" w:hAnsi="宋体" w:eastAsia="宋体"/>
                <w:sz w:val="16"/>
              </w:rPr>
              <w:t>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BF5242">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6852C">
            <w:pPr>
              <w:jc w:val="center"/>
            </w:pPr>
            <w:r>
              <w:rPr>
                <w:rFonts w:ascii="宋体" w:hAnsi="宋体" w:eastAsia="宋体"/>
                <w:sz w:val="16"/>
              </w:rPr>
              <w:t>19</w:t>
            </w:r>
          </w:p>
        </w:tc>
      </w:tr>
      <w:tr w14:paraId="2B7D281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18AA4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DE8FA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4FD93C">
            <w:pPr>
              <w:jc w:val="center"/>
            </w:pPr>
            <w:r>
              <w:rPr>
                <w:rFonts w:ascii="宋体" w:hAnsi="宋体" w:eastAsia="宋体"/>
                <w:sz w:val="16"/>
              </w:rPr>
              <w:t>适龄儿童免疫规划疫苗接种率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90618">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A99CB">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F2BF7">
            <w:pPr>
              <w:jc w:val="center"/>
            </w:pPr>
            <w:r>
              <w:rPr>
                <w:rFonts w:ascii="宋体" w:hAnsi="宋体" w:eastAsia="宋体"/>
                <w:sz w:val="16"/>
              </w:rPr>
              <w:t>17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D4116">
            <w:pPr>
              <w:jc w:val="center"/>
            </w:pPr>
            <w:r>
              <w:rPr>
                <w:rFonts w:ascii="宋体" w:hAnsi="宋体" w:eastAsia="宋体"/>
                <w:sz w:val="16"/>
              </w:rPr>
              <w:t>93.2%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26479">
            <w:pPr>
              <w:jc w:val="center"/>
            </w:pPr>
            <w:r>
              <w:rPr>
                <w:rFonts w:ascii="宋体" w:hAnsi="宋体" w:eastAsia="宋体"/>
                <w:sz w:val="16"/>
              </w:rPr>
              <w:t>17</w:t>
            </w:r>
          </w:p>
        </w:tc>
      </w:tr>
      <w:tr w14:paraId="091C65A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9E3B49"/>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014CA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2C682">
            <w:pPr>
              <w:jc w:val="center"/>
            </w:pPr>
            <w:r>
              <w:rPr>
                <w:rFonts w:ascii="宋体" w:hAnsi="宋体" w:eastAsia="宋体"/>
                <w:sz w:val="16"/>
              </w:rPr>
              <w:t>家庭签约医生签约覆盖率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CA1B1E">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A2802C">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94CFD9">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E666A8">
            <w:pPr>
              <w:jc w:val="center"/>
            </w:pPr>
            <w:r>
              <w:rPr>
                <w:rFonts w:ascii="宋体" w:hAnsi="宋体" w:eastAsia="宋体"/>
                <w:sz w:val="16"/>
              </w:rPr>
              <w:t>90.95%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4E9CC">
            <w:pPr>
              <w:jc w:val="center"/>
            </w:pPr>
            <w:r>
              <w:rPr>
                <w:rFonts w:ascii="宋体" w:hAnsi="宋体" w:eastAsia="宋体"/>
                <w:sz w:val="16"/>
              </w:rPr>
              <w:t>18</w:t>
            </w:r>
          </w:p>
        </w:tc>
      </w:tr>
      <w:tr w14:paraId="66B62BE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E7180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C8C2D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D27FD5">
            <w:pPr>
              <w:jc w:val="center"/>
            </w:pPr>
            <w:r>
              <w:rPr>
                <w:rFonts w:ascii="宋体" w:hAnsi="宋体" w:eastAsia="宋体"/>
                <w:sz w:val="16"/>
              </w:rPr>
              <w:t>高血压、2型糖尿病患者基层规范管理服务率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8A17FA">
            <w:pPr>
              <w:jc w:val="center"/>
            </w:pPr>
            <w:r>
              <w:rPr>
                <w:rFonts w:ascii="宋体" w:hAnsi="宋体" w:eastAsia="宋体"/>
                <w:sz w:val="16"/>
              </w:rPr>
              <w:t>&gt;=61%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16046">
            <w:pPr>
              <w:jc w:val="center"/>
            </w:pPr>
            <w:r>
              <w:rPr>
                <w:rFonts w:hint="eastAsia" w:ascii="宋体" w:hAnsi="宋体"/>
                <w:sz w:val="16"/>
                <w:lang w:eastAsia="zh-CN"/>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D6BE7B">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E941A">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6E1C7C">
            <w:pPr>
              <w:jc w:val="center"/>
            </w:pPr>
            <w:r>
              <w:rPr>
                <w:rFonts w:ascii="宋体" w:hAnsi="宋体" w:eastAsia="宋体"/>
                <w:sz w:val="16"/>
              </w:rPr>
              <w:t>18</w:t>
            </w:r>
          </w:p>
        </w:tc>
      </w:tr>
    </w:tbl>
    <w:p w14:paraId="06F50C5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743"/>
        <w:gridCol w:w="521"/>
        <w:gridCol w:w="776"/>
        <w:gridCol w:w="696"/>
        <w:gridCol w:w="632"/>
        <w:gridCol w:w="632"/>
        <w:gridCol w:w="632"/>
        <w:gridCol w:w="632"/>
        <w:gridCol w:w="632"/>
        <w:gridCol w:w="632"/>
        <w:gridCol w:w="632"/>
      </w:tblGrid>
      <w:tr w14:paraId="6BBD62DA">
        <w:tblPrEx>
          <w:tblCellMar>
            <w:top w:w="0" w:type="dxa"/>
            <w:left w:w="108" w:type="dxa"/>
            <w:bottom w:w="0" w:type="dxa"/>
            <w:right w:w="108" w:type="dxa"/>
          </w:tblCellMar>
        </w:tblPrEx>
        <w:tc>
          <w:tcPr>
            <w:tcW w:w="9056" w:type="dxa"/>
            <w:gridSpan w:val="14"/>
            <w:vAlign w:val="center"/>
          </w:tcPr>
          <w:p w14:paraId="314676F0">
            <w:pPr>
              <w:jc w:val="center"/>
            </w:pPr>
            <w:r>
              <w:rPr>
                <w:rFonts w:ascii="宋体" w:hAnsi="宋体" w:eastAsia="宋体"/>
                <w:sz w:val="24"/>
              </w:rPr>
              <w:t>项目支出绩效自评表</w:t>
            </w:r>
          </w:p>
        </w:tc>
      </w:tr>
      <w:tr w14:paraId="65E2D0E1">
        <w:tblPrEx>
          <w:tblCellMar>
            <w:top w:w="0" w:type="dxa"/>
            <w:left w:w="108" w:type="dxa"/>
            <w:bottom w:w="0" w:type="dxa"/>
            <w:right w:w="108" w:type="dxa"/>
          </w:tblCellMar>
        </w:tblPrEx>
        <w:tc>
          <w:tcPr>
            <w:tcW w:w="9056" w:type="dxa"/>
            <w:gridSpan w:val="14"/>
            <w:vAlign w:val="center"/>
          </w:tcPr>
          <w:p w14:paraId="0CE52440">
            <w:pPr>
              <w:jc w:val="center"/>
            </w:pPr>
            <w:r>
              <w:rPr>
                <w:rFonts w:ascii="宋体" w:hAnsi="宋体" w:eastAsia="宋体"/>
                <w:sz w:val="24"/>
              </w:rPr>
              <w:t>(2024年度)</w:t>
            </w:r>
          </w:p>
        </w:tc>
      </w:tr>
      <w:tr w14:paraId="4EA381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BA910">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89989E3">
            <w:pPr>
              <w:jc w:val="center"/>
            </w:pPr>
            <w:r>
              <w:rPr>
                <w:rFonts w:ascii="宋体" w:hAnsi="宋体" w:eastAsia="宋体"/>
                <w:sz w:val="16"/>
              </w:rPr>
              <w:t>2024年事业收入（自有资金）</w:t>
            </w:r>
          </w:p>
        </w:tc>
      </w:tr>
      <w:tr w14:paraId="0AF7E2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FC3B">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D1249E">
            <w:pPr>
              <w:jc w:val="center"/>
            </w:pPr>
            <w:r>
              <w:rPr>
                <w:rFonts w:ascii="宋体" w:hAnsi="宋体" w:eastAsia="宋体"/>
                <w:sz w:val="16"/>
              </w:rPr>
              <w:t>霍城县芦草沟镇卫生院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50A9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AA9B9CF">
            <w:pPr>
              <w:jc w:val="center"/>
            </w:pPr>
            <w:r>
              <w:rPr>
                <w:rFonts w:ascii="宋体" w:hAnsi="宋体" w:eastAsia="宋体"/>
                <w:sz w:val="16"/>
              </w:rPr>
              <w:t>霍城县芦草沟镇卫生院</w:t>
            </w:r>
          </w:p>
        </w:tc>
      </w:tr>
      <w:tr w14:paraId="64B8608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6428E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502E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0FCF8">
            <w:pPr>
              <w:jc w:val="center"/>
            </w:pPr>
            <w:r>
              <w:rPr>
                <w:rFonts w:ascii="宋体" w:hAnsi="宋体" w:eastAsia="宋体"/>
                <w:sz w:val="16"/>
              </w:rPr>
              <w:t>年初预算数</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B3F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30D7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04B1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6A0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AD3B7">
            <w:pPr>
              <w:jc w:val="center"/>
            </w:pPr>
            <w:r>
              <w:rPr>
                <w:rFonts w:ascii="宋体" w:hAnsi="宋体" w:eastAsia="宋体"/>
                <w:sz w:val="16"/>
              </w:rPr>
              <w:t>得分</w:t>
            </w:r>
          </w:p>
        </w:tc>
      </w:tr>
      <w:tr w14:paraId="15DF8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68AC0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F285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EAB7B">
            <w:pPr>
              <w:jc w:val="center"/>
            </w:pPr>
            <w:r>
              <w:rPr>
                <w:rFonts w:ascii="宋体" w:hAnsi="宋体" w:eastAsia="宋体"/>
                <w:sz w:val="16"/>
              </w:rPr>
              <w:t>400.00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0603C">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08DCB3">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87CF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BD9F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731D8">
            <w:pPr>
              <w:jc w:val="center"/>
            </w:pPr>
            <w:r>
              <w:rPr>
                <w:rFonts w:ascii="宋体" w:hAnsi="宋体" w:eastAsia="宋体"/>
                <w:sz w:val="16"/>
              </w:rPr>
              <w:t>10.00</w:t>
            </w:r>
          </w:p>
        </w:tc>
      </w:tr>
      <w:tr w14:paraId="215E8C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E590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A1B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E10B97">
            <w:pPr>
              <w:jc w:val="center"/>
            </w:pPr>
            <w:r>
              <w:rPr>
                <w:rFonts w:ascii="宋体" w:hAnsi="宋体" w:eastAsia="宋体"/>
                <w:sz w:val="16"/>
              </w:rPr>
              <w:t>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4EB7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DD2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B52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3DE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11D2">
            <w:pPr>
              <w:jc w:val="center"/>
            </w:pPr>
            <w:r>
              <w:rPr>
                <w:rFonts w:ascii="宋体" w:hAnsi="宋体" w:eastAsia="宋体"/>
                <w:sz w:val="16"/>
              </w:rPr>
              <w:t>—</w:t>
            </w:r>
          </w:p>
        </w:tc>
      </w:tr>
      <w:tr w14:paraId="5138A1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72B64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EDBE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CDE6E">
            <w:pPr>
              <w:jc w:val="center"/>
            </w:pPr>
            <w:r>
              <w:rPr>
                <w:rFonts w:ascii="宋体" w:hAnsi="宋体" w:eastAsia="宋体"/>
                <w:sz w:val="16"/>
              </w:rPr>
              <w:t>400.00</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5EE72">
            <w:pPr>
              <w:jc w:val="center"/>
            </w:pPr>
            <w:r>
              <w:rPr>
                <w:rFonts w:ascii="宋体" w:hAnsi="宋体" w:eastAsia="宋体"/>
                <w:sz w:val="16"/>
              </w:rPr>
              <w:t>400.00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9A19F2">
            <w:pPr>
              <w:jc w:val="center"/>
            </w:pPr>
            <w:r>
              <w:rPr>
                <w:rFonts w:ascii="宋体" w:hAnsi="宋体" w:eastAsia="宋体"/>
                <w:sz w:val="16"/>
              </w:rPr>
              <w:t>400.00</w:t>
            </w:r>
            <w:bookmarkStart w:id="0" w:name="_GoBack"/>
            <w:bookmarkEnd w:id="0"/>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518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0A839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AA77C">
            <w:pPr>
              <w:jc w:val="center"/>
            </w:pPr>
            <w:r>
              <w:rPr>
                <w:rFonts w:ascii="宋体" w:hAnsi="宋体" w:eastAsia="宋体"/>
                <w:sz w:val="16"/>
              </w:rPr>
              <w:t>—</w:t>
            </w:r>
          </w:p>
        </w:tc>
      </w:tr>
      <w:tr w14:paraId="2F83DCA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884CD">
            <w:pPr>
              <w:jc w:val="center"/>
            </w:pPr>
            <w:r>
              <w:rPr>
                <w:rFonts w:ascii="宋体" w:hAnsi="宋体" w:eastAsia="宋体"/>
                <w:sz w:val="16"/>
              </w:rPr>
              <w:t>年度总体目标</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ED54E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B1DEB5">
            <w:pPr>
              <w:jc w:val="center"/>
            </w:pPr>
            <w:r>
              <w:rPr>
                <w:rFonts w:ascii="宋体" w:hAnsi="宋体" w:eastAsia="宋体"/>
                <w:sz w:val="16"/>
              </w:rPr>
              <w:t>实际完成情况</w:t>
            </w:r>
          </w:p>
        </w:tc>
      </w:tr>
      <w:tr w14:paraId="6EAF4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7054C"/>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CE883B">
            <w:pPr>
              <w:jc w:val="both"/>
            </w:pPr>
            <w:r>
              <w:rPr>
                <w:rFonts w:ascii="宋体" w:hAnsi="宋体" w:eastAsia="宋体"/>
                <w:sz w:val="16"/>
              </w:rPr>
              <w:t>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DD4019">
            <w:pPr>
              <w:jc w:val="both"/>
            </w:pPr>
            <w:r>
              <w:rPr>
                <w:rFonts w:ascii="宋体" w:hAnsi="宋体" w:eastAsia="宋体"/>
                <w:sz w:val="16"/>
              </w:rPr>
              <w:t>1、开展特色医疗服务，提高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采购药品334余种，每月按照专用材料计划批次进行采购。</w:t>
            </w:r>
          </w:p>
        </w:tc>
      </w:tr>
      <w:tr w14:paraId="61B0341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86E1E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2BB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9F81">
            <w:pPr>
              <w:jc w:val="center"/>
            </w:pPr>
            <w:r>
              <w:rPr>
                <w:rFonts w:ascii="宋体" w:hAnsi="宋体" w:eastAsia="宋体"/>
                <w:sz w:val="16"/>
              </w:rPr>
              <w:t>二级指标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82FCE98">
            <w:pPr>
              <w:jc w:val="center"/>
            </w:pPr>
            <w:r>
              <w:rPr>
                <w:rFonts w:ascii="宋体" w:hAnsi="宋体" w:eastAsia="宋体"/>
                <w:sz w:val="16"/>
              </w:rPr>
              <w:t>三级指标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61CE85C">
            <w:pPr>
              <w:jc w:val="center"/>
            </w:pPr>
            <w:r>
              <w:rPr>
                <w:rFonts w:ascii="宋体" w:hAnsi="宋体" w:eastAsia="宋体"/>
                <w:sz w:val="16"/>
              </w:rPr>
              <w:t>权重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DFE9B1">
            <w:pPr>
              <w:jc w:val="center"/>
            </w:pPr>
            <w:r>
              <w:rPr>
                <w:rFonts w:ascii="宋体" w:hAnsi="宋体" w:eastAsia="宋体"/>
                <w:sz w:val="16"/>
              </w:rPr>
              <w:t>目标值</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D5F85D">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5452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3C10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E9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868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33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7AD8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D508D">
            <w:pPr>
              <w:jc w:val="center"/>
            </w:pPr>
            <w:r>
              <w:rPr>
                <w:rFonts w:ascii="宋体" w:hAnsi="宋体" w:eastAsia="宋体"/>
                <w:sz w:val="16"/>
              </w:rPr>
              <w:t>偏差原因分析及改进措施</w:t>
            </w:r>
          </w:p>
        </w:tc>
      </w:tr>
      <w:tr w14:paraId="33F9B48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6C236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6A15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E7B7F9">
            <w:pPr>
              <w:jc w:val="center"/>
            </w:pPr>
            <w:r>
              <w:rPr>
                <w:rFonts w:ascii="宋体" w:hAnsi="宋体" w:eastAsia="宋体"/>
                <w:sz w:val="16"/>
              </w:rPr>
              <w:t>数量指标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DEEC35C">
            <w:pPr>
              <w:jc w:val="center"/>
            </w:pPr>
            <w:r>
              <w:rPr>
                <w:rFonts w:ascii="宋体" w:hAnsi="宋体" w:eastAsia="宋体"/>
                <w:sz w:val="16"/>
              </w:rPr>
              <w:t>保障工作人员人数</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83C22AB">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510CB87">
            <w:pPr>
              <w:jc w:val="center"/>
            </w:pPr>
            <w:r>
              <w:rPr>
                <w:rFonts w:ascii="宋体" w:hAnsi="宋体" w:eastAsia="宋体"/>
                <w:sz w:val="16"/>
              </w:rPr>
              <w:t>&gt;=60人</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C969716">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484C3">
            <w:pPr>
              <w:jc w:val="center"/>
            </w:pPr>
            <w:r>
              <w:rPr>
                <w:rFonts w:ascii="宋体" w:hAnsi="宋体" w:eastAsia="宋体"/>
                <w:sz w:val="16"/>
              </w:rPr>
              <w:t>115%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3AC7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DD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34F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B97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42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39CAD">
            <w:pPr>
              <w:jc w:val="center"/>
            </w:pPr>
            <w:r>
              <w:rPr>
                <w:rFonts w:ascii="宋体" w:hAnsi="宋体" w:eastAsia="宋体"/>
                <w:sz w:val="16"/>
              </w:rPr>
              <w:t>人员流动性大，增加了9个人</w:t>
            </w:r>
          </w:p>
        </w:tc>
      </w:tr>
      <w:tr w14:paraId="068276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014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8D9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93C68"/>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3DBB7CA1">
            <w:pPr>
              <w:jc w:val="center"/>
            </w:pPr>
            <w:r>
              <w:rPr>
                <w:rFonts w:ascii="宋体" w:hAnsi="宋体" w:eastAsia="宋体"/>
                <w:sz w:val="16"/>
              </w:rPr>
              <w:t>工资发放次数</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E632A38">
            <w:pPr>
              <w:jc w:val="center"/>
            </w:pPr>
            <w:r>
              <w:rPr>
                <w:rFonts w:ascii="宋体" w:hAnsi="宋体" w:eastAsia="宋体"/>
                <w:sz w:val="16"/>
              </w:rPr>
              <w:t>5</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8D66717">
            <w:pPr>
              <w:jc w:val="center"/>
            </w:pPr>
            <w:r>
              <w:rPr>
                <w:rFonts w:ascii="宋体" w:hAnsi="宋体" w:eastAsia="宋体"/>
                <w:sz w:val="16"/>
              </w:rPr>
              <w:t>=12次</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73317F29">
            <w:pPr>
              <w:jc w:val="center"/>
            </w:pPr>
            <w:r>
              <w:rPr>
                <w:rFonts w:ascii="宋体" w:hAnsi="宋体" w:eastAsia="宋体"/>
                <w:sz w:val="16"/>
              </w:rPr>
              <w:t>12次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68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9FC5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8F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23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380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D8A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0F932">
            <w:pPr>
              <w:jc w:val="center"/>
            </w:pPr>
          </w:p>
        </w:tc>
      </w:tr>
      <w:tr w14:paraId="2F01AD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F3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B7E5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49E34"/>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419FF004">
            <w:pPr>
              <w:jc w:val="center"/>
            </w:pPr>
            <w:r>
              <w:rPr>
                <w:rFonts w:ascii="宋体" w:hAnsi="宋体" w:eastAsia="宋体"/>
                <w:sz w:val="16"/>
              </w:rPr>
              <w:t>购买专用材料批次</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207C0BE7">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EDB6FE0">
            <w:pPr>
              <w:jc w:val="center"/>
            </w:pPr>
            <w:r>
              <w:rPr>
                <w:rFonts w:ascii="宋体" w:hAnsi="宋体" w:eastAsia="宋体"/>
                <w:sz w:val="16"/>
              </w:rPr>
              <w:t>&gt;=11批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21CCC07">
            <w:pPr>
              <w:jc w:val="center"/>
            </w:pPr>
            <w:r>
              <w:rPr>
                <w:rFonts w:ascii="宋体" w:hAnsi="宋体" w:eastAsia="宋体"/>
                <w:sz w:val="16"/>
              </w:rPr>
              <w:t>11批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BC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A7E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B4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91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056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BF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94ADE">
            <w:pPr>
              <w:jc w:val="center"/>
            </w:pPr>
          </w:p>
        </w:tc>
      </w:tr>
      <w:tr w14:paraId="36903A5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105C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500E4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8F7569">
            <w:pPr>
              <w:jc w:val="center"/>
            </w:pPr>
            <w:r>
              <w:rPr>
                <w:rFonts w:ascii="宋体" w:hAnsi="宋体" w:eastAsia="宋体"/>
                <w:sz w:val="16"/>
              </w:rPr>
              <w:t>质量指标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1E25BE8">
            <w:pPr>
              <w:jc w:val="center"/>
            </w:pPr>
            <w:r>
              <w:rPr>
                <w:rFonts w:ascii="宋体" w:hAnsi="宋体" w:eastAsia="宋体"/>
                <w:sz w:val="16"/>
              </w:rPr>
              <w:t>购买专用材料质量合格率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043A9AF">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CDDE019">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B1B3A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330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7F94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64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D25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33B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298D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CEDB4">
            <w:pPr>
              <w:jc w:val="center"/>
            </w:pPr>
          </w:p>
        </w:tc>
      </w:tr>
      <w:tr w14:paraId="34E093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3ED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65E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B2A8F6"/>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74F06286">
            <w:pPr>
              <w:jc w:val="center"/>
            </w:pPr>
            <w:r>
              <w:rPr>
                <w:rFonts w:ascii="宋体" w:hAnsi="宋体" w:eastAsia="宋体"/>
                <w:sz w:val="16"/>
              </w:rPr>
              <w:t>工资发放准确率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625FA57D">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044E8AA">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D21F3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F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15C6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925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DECD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472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A213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81536">
            <w:pPr>
              <w:jc w:val="center"/>
            </w:pPr>
          </w:p>
        </w:tc>
      </w:tr>
      <w:tr w14:paraId="34EA20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DFC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C41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334BB">
            <w:pPr>
              <w:jc w:val="center"/>
            </w:pPr>
            <w:r>
              <w:rPr>
                <w:rFonts w:ascii="宋体" w:hAnsi="宋体" w:eastAsia="宋体"/>
                <w:sz w:val="16"/>
              </w:rPr>
              <w:t>时效指标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54666F4A">
            <w:pPr>
              <w:jc w:val="center"/>
            </w:pPr>
            <w:r>
              <w:rPr>
                <w:rFonts w:ascii="宋体" w:hAnsi="宋体" w:eastAsia="宋体"/>
                <w:sz w:val="16"/>
              </w:rPr>
              <w:t>购买专用材料完成时间</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183AD801">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0196BF7">
            <w:pPr>
              <w:jc w:val="center"/>
            </w:pPr>
            <w:r>
              <w:rPr>
                <w:rFonts w:ascii="宋体" w:hAnsi="宋体" w:eastAsia="宋体"/>
                <w:sz w:val="16"/>
              </w:rPr>
              <w:t>2024年12月25日</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69C2D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D1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61CD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5A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77E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218D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0126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78D47">
            <w:pPr>
              <w:jc w:val="center"/>
            </w:pPr>
          </w:p>
        </w:tc>
      </w:tr>
      <w:tr w14:paraId="677025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81FD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D4A4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33E0DC"/>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8FB38F7">
            <w:pPr>
              <w:jc w:val="center"/>
            </w:pPr>
            <w:r>
              <w:rPr>
                <w:rFonts w:ascii="宋体" w:hAnsi="宋体" w:eastAsia="宋体"/>
                <w:sz w:val="16"/>
              </w:rPr>
              <w:t>资金发放及时率</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4EC7129">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379155">
            <w:pPr>
              <w:jc w:val="center"/>
            </w:pPr>
            <w:r>
              <w:rPr>
                <w:rFonts w:ascii="宋体" w:hAnsi="宋体" w:eastAsia="宋体"/>
                <w:sz w:val="16"/>
              </w:rPr>
              <w:t>=100%</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693822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AB5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FAB7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8E2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A22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AFB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298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ACA21">
            <w:pPr>
              <w:jc w:val="center"/>
            </w:pPr>
          </w:p>
        </w:tc>
      </w:tr>
      <w:tr w14:paraId="32B97C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74389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91D3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F1518">
            <w:pPr>
              <w:jc w:val="center"/>
            </w:pPr>
            <w:r>
              <w:rPr>
                <w:rFonts w:ascii="宋体" w:hAnsi="宋体" w:eastAsia="宋体"/>
                <w:sz w:val="16"/>
              </w:rPr>
              <w:t>经济成本指标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EE7927B">
            <w:pPr>
              <w:jc w:val="center"/>
            </w:pPr>
            <w:r>
              <w:rPr>
                <w:rFonts w:ascii="宋体" w:hAnsi="宋体" w:eastAsia="宋体"/>
                <w:sz w:val="16"/>
              </w:rPr>
              <w:t>人均工资金额</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4D5D989A">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6E64079">
            <w:pPr>
              <w:jc w:val="center"/>
            </w:pPr>
            <w:r>
              <w:rPr>
                <w:rFonts w:ascii="宋体" w:hAnsi="宋体" w:eastAsia="宋体"/>
                <w:sz w:val="16"/>
              </w:rPr>
              <w:t>&lt;=3000元/月</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369D843">
            <w:pPr>
              <w:jc w:val="center"/>
            </w:pPr>
            <w:r>
              <w:rPr>
                <w:rFonts w:ascii="宋体" w:hAnsi="宋体" w:eastAsia="宋体"/>
                <w:sz w:val="16"/>
              </w:rPr>
              <w:t>2608.7元/月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1D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E0B6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6992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CDC4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A9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9B1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ABAC9">
            <w:pPr>
              <w:jc w:val="center"/>
            </w:pPr>
          </w:p>
        </w:tc>
      </w:tr>
      <w:tr w14:paraId="22EA7F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4541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F768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F0FDBB"/>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004AA74B">
            <w:pPr>
              <w:jc w:val="center"/>
            </w:pPr>
            <w:r>
              <w:rPr>
                <w:rFonts w:ascii="宋体" w:hAnsi="宋体" w:eastAsia="宋体"/>
                <w:sz w:val="16"/>
              </w:rPr>
              <w:t>购买专用材料金额</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8F52444">
            <w:pPr>
              <w:jc w:val="center"/>
            </w:pPr>
            <w:r>
              <w:rPr>
                <w:rFonts w:ascii="宋体" w:hAnsi="宋体" w:eastAsia="宋体"/>
                <w:sz w:val="16"/>
              </w:rPr>
              <w:t>7</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991C1CE">
            <w:pPr>
              <w:jc w:val="center"/>
            </w:pPr>
            <w:r>
              <w:rPr>
                <w:rFonts w:ascii="宋体" w:hAnsi="宋体" w:eastAsia="宋体"/>
                <w:sz w:val="16"/>
              </w:rPr>
              <w:t>&lt;=107.2万元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A170AB8">
            <w:pPr>
              <w:jc w:val="center"/>
            </w:pPr>
            <w:r>
              <w:rPr>
                <w:rFonts w:ascii="宋体" w:hAnsi="宋体" w:eastAsia="宋体"/>
                <w:sz w:val="16"/>
              </w:rPr>
              <w:t>107.2万元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FE0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D2D3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D2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41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EF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E4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F73CE">
            <w:pPr>
              <w:jc w:val="center"/>
            </w:pPr>
          </w:p>
        </w:tc>
      </w:tr>
      <w:tr w14:paraId="269143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176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D373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62A5C">
            <w:pPr>
              <w:jc w:val="center"/>
            </w:pPr>
            <w:r>
              <w:rPr>
                <w:rFonts w:ascii="宋体" w:hAnsi="宋体" w:eastAsia="宋体"/>
                <w:sz w:val="16"/>
              </w:rPr>
              <w:t>社会成本指标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2EBF9EF5">
            <w:pPr>
              <w:jc w:val="center"/>
            </w:pPr>
            <w:r>
              <w:rPr>
                <w:rFonts w:ascii="宋体" w:hAnsi="宋体" w:eastAsia="宋体"/>
                <w:sz w:val="16"/>
              </w:rPr>
              <w:t>运转经费金额</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7D460BFF">
            <w:pPr>
              <w:jc w:val="center"/>
            </w:pPr>
            <w:r>
              <w:rPr>
                <w:rFonts w:ascii="宋体" w:hAnsi="宋体" w:eastAsia="宋体"/>
                <w:sz w:val="16"/>
              </w:rPr>
              <w:t>6</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3E2CC53">
            <w:pPr>
              <w:jc w:val="center"/>
            </w:pPr>
            <w:r>
              <w:rPr>
                <w:rFonts w:ascii="宋体" w:hAnsi="宋体" w:eastAsia="宋体"/>
                <w:sz w:val="16"/>
              </w:rPr>
              <w:t>&lt;=76.8万元</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7D24513">
            <w:pPr>
              <w:jc w:val="center"/>
            </w:pPr>
            <w:r>
              <w:rPr>
                <w:rFonts w:ascii="宋体" w:hAnsi="宋体" w:eastAsia="宋体"/>
                <w:sz w:val="16"/>
              </w:rPr>
              <w:t>76.8万元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488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FA9E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94C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E25D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018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E33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0E9DD">
            <w:pPr>
              <w:jc w:val="center"/>
            </w:pPr>
          </w:p>
        </w:tc>
      </w:tr>
      <w:tr w14:paraId="1DFAF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49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1E4C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EB2FB">
            <w:pPr>
              <w:jc w:val="center"/>
            </w:pPr>
            <w:r>
              <w:rPr>
                <w:rFonts w:ascii="宋体" w:hAnsi="宋体" w:eastAsia="宋体"/>
                <w:sz w:val="16"/>
              </w:rPr>
              <w:t>社会效益指标</w:t>
            </w:r>
          </w:p>
        </w:tc>
        <w:tc>
          <w:tcPr>
            <w:tcW w:w="743" w:type="dxa"/>
            <w:tcBorders>
              <w:top w:val="single" w:color="auto" w:sz="10" w:space="0"/>
              <w:left w:val="single" w:color="auto" w:sz="10" w:space="0"/>
              <w:bottom w:val="single" w:color="auto" w:sz="10" w:space="0"/>
              <w:right w:val="single" w:color="auto" w:sz="10" w:space="0"/>
              <w:insideV w:val="single" w:sz="10" w:space="0"/>
            </w:tcBorders>
            <w:vAlign w:val="center"/>
          </w:tcPr>
          <w:p w14:paraId="6F56923A">
            <w:pPr>
              <w:jc w:val="center"/>
            </w:pPr>
            <w:r>
              <w:rPr>
                <w:rFonts w:ascii="宋体" w:hAnsi="宋体" w:eastAsia="宋体"/>
                <w:sz w:val="16"/>
              </w:rPr>
              <w:t>提高医疗服务能力</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0D6EDDC6">
            <w:pPr>
              <w:jc w:val="center"/>
            </w:pPr>
            <w:r>
              <w:rPr>
                <w:rFonts w:ascii="宋体" w:hAnsi="宋体" w:eastAsia="宋体"/>
                <w:sz w:val="16"/>
              </w:rPr>
              <w:t>30</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F323C2E">
            <w:pPr>
              <w:jc w:val="center"/>
            </w:pPr>
            <w:r>
              <w:rPr>
                <w:rFonts w:ascii="宋体" w:hAnsi="宋体" w:eastAsia="宋体"/>
                <w:sz w:val="16"/>
              </w:rPr>
              <w:t>有效提高</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FDD5701">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812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3BA1">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47F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7BC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E49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26B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4F61">
            <w:pPr>
              <w:jc w:val="center"/>
            </w:pPr>
          </w:p>
        </w:tc>
      </w:tr>
      <w:tr w14:paraId="109ED80D">
        <w:tblPrEx>
          <w:tblCellMar>
            <w:top w:w="0" w:type="dxa"/>
            <w:left w:w="108" w:type="dxa"/>
            <w:bottom w:w="0" w:type="dxa"/>
            <w:right w:w="108" w:type="dxa"/>
          </w:tblCellMar>
        </w:tblPrEx>
        <w:tc>
          <w:tcPr>
            <w:tcW w:w="2639"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6905E98">
            <w:pPr>
              <w:jc w:val="center"/>
            </w:pPr>
            <w:r>
              <w:rPr>
                <w:rFonts w:ascii="宋体" w:hAnsi="宋体" w:eastAsia="宋体"/>
                <w:sz w:val="16"/>
              </w:rPr>
              <w:t>总分</w:t>
            </w:r>
          </w:p>
        </w:tc>
        <w:tc>
          <w:tcPr>
            <w:tcW w:w="521" w:type="dxa"/>
            <w:tcBorders>
              <w:top w:val="single" w:color="auto" w:sz="10" w:space="0"/>
              <w:left w:val="single" w:color="auto" w:sz="10" w:space="0"/>
              <w:bottom w:val="single" w:color="auto" w:sz="10" w:space="0"/>
              <w:right w:val="single" w:color="auto" w:sz="10" w:space="0"/>
              <w:insideV w:val="single" w:sz="10" w:space="0"/>
            </w:tcBorders>
            <w:vAlign w:val="center"/>
          </w:tcPr>
          <w:p w14:paraId="389A10D8">
            <w:pPr>
              <w:jc w:val="center"/>
            </w:pPr>
            <w:r>
              <w:rPr>
                <w:rFonts w:ascii="宋体" w:hAnsi="宋体" w:eastAsia="宋体"/>
                <w:sz w:val="16"/>
              </w:rPr>
              <w:t>100</w:t>
            </w:r>
          </w:p>
        </w:tc>
        <w:tc>
          <w:tcPr>
            <w:tcW w:w="776" w:type="dxa"/>
            <w:tcBorders>
              <w:top w:val="single" w:color="auto" w:sz="10" w:space="0"/>
              <w:left w:val="single" w:color="auto" w:sz="10" w:space="0"/>
              <w:bottom w:val="single" w:color="auto" w:sz="10" w:space="0"/>
              <w:right w:val="single" w:color="auto" w:sz="10" w:space="0"/>
              <w:insideV w:val="single" w:sz="10" w:space="0"/>
            </w:tcBorders>
          </w:tcPr>
          <w:p w14:paraId="7F398609"/>
        </w:tc>
        <w:tc>
          <w:tcPr>
            <w:tcW w:w="696" w:type="dxa"/>
            <w:tcBorders>
              <w:top w:val="single" w:color="auto" w:sz="10" w:space="0"/>
              <w:left w:val="single" w:color="auto" w:sz="10" w:space="0"/>
              <w:bottom w:val="single" w:color="auto" w:sz="10" w:space="0"/>
              <w:right w:val="single" w:color="auto" w:sz="10" w:space="0"/>
              <w:insideV w:val="single" w:sz="10" w:space="0"/>
            </w:tcBorders>
          </w:tcPr>
          <w:p w14:paraId="5BDE2B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7038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60475">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5B8FA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A716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26414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DE1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9AEBF71"/>
        </w:tc>
      </w:tr>
    </w:tbl>
    <w:p w14:paraId="7AC23816">
      <w:r>
        <w:br w:type="page"/>
      </w:r>
    </w:p>
    <w:p w14:paraId="32330D92">
      <w:pPr>
        <w:spacing w:line="640" w:lineRule="exact"/>
        <w:ind w:firstLine="640"/>
        <w:jc w:val="both"/>
        <w:outlineLvl w:val="2"/>
      </w:pPr>
      <w:r>
        <w:rPr>
          <w:rFonts w:ascii="黑体" w:hAnsi="黑体" w:eastAsia="黑体"/>
          <w:sz w:val="32"/>
        </w:rPr>
        <w:t>十二、其他需说明的事项</w:t>
      </w:r>
    </w:p>
    <w:p w14:paraId="7EF1E26E">
      <w:pPr>
        <w:spacing w:line="580" w:lineRule="exact"/>
        <w:ind w:firstLine="640"/>
        <w:jc w:val="both"/>
      </w:pPr>
      <w:r>
        <w:rPr>
          <w:rFonts w:ascii="仿宋_GB2312" w:hAnsi="仿宋_GB2312" w:eastAsia="仿宋_GB2312"/>
          <w:b w:val="0"/>
          <w:sz w:val="32"/>
        </w:rPr>
        <w:t>本单位无其他需说明的事项。</w:t>
      </w:r>
    </w:p>
    <w:p w14:paraId="7002D39C">
      <w:r>
        <w:br w:type="page"/>
      </w:r>
    </w:p>
    <w:p w14:paraId="20C72AEB">
      <w:pPr>
        <w:spacing w:line="240" w:lineRule="auto"/>
        <w:jc w:val="center"/>
        <w:outlineLvl w:val="1"/>
      </w:pPr>
      <w:r>
        <w:rPr>
          <w:rFonts w:ascii="黑体" w:hAnsi="黑体" w:eastAsia="黑体"/>
          <w:sz w:val="32"/>
        </w:rPr>
        <w:t>第三部分 专业名词解释</w:t>
      </w:r>
    </w:p>
    <w:p w14:paraId="3E1E5D9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1B4644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B4F40D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FBB74C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493DD4D">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08789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AF5A35F">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FA236F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B1EE0C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41EAA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7B42FB9">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66856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5E30127">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AA09B7F">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24A1C66">
      <w:r>
        <w:br w:type="page"/>
      </w:r>
    </w:p>
    <w:p w14:paraId="3FB0FAB8">
      <w:pPr>
        <w:spacing w:line="240" w:lineRule="auto"/>
        <w:jc w:val="center"/>
        <w:outlineLvl w:val="1"/>
      </w:pPr>
      <w:r>
        <w:rPr>
          <w:rFonts w:ascii="黑体" w:hAnsi="黑体" w:eastAsia="黑体"/>
          <w:sz w:val="32"/>
        </w:rPr>
        <w:t>第四部分 部门决算报表（见附表）</w:t>
      </w:r>
    </w:p>
    <w:p w14:paraId="59F8B728">
      <w:pPr>
        <w:spacing w:line="240" w:lineRule="auto"/>
        <w:ind w:firstLine="640"/>
        <w:jc w:val="both"/>
      </w:pPr>
      <w:r>
        <w:rPr>
          <w:rFonts w:ascii="仿宋_GB2312" w:hAnsi="仿宋_GB2312" w:eastAsia="仿宋_GB2312"/>
          <w:b w:val="0"/>
          <w:sz w:val="32"/>
        </w:rPr>
        <w:t>一、《收入支出决算总表》</w:t>
      </w:r>
    </w:p>
    <w:p w14:paraId="7A6CD6E0">
      <w:pPr>
        <w:spacing w:line="240" w:lineRule="auto"/>
        <w:ind w:firstLine="640"/>
        <w:jc w:val="both"/>
      </w:pPr>
      <w:r>
        <w:rPr>
          <w:rFonts w:ascii="仿宋_GB2312" w:hAnsi="仿宋_GB2312" w:eastAsia="仿宋_GB2312"/>
          <w:b w:val="0"/>
          <w:sz w:val="32"/>
        </w:rPr>
        <w:t>二、《收入决算表》</w:t>
      </w:r>
    </w:p>
    <w:p w14:paraId="00041052">
      <w:pPr>
        <w:spacing w:line="240" w:lineRule="auto"/>
        <w:ind w:firstLine="640"/>
        <w:jc w:val="both"/>
      </w:pPr>
      <w:r>
        <w:rPr>
          <w:rFonts w:ascii="仿宋_GB2312" w:hAnsi="仿宋_GB2312" w:eastAsia="仿宋_GB2312"/>
          <w:b w:val="0"/>
          <w:sz w:val="32"/>
        </w:rPr>
        <w:t>三、《支出决算表》</w:t>
      </w:r>
    </w:p>
    <w:p w14:paraId="31EA2A91">
      <w:pPr>
        <w:spacing w:line="240" w:lineRule="auto"/>
        <w:ind w:firstLine="640"/>
        <w:jc w:val="both"/>
      </w:pPr>
      <w:r>
        <w:rPr>
          <w:rFonts w:ascii="仿宋_GB2312" w:hAnsi="仿宋_GB2312" w:eastAsia="仿宋_GB2312"/>
          <w:b w:val="0"/>
          <w:sz w:val="32"/>
        </w:rPr>
        <w:t>四、《财政拨款收入支出决算总表》</w:t>
      </w:r>
    </w:p>
    <w:p w14:paraId="54A9634C">
      <w:pPr>
        <w:spacing w:line="240" w:lineRule="auto"/>
        <w:ind w:firstLine="640"/>
        <w:jc w:val="both"/>
      </w:pPr>
      <w:r>
        <w:rPr>
          <w:rFonts w:ascii="仿宋_GB2312" w:hAnsi="仿宋_GB2312" w:eastAsia="仿宋_GB2312"/>
          <w:b w:val="0"/>
          <w:sz w:val="32"/>
        </w:rPr>
        <w:t>五、《一般公共预算财政拨款支出决算表》</w:t>
      </w:r>
    </w:p>
    <w:p w14:paraId="22303098">
      <w:pPr>
        <w:spacing w:line="240" w:lineRule="auto"/>
        <w:ind w:firstLine="640"/>
        <w:jc w:val="both"/>
      </w:pPr>
      <w:r>
        <w:rPr>
          <w:rFonts w:ascii="仿宋_GB2312" w:hAnsi="仿宋_GB2312" w:eastAsia="仿宋_GB2312"/>
          <w:b w:val="0"/>
          <w:sz w:val="32"/>
        </w:rPr>
        <w:t>六、《一般公共预算财政拨款基本支出决算表》</w:t>
      </w:r>
    </w:p>
    <w:p w14:paraId="1C5419FD">
      <w:pPr>
        <w:spacing w:line="240" w:lineRule="auto"/>
        <w:ind w:firstLine="640"/>
        <w:jc w:val="both"/>
      </w:pPr>
      <w:r>
        <w:rPr>
          <w:rFonts w:ascii="仿宋_GB2312" w:hAnsi="仿宋_GB2312" w:eastAsia="仿宋_GB2312"/>
          <w:b w:val="0"/>
          <w:sz w:val="32"/>
        </w:rPr>
        <w:t>七、《政府性基金预算财政拨款收入支出决算表》</w:t>
      </w:r>
    </w:p>
    <w:p w14:paraId="52304CC4">
      <w:pPr>
        <w:spacing w:line="240" w:lineRule="auto"/>
        <w:ind w:firstLine="640"/>
        <w:jc w:val="both"/>
      </w:pPr>
      <w:r>
        <w:rPr>
          <w:rFonts w:ascii="仿宋_GB2312" w:hAnsi="仿宋_GB2312" w:eastAsia="仿宋_GB2312"/>
          <w:b w:val="0"/>
          <w:sz w:val="32"/>
        </w:rPr>
        <w:t>八、《国有资本经营预算财政拨款收入支出决算表》</w:t>
      </w:r>
    </w:p>
    <w:p w14:paraId="4E955C0B">
      <w:pPr>
        <w:spacing w:line="240" w:lineRule="auto"/>
        <w:ind w:firstLine="640"/>
        <w:jc w:val="both"/>
      </w:pPr>
      <w:r>
        <w:rPr>
          <w:rFonts w:ascii="仿宋_GB2312" w:hAnsi="仿宋_GB2312" w:eastAsia="仿宋_GB2312"/>
          <w:b w:val="0"/>
          <w:sz w:val="32"/>
        </w:rPr>
        <w:t>九、《财政拨款“三公”经费支出决算表》</w:t>
      </w:r>
    </w:p>
    <w:p w14:paraId="776E4807">
      <w:pPr>
        <w:spacing w:line="240" w:lineRule="auto"/>
        <w:ind w:firstLine="640"/>
        <w:jc w:val="both"/>
      </w:pPr>
    </w:p>
    <w:p w14:paraId="0E68FD1D">
      <w:pPr>
        <w:spacing w:line="240" w:lineRule="auto"/>
        <w:ind w:firstLine="640"/>
        <w:jc w:val="both"/>
      </w:pPr>
    </w:p>
    <w:p w14:paraId="180CE59F">
      <w:pPr>
        <w:spacing w:line="240" w:lineRule="auto"/>
        <w:ind w:firstLine="640"/>
        <w:jc w:val="both"/>
      </w:pPr>
    </w:p>
    <w:p w14:paraId="07B81A2E">
      <w:pPr>
        <w:spacing w:line="240" w:lineRule="auto"/>
        <w:ind w:firstLine="640"/>
        <w:jc w:val="both"/>
      </w:pPr>
    </w:p>
    <w:p w14:paraId="62D1289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37C6960-6654-437F-ACBC-1A2F7A5F4A3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1D8C66B7-40A6-453A-A26A-7C196B9CB872}"/>
  </w:font>
  <w:font w:name="楷体_GB2312">
    <w:panose1 w:val="02010609030101010101"/>
    <w:charset w:val="86"/>
    <w:family w:val="auto"/>
    <w:pitch w:val="default"/>
    <w:sig w:usb0="00000001" w:usb1="080E0000" w:usb2="00000000" w:usb3="00000000" w:csb0="00040000" w:csb1="00000000"/>
    <w:embedRegular r:id="rId3" w:fontKey="{C1B12F6D-D353-4C35-8BCB-02DD9F6C1135}"/>
  </w:font>
  <w:font w:name="方正小标宋_GBK">
    <w:panose1 w:val="02000000000000000000"/>
    <w:charset w:val="86"/>
    <w:family w:val="script"/>
    <w:pitch w:val="default"/>
    <w:sig w:usb0="A00002BF" w:usb1="38CF7CFA" w:usb2="00082016" w:usb3="00000000" w:csb0="00040001" w:csb1="00000000"/>
    <w:embedRegular r:id="rId4" w:fontKey="{2C9E283B-B312-4B3D-9F9E-5BAD7344935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1F0177A"/>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9186704"/>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4EC2FAA"/>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6354</Words>
  <Characters>7198</Characters>
  <Lines>0</Lines>
  <Paragraphs>0</Paragraphs>
  <TotalTime>5</TotalTime>
  <ScaleCrop>false</ScaleCrop>
  <LinksUpToDate>false</LinksUpToDate>
  <CharactersWithSpaces>7206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2025-09-25T04:22:37Z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