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霍城县良繁中心卫生院2024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59F0FD">
      <w:r>
        <w:br w:type="page"/>
      </w:r>
    </w:p>
    <w:p w14:paraId="0251A7A0">
      <w:pPr>
        <w:spacing w:line="640" w:lineRule="exact"/>
        <w:jc w:val="center"/>
        <w:outlineLvl w:val="1"/>
      </w:pPr>
      <w:r>
        <w:rPr>
          <w:rFonts w:ascii="黑体" w:hAnsi="黑体" w:eastAsia="黑体"/>
          <w:sz w:val="32"/>
        </w:rPr>
        <w:t>第一部分 单位概况</w:t>
      </w:r>
    </w:p>
    <w:p w14:paraId="77239DDA">
      <w:pPr>
        <w:spacing w:line="640" w:lineRule="exact"/>
        <w:ind w:firstLine="640"/>
        <w:jc w:val="both"/>
        <w:outlineLvl w:val="2"/>
      </w:pPr>
      <w:r>
        <w:rPr>
          <w:rFonts w:ascii="黑体" w:hAnsi="黑体" w:eastAsia="黑体"/>
          <w:sz w:val="32"/>
        </w:rPr>
        <w:t>一、主要职能</w:t>
      </w:r>
    </w:p>
    <w:p w14:paraId="0D83C438">
      <w:pPr>
        <w:spacing w:line="580" w:lineRule="exact"/>
        <w:ind w:firstLine="640"/>
        <w:jc w:val="both"/>
      </w:pPr>
      <w:r>
        <w:rPr>
          <w:rFonts w:ascii="仿宋_GB2312" w:hAnsi="仿宋_GB2312" w:eastAsia="仿宋_GB2312"/>
          <w:sz w:val="32"/>
        </w:rPr>
        <w:t>一是基本医疗服务，包括常见病多发病的诊治、护理、急救和医疗和恢复期病人康复治疗与护理。二是公共预防保健，包括卫生防疫，妇幼保健，计划免疫；三是做好新型合作医疗的服务工作。</w:t>
      </w:r>
    </w:p>
    <w:p w14:paraId="2D0ECEB5">
      <w:pPr>
        <w:spacing w:line="640" w:lineRule="exact"/>
        <w:ind w:firstLine="640"/>
        <w:jc w:val="both"/>
        <w:outlineLvl w:val="2"/>
      </w:pPr>
      <w:r>
        <w:rPr>
          <w:rFonts w:ascii="黑体" w:hAnsi="黑体" w:eastAsia="黑体"/>
          <w:sz w:val="32"/>
        </w:rPr>
        <w:t>二、机构设置及人员情况</w:t>
      </w:r>
    </w:p>
    <w:p w14:paraId="3F9A5493">
      <w:pPr>
        <w:spacing w:line="580" w:lineRule="exact"/>
        <w:ind w:firstLine="640"/>
        <w:jc w:val="both"/>
      </w:pPr>
      <w:r>
        <w:rPr>
          <w:rFonts w:ascii="仿宋_GB2312" w:hAnsi="仿宋_GB2312" w:eastAsia="仿宋_GB2312"/>
          <w:sz w:val="32"/>
        </w:rPr>
        <w:t>霍城县良繁中心卫生院2024年度，实有人数13人，其中：在职人员13人，增加1人；离休人员0人，增加0人；退休人员0人,增加0人。</w:t>
      </w:r>
    </w:p>
    <w:p w14:paraId="0366922D">
      <w:pPr>
        <w:spacing w:line="580" w:lineRule="exact"/>
        <w:ind w:firstLine="640"/>
        <w:jc w:val="both"/>
      </w:pPr>
      <w:r>
        <w:rPr>
          <w:rFonts w:ascii="仿宋_GB2312" w:hAnsi="仿宋_GB2312" w:eastAsia="仿宋_GB2312"/>
          <w:sz w:val="32"/>
        </w:rPr>
        <w:t>霍城县良繁中心卫生院无下属预算单位，下设13个科室，分别是：行政办公室、财务室、收费室、门诊、药剂科、住院部、中医科、检验室、心电B超室、X光室、妇幼保健科、公卫科、全民健康体检科。</w:t>
      </w:r>
    </w:p>
    <w:p w14:paraId="658B44EE">
      <w:r>
        <w:br w:type="page"/>
      </w:r>
    </w:p>
    <w:p w14:paraId="5623035D">
      <w:pPr>
        <w:spacing w:line="240" w:lineRule="auto"/>
        <w:jc w:val="center"/>
        <w:outlineLvl w:val="1"/>
      </w:pPr>
      <w:r>
        <w:rPr>
          <w:rFonts w:ascii="黑体" w:hAnsi="黑体" w:eastAsia="黑体"/>
          <w:sz w:val="32"/>
        </w:rPr>
        <w:t>第二部分 部门决算情况说明</w:t>
      </w:r>
    </w:p>
    <w:p w14:paraId="48D6AD7A">
      <w:pPr>
        <w:spacing w:line="640" w:lineRule="exact"/>
        <w:ind w:firstLine="640"/>
        <w:jc w:val="both"/>
        <w:outlineLvl w:val="2"/>
      </w:pPr>
      <w:r>
        <w:rPr>
          <w:rFonts w:ascii="黑体" w:hAnsi="黑体" w:eastAsia="黑体"/>
          <w:sz w:val="32"/>
        </w:rPr>
        <w:t>一、收入支出决算总体情况说明</w:t>
      </w:r>
    </w:p>
    <w:p w14:paraId="5CA5E6A0">
      <w:pPr>
        <w:spacing w:line="580" w:lineRule="exact"/>
        <w:ind w:firstLine="640"/>
        <w:jc w:val="both"/>
      </w:pPr>
      <w:r>
        <w:rPr>
          <w:rFonts w:ascii="仿宋_GB2312" w:hAnsi="仿宋_GB2312" w:eastAsia="仿宋_GB2312"/>
          <w:b/>
          <w:sz w:val="32"/>
        </w:rPr>
        <w:t>2024年度收入总计325.52万元，</w:t>
      </w:r>
      <w:r>
        <w:rPr>
          <w:rFonts w:ascii="仿宋_GB2312" w:hAnsi="仿宋_GB2312" w:eastAsia="仿宋_GB2312"/>
          <w:b w:val="0"/>
          <w:sz w:val="32"/>
        </w:rPr>
        <w:t>其中：本年收入合计325.52万元，使用非财政拨款结余（含专用结余）0.00万元，年初结转和结余0.00万元。</w:t>
      </w:r>
    </w:p>
    <w:p w14:paraId="7D00E3D2">
      <w:pPr>
        <w:spacing w:line="580" w:lineRule="exact"/>
        <w:ind w:firstLine="640"/>
        <w:jc w:val="both"/>
      </w:pPr>
      <w:r>
        <w:rPr>
          <w:rFonts w:ascii="仿宋_GB2312" w:hAnsi="仿宋_GB2312" w:eastAsia="仿宋_GB2312"/>
          <w:b/>
          <w:sz w:val="32"/>
        </w:rPr>
        <w:t>2024年度支出总计325.52万元，</w:t>
      </w:r>
      <w:r>
        <w:rPr>
          <w:rFonts w:ascii="仿宋_GB2312" w:hAnsi="仿宋_GB2312" w:eastAsia="仿宋_GB2312"/>
          <w:b w:val="0"/>
          <w:sz w:val="32"/>
        </w:rPr>
        <w:t>其中：本年支出合计325.52万元，结余分配0.00万元，年末结转和结余0.00万元。</w:t>
      </w:r>
    </w:p>
    <w:p w14:paraId="40B2B706">
      <w:pPr>
        <w:spacing w:line="580" w:lineRule="exact"/>
        <w:ind w:firstLine="640"/>
        <w:jc w:val="both"/>
      </w:pPr>
      <w:r>
        <w:rPr>
          <w:rFonts w:ascii="仿宋_GB2312" w:hAnsi="仿宋_GB2312" w:eastAsia="仿宋_GB2312"/>
          <w:b w:val="0"/>
          <w:sz w:val="32"/>
        </w:rPr>
        <w:t>收入支出总体与上年相比，减少57.42万元，下降14.99%，主要原因是：1、本年减少中央突发事件财力补助项目；2、本年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、孕产妇及儿童管理、老年人管理等服务项目资金较上年减少。</w:t>
      </w:r>
    </w:p>
    <w:p w14:paraId="21739341">
      <w:pPr>
        <w:spacing w:line="640" w:lineRule="exact"/>
        <w:ind w:firstLine="640"/>
        <w:jc w:val="both"/>
        <w:outlineLvl w:val="2"/>
      </w:pPr>
      <w:r>
        <w:rPr>
          <w:rFonts w:ascii="黑体" w:hAnsi="黑体" w:eastAsia="黑体"/>
          <w:sz w:val="32"/>
        </w:rPr>
        <w:t>二、收入决算情况说明</w:t>
      </w:r>
    </w:p>
    <w:p w14:paraId="27CA9130">
      <w:pPr>
        <w:spacing w:line="580" w:lineRule="exact"/>
        <w:ind w:firstLine="640"/>
        <w:jc w:val="both"/>
      </w:pPr>
      <w:r>
        <w:rPr>
          <w:rFonts w:ascii="仿宋_GB2312" w:hAnsi="仿宋_GB2312" w:eastAsia="仿宋_GB2312"/>
          <w:b/>
          <w:sz w:val="32"/>
        </w:rPr>
        <w:t>本年收入325.52万元，</w:t>
      </w:r>
      <w:r>
        <w:rPr>
          <w:rFonts w:ascii="仿宋_GB2312" w:hAnsi="仿宋_GB2312" w:eastAsia="仿宋_GB2312"/>
          <w:b w:val="0"/>
          <w:sz w:val="32"/>
        </w:rPr>
        <w:t>其中：财政拨款收入273.14万元，占83.91%；上级补助收入0.00万元，占0.00%；事业收入50.99万元，占15.66%；经营收入0.00万元，占0.00%；附属单位上缴收入0.00万元，占0.00%；其他收入1.38万元，占0.42%。</w:t>
      </w:r>
    </w:p>
    <w:p w14:paraId="1E8F8FF0">
      <w:pPr>
        <w:spacing w:line="640" w:lineRule="exact"/>
        <w:ind w:firstLine="640"/>
        <w:jc w:val="both"/>
        <w:outlineLvl w:val="2"/>
      </w:pPr>
      <w:r>
        <w:rPr>
          <w:rFonts w:ascii="黑体" w:hAnsi="黑体" w:eastAsia="黑体"/>
          <w:sz w:val="32"/>
        </w:rPr>
        <w:t>三、支出决算情况说明</w:t>
      </w:r>
    </w:p>
    <w:p w14:paraId="4FAF480C">
      <w:pPr>
        <w:spacing w:line="580" w:lineRule="exact"/>
        <w:ind w:firstLine="640"/>
        <w:jc w:val="both"/>
      </w:pPr>
      <w:r>
        <w:rPr>
          <w:rFonts w:ascii="仿宋_GB2312" w:hAnsi="仿宋_GB2312" w:eastAsia="仿宋_GB2312"/>
          <w:b/>
          <w:sz w:val="32"/>
        </w:rPr>
        <w:t>本年支出325.52万元，</w:t>
      </w:r>
      <w:r>
        <w:rPr>
          <w:rFonts w:ascii="仿宋_GB2312" w:hAnsi="仿宋_GB2312" w:eastAsia="仿宋_GB2312"/>
          <w:b w:val="0"/>
          <w:sz w:val="32"/>
        </w:rPr>
        <w:t>其中：基本支出245.07万元，占75.29%；项目支出80.45万元，占24.71%；上缴上级支出0.00万元，占0.00%；经营支出0.00万元，占0.00%；对附属单位补助支出0.00万元，占0.00%。</w:t>
      </w:r>
    </w:p>
    <w:p w14:paraId="53B6658E">
      <w:pPr>
        <w:spacing w:line="640" w:lineRule="exact"/>
        <w:ind w:firstLine="640"/>
        <w:jc w:val="both"/>
        <w:outlineLvl w:val="2"/>
      </w:pPr>
      <w:r>
        <w:rPr>
          <w:rFonts w:ascii="黑体" w:hAnsi="黑体" w:eastAsia="黑体"/>
          <w:sz w:val="32"/>
        </w:rPr>
        <w:t>四、财政拨款收入支出决算总体情况说明</w:t>
      </w:r>
    </w:p>
    <w:p w14:paraId="3824F079">
      <w:pPr>
        <w:spacing w:line="580" w:lineRule="exact"/>
        <w:ind w:firstLine="640"/>
        <w:jc w:val="both"/>
      </w:pPr>
      <w:r>
        <w:rPr>
          <w:rFonts w:ascii="仿宋_GB2312" w:hAnsi="仿宋_GB2312" w:eastAsia="仿宋_GB2312"/>
          <w:b/>
          <w:sz w:val="32"/>
        </w:rPr>
        <w:t>2024年度财政拨款收入总计273.14万元，</w:t>
      </w:r>
      <w:r>
        <w:rPr>
          <w:rFonts w:ascii="仿宋_GB2312" w:hAnsi="仿宋_GB2312" w:eastAsia="仿宋_GB2312"/>
          <w:b w:val="0"/>
          <w:sz w:val="32"/>
        </w:rPr>
        <w:t>其中：年初财政拨款结转和结余0.00万元，本年财政拨款收入273.14万元。</w:t>
      </w:r>
      <w:r>
        <w:rPr>
          <w:rFonts w:ascii="仿宋_GB2312" w:hAnsi="仿宋_GB2312" w:eastAsia="仿宋_GB2312"/>
          <w:b/>
          <w:sz w:val="32"/>
        </w:rPr>
        <w:t>财政拨款支出总计273.14万元，</w:t>
      </w:r>
      <w:r>
        <w:rPr>
          <w:rFonts w:ascii="仿宋_GB2312" w:hAnsi="仿宋_GB2312" w:eastAsia="仿宋_GB2312"/>
          <w:b w:val="0"/>
          <w:sz w:val="32"/>
        </w:rPr>
        <w:t>其中：年末财政拨款结转和结余0.00万元，本年财政拨款支出273.14万元。</w:t>
      </w:r>
    </w:p>
    <w:p w14:paraId="0D98A6A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减少50.16万元，下降15.52%，主要原因是：1、本年减少中央突发事件财力补助项目；2、本年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年初预算数168.22万元，决算数273.14万元，预决算差异率62.37%，主要原因是：1.年中追加人员工资、社保、公积金基数调增部分资金，导致预决算存在差异；2.年中追加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导致预决算存在差异。</w:t>
      </w:r>
    </w:p>
    <w:p w14:paraId="6868FA4A">
      <w:pPr>
        <w:spacing w:line="640" w:lineRule="exact"/>
        <w:ind w:firstLine="640"/>
        <w:jc w:val="both"/>
        <w:outlineLvl w:val="2"/>
      </w:pPr>
      <w:r>
        <w:rPr>
          <w:rFonts w:ascii="黑体" w:hAnsi="黑体" w:eastAsia="黑体"/>
          <w:sz w:val="32"/>
        </w:rPr>
        <w:t>五、一般公共预算财政拨款支出决算情况说明</w:t>
      </w:r>
    </w:p>
    <w:p w14:paraId="5DE68B9E">
      <w:pPr>
        <w:spacing w:line="640" w:lineRule="exact"/>
        <w:ind w:firstLine="640"/>
        <w:jc w:val="both"/>
        <w:outlineLvl w:val="3"/>
      </w:pPr>
      <w:r>
        <w:rPr>
          <w:rFonts w:ascii="楷体_GB2312" w:hAnsi="楷体_GB2312" w:eastAsia="楷体_GB2312"/>
          <w:b/>
          <w:sz w:val="32"/>
        </w:rPr>
        <w:t>（一）一般公共预算财政拨款支出决算总体情况</w:t>
      </w:r>
    </w:p>
    <w:p w14:paraId="16050F27">
      <w:pPr>
        <w:spacing w:line="580" w:lineRule="exact"/>
        <w:ind w:firstLine="640"/>
        <w:jc w:val="both"/>
      </w:pPr>
      <w:r>
        <w:rPr>
          <w:rFonts w:ascii="仿宋_GB2312" w:hAnsi="仿宋_GB2312" w:eastAsia="仿宋_GB2312"/>
          <w:b/>
          <w:sz w:val="32"/>
        </w:rPr>
        <w:t>2024年度一般公共预算财政拨款支出272.26万元，</w:t>
      </w:r>
      <w:r>
        <w:rPr>
          <w:rFonts w:ascii="仿宋_GB2312" w:hAnsi="仿宋_GB2312" w:eastAsia="仿宋_GB2312"/>
          <w:b w:val="0"/>
          <w:sz w:val="32"/>
        </w:rPr>
        <w:t>占本年支出合计的83.64%。</w:t>
      </w:r>
      <w:r>
        <w:rPr>
          <w:rFonts w:ascii="仿宋_GB2312" w:hAnsi="仿宋_GB2312" w:eastAsia="仿宋_GB2312"/>
          <w:b/>
          <w:sz w:val="32"/>
        </w:rPr>
        <w:t>与上年相比，</w:t>
      </w:r>
      <w:r>
        <w:rPr>
          <w:rFonts w:ascii="仿宋_GB2312" w:hAnsi="仿宋_GB2312" w:eastAsia="仿宋_GB2312"/>
          <w:b w:val="0"/>
          <w:sz w:val="32"/>
        </w:rPr>
        <w:t>减少50.32万元，下降15.60%，主要原因是：1、本年减少中央突发事件财力补助项目；2、本年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年初预算数168.22万元，决算数272.26万元，预决算差异率61.85%，主要原因是：1.年中追加人员工资、社保、公积金基数调增部分资金，导致预决算存在差异；2.年中追加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、孕产妇及儿童管理、老年人管理等服务项目，执行基本药物制度补助资金项目，全民健康体检支出项目，重大传染病防控补助资金项目，导致预决算存在差异。</w:t>
      </w:r>
    </w:p>
    <w:p w14:paraId="70C5CDD2">
      <w:pPr>
        <w:spacing w:line="640" w:lineRule="exact"/>
        <w:ind w:firstLine="640"/>
        <w:jc w:val="both"/>
        <w:outlineLvl w:val="3"/>
      </w:pPr>
      <w:r>
        <w:rPr>
          <w:rFonts w:ascii="楷体_GB2312" w:hAnsi="楷体_GB2312" w:eastAsia="楷体_GB2312"/>
          <w:b/>
          <w:sz w:val="32"/>
        </w:rPr>
        <w:t>（二）一般公共预算财政拨款支出决算结构情况</w:t>
      </w:r>
    </w:p>
    <w:p w14:paraId="19B4E39E">
      <w:pPr>
        <w:spacing w:line="580" w:lineRule="exact"/>
        <w:ind w:firstLine="640"/>
        <w:jc w:val="both"/>
      </w:pPr>
      <w:r>
        <w:rPr>
          <w:rFonts w:ascii="仿宋_GB2312" w:hAnsi="仿宋_GB2312" w:eastAsia="仿宋_GB2312"/>
          <w:b w:val="0"/>
          <w:sz w:val="32"/>
        </w:rPr>
        <w:t>1.社会保障和就业支出(类)18.90万元,占6.94%。</w:t>
      </w:r>
    </w:p>
    <w:p w14:paraId="131D6125">
      <w:pPr>
        <w:spacing w:line="580" w:lineRule="exact"/>
        <w:ind w:firstLine="640"/>
        <w:jc w:val="both"/>
      </w:pPr>
      <w:r>
        <w:rPr>
          <w:rFonts w:ascii="仿宋_GB2312" w:hAnsi="仿宋_GB2312" w:eastAsia="仿宋_GB2312"/>
          <w:b w:val="0"/>
          <w:sz w:val="32"/>
        </w:rPr>
        <w:t>2.卫生健康支出(类)237.33万元,占87.17%。</w:t>
      </w:r>
    </w:p>
    <w:p w14:paraId="17DCA546">
      <w:pPr>
        <w:spacing w:line="580" w:lineRule="exact"/>
        <w:ind w:firstLine="640"/>
        <w:jc w:val="both"/>
      </w:pPr>
      <w:r>
        <w:rPr>
          <w:rFonts w:ascii="仿宋_GB2312" w:hAnsi="仿宋_GB2312" w:eastAsia="仿宋_GB2312"/>
          <w:b w:val="0"/>
          <w:sz w:val="32"/>
        </w:rPr>
        <w:t>3.住房保障支出(类)16.04万元,占5.89%。</w:t>
      </w:r>
    </w:p>
    <w:p w14:paraId="6649C48F">
      <w:pPr>
        <w:spacing w:line="640" w:lineRule="exact"/>
        <w:ind w:firstLine="640"/>
        <w:jc w:val="both"/>
        <w:outlineLvl w:val="3"/>
      </w:pPr>
      <w:r>
        <w:rPr>
          <w:rFonts w:ascii="楷体_GB2312" w:hAnsi="楷体_GB2312" w:eastAsia="楷体_GB2312"/>
          <w:b/>
          <w:sz w:val="32"/>
        </w:rPr>
        <w:t>（三）一般公共预算财政拨款支出决算具体情况</w:t>
      </w:r>
    </w:p>
    <w:p w14:paraId="3B787576">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18.90万元，比上年决算增加3.18万元，增长20.23%,主要原因是：本年新增在职人员，在职人员工资基数调增，养老缴费基数上涨，相应支出增加。</w:t>
      </w:r>
    </w:p>
    <w:p w14:paraId="2107F1B5">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0.00万元，比上年决算减少16.35万元，下降100.00%,主要原因是：本年无医疗服务与保障能力提升（卫生健康人才队伍建设）补助资金项目支出，支出较上年减少。</w:t>
      </w:r>
    </w:p>
    <w:p w14:paraId="6E95979E">
      <w:pPr>
        <w:spacing w:line="580" w:lineRule="exact"/>
        <w:ind w:firstLine="640"/>
        <w:jc w:val="both"/>
      </w:pPr>
      <w:r>
        <w:rPr>
          <w:rFonts w:ascii="仿宋_GB2312" w:hAnsi="仿宋_GB2312" w:eastAsia="仿宋_GB2312"/>
          <w:b w:val="0"/>
          <w:sz w:val="32"/>
        </w:rPr>
        <w:t>3.卫生健康支出(类)公立医院(款)其他公立医院支出(项):支出决算数为3.00万元，比上年决算增加3.00万元，增长100.00%,主要原因是：本年增加中央医疗服务保障与能力提升（公立医院综合改革）补助资金项目支出。</w:t>
      </w:r>
    </w:p>
    <w:p w14:paraId="26661464">
      <w:pPr>
        <w:spacing w:line="580" w:lineRule="exact"/>
        <w:ind w:firstLine="640"/>
        <w:jc w:val="both"/>
      </w:pPr>
      <w:r>
        <w:rPr>
          <w:rFonts w:ascii="仿宋_GB2312" w:hAnsi="仿宋_GB2312" w:eastAsia="仿宋_GB2312"/>
          <w:b w:val="0"/>
          <w:sz w:val="32"/>
        </w:rPr>
        <w:t>4.卫生健康支出(类)基层医疗卫生机构(款)乡镇卫生院(项):支出决算数为148.31万元，比上年决算增加8.43万元，增长6.03%,主要原因是：本年新增在职人员、在职人员工资调增，岗位晋升，追加绩效工资，支出增加。</w:t>
      </w:r>
    </w:p>
    <w:p w14:paraId="0C8549DF">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5.卫生健康支出(类)基层医疗卫生机构(款)其他基层医疗卫生机构支出(项):支出决算数为5.20万元，比上年决算增加0.53万元，增长11.35%,主要原因是：本年增加执行基本药物制度补助资金项目资金拨付，支出增加。</w:t>
      </w:r>
    </w:p>
    <w:p w14:paraId="597A27A6">
      <w:pPr>
        <w:spacing w:line="580" w:lineRule="exact"/>
        <w:ind w:firstLine="640"/>
        <w:jc w:val="both"/>
      </w:pPr>
      <w:r>
        <w:rPr>
          <w:rFonts w:ascii="仿宋_GB2312" w:hAnsi="仿宋_GB2312" w:eastAsia="仿宋_GB2312"/>
          <w:b w:val="0"/>
          <w:sz w:val="32"/>
        </w:rPr>
        <w:t>6.卫生健康支出(类)公共卫生(款)基本公共卫生服务(项):支出决算数为55.76万元，比上年决算减少19.42万元，下降25.83%,主要原因是：本年减少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、孕产妇及儿童管理、老年人管理等服务项目资金拨付，支出减少。</w:t>
      </w:r>
    </w:p>
    <w:p w14:paraId="648F4B78">
      <w:pPr>
        <w:spacing w:line="580" w:lineRule="exact"/>
        <w:ind w:firstLine="640"/>
        <w:jc w:val="both"/>
      </w:pPr>
      <w:r>
        <w:rPr>
          <w:rFonts w:ascii="仿宋_GB2312" w:hAnsi="仿宋_GB2312" w:eastAsia="仿宋_GB2312"/>
          <w:b w:val="0"/>
          <w:sz w:val="32"/>
        </w:rPr>
        <w:t>7.卫生健康支出(类)公共卫生(款)重大公共卫生服务(项):支出决算数为0.62万元，比上年决算增加0.62万元，增长100.00%,主要原因是：本年增加重大传染病防控补助资金项目资金拨付，支出增加。</w:t>
      </w:r>
    </w:p>
    <w:p w14:paraId="4DD7B503">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8.卫生健康支出(类)公共卫生(款)突发公共卫生事件应急处理(项):支出决算数为0.00万元，比上年决算减少32.39万元，下降100.00%,主要原因是：本年减少中央突发事件财力补助项目资金拨付，支出减少。</w:t>
      </w:r>
    </w:p>
    <w:p w14:paraId="0D062AE2">
      <w:pPr>
        <w:spacing w:line="580" w:lineRule="exact"/>
        <w:ind w:firstLine="640"/>
        <w:jc w:val="both"/>
      </w:pPr>
      <w:r>
        <w:rPr>
          <w:rFonts w:ascii="仿宋_GB2312" w:hAnsi="仿宋_GB2312" w:eastAsia="仿宋_GB2312"/>
          <w:b w:val="0"/>
          <w:sz w:val="32"/>
        </w:rPr>
        <w:t>9.卫生健康支出(类)公共卫生(款)其他公共卫生支出(项):支出决算数为14.99万元，比上年决算减少2.09万元，下降12.24%,主要原因是：本年减少全民健康体检支出项目资金拨付，支出减少。</w:t>
      </w:r>
    </w:p>
    <w:p w14:paraId="529E1AFB">
      <w:pPr>
        <w:spacing w:line="580" w:lineRule="exact"/>
        <w:ind w:firstLine="640"/>
        <w:jc w:val="both"/>
      </w:pPr>
      <w:r>
        <w:rPr>
          <w:rFonts w:ascii="仿宋_GB2312" w:hAnsi="仿宋_GB2312" w:eastAsia="仿宋_GB2312"/>
          <w:b w:val="0"/>
          <w:sz w:val="32"/>
        </w:rPr>
        <w:t>10.卫生健康支出(类)行政事业单位医疗(款)事业单位医疗(项):支出决算数为9.45万元，比上年决算增加1.59万元，增长20.23%,主要原因是：本年新增在职人员、在职人员工资基数调增，医疗缴费基数上涨，相应支出增加。</w:t>
      </w:r>
    </w:p>
    <w:p w14:paraId="25F6A471">
      <w:pPr>
        <w:spacing w:line="580" w:lineRule="exact"/>
        <w:ind w:firstLine="640"/>
        <w:jc w:val="both"/>
      </w:pPr>
      <w:r>
        <w:rPr>
          <w:rFonts w:ascii="仿宋_GB2312" w:hAnsi="仿宋_GB2312" w:eastAsia="仿宋_GB2312"/>
          <w:b w:val="0"/>
          <w:sz w:val="32"/>
        </w:rPr>
        <w:t>11.住房保障支出(类)住房改革支出(款)住房公积金(项):支出决算数为16.04万元，比上年决算增加2.58万元，增长19.17%,主要原因是：本年新增在职人员、在职人员工资基数调增，公积金缴费基数上涨，相应支出增加。</w:t>
      </w:r>
    </w:p>
    <w:p w14:paraId="5FA74C8C">
      <w:pPr>
        <w:spacing w:line="640" w:lineRule="exact"/>
        <w:ind w:firstLine="640"/>
        <w:jc w:val="both"/>
        <w:outlineLvl w:val="2"/>
      </w:pPr>
      <w:r>
        <w:rPr>
          <w:rFonts w:ascii="黑体" w:hAnsi="黑体" w:eastAsia="黑体"/>
          <w:sz w:val="32"/>
        </w:rPr>
        <w:t>六、一般公共预算财政拨款基本支出决算情况说明</w:t>
      </w:r>
    </w:p>
    <w:p w14:paraId="25D1F116">
      <w:pPr>
        <w:spacing w:line="580" w:lineRule="exact"/>
        <w:ind w:firstLine="640"/>
        <w:jc w:val="both"/>
      </w:pPr>
      <w:r>
        <w:rPr>
          <w:rFonts w:ascii="仿宋_GB2312" w:hAnsi="仿宋_GB2312" w:eastAsia="仿宋_GB2312"/>
          <w:b w:val="0"/>
          <w:sz w:val="32"/>
        </w:rPr>
        <w:t>2024年度一般公共预算财政拨款基本支出192.69万元，其中：</w:t>
      </w:r>
      <w:r>
        <w:rPr>
          <w:rFonts w:ascii="仿宋_GB2312" w:hAnsi="仿宋_GB2312" w:eastAsia="仿宋_GB2312"/>
          <w:b/>
          <w:sz w:val="32"/>
        </w:rPr>
        <w:t>人员经费192.49万元，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包括：基本工资、津贴补贴、奖金、绩效工资、机关事业单位基本养老保险缴费、职工基本医疗保险缴费、其他社会保障缴费、住房公积金、其他工资福利支出、奖励金。</w:t>
      </w:r>
    </w:p>
    <w:p w14:paraId="66D9E40F">
      <w:pPr>
        <w:spacing w:line="580" w:lineRule="exact"/>
        <w:ind w:firstLine="640"/>
        <w:jc w:val="both"/>
      </w:pPr>
      <w:r>
        <w:rPr>
          <w:rFonts w:ascii="仿宋_GB2312" w:hAnsi="仿宋_GB2312" w:eastAsia="仿宋_GB2312"/>
          <w:b/>
          <w:sz w:val="32"/>
        </w:rPr>
        <w:t>公用经费0.20万元，</w:t>
      </w:r>
      <w:r>
        <w:rPr>
          <w:rFonts w:ascii="仿宋_GB2312" w:hAnsi="仿宋_GB2312" w:eastAsia="仿宋_GB2312"/>
          <w:b w:val="0"/>
          <w:sz w:val="32"/>
        </w:rPr>
        <w:t>包括：工会经费。</w:t>
      </w:r>
    </w:p>
    <w:p w14:paraId="482E6FB6">
      <w:pPr>
        <w:spacing w:line="640" w:lineRule="exact"/>
        <w:ind w:firstLine="640"/>
        <w:jc w:val="both"/>
        <w:outlineLvl w:val="2"/>
      </w:pPr>
      <w:r>
        <w:rPr>
          <w:rFonts w:ascii="黑体" w:hAnsi="黑体" w:eastAsia="黑体"/>
          <w:sz w:val="32"/>
        </w:rPr>
        <w:t>七、政府性基金预算财政拨款收入支出决算情况说明</w:t>
      </w:r>
    </w:p>
    <w:p w14:paraId="555105CB">
      <w:pPr>
        <w:spacing w:line="580" w:lineRule="exact"/>
        <w:ind w:firstLine="640"/>
        <w:jc w:val="both"/>
      </w:pPr>
      <w:r>
        <w:rPr>
          <w:rFonts w:ascii="仿宋_GB2312" w:hAnsi="仿宋_GB2312" w:eastAsia="仿宋_GB2312"/>
          <w:b/>
          <w:sz w:val="32"/>
        </w:rPr>
        <w:t>2024年度政府性基金预算财政拨款收入总计0.88万元，</w:t>
      </w:r>
      <w:r>
        <w:rPr>
          <w:rFonts w:ascii="仿宋_GB2312" w:hAnsi="仿宋_GB2312" w:eastAsia="仿宋_GB2312"/>
          <w:b w:val="0"/>
          <w:sz w:val="32"/>
        </w:rPr>
        <w:t>其中：年初结转和结余0.00万元，本年收入0.88万元。</w:t>
      </w:r>
      <w:r>
        <w:rPr>
          <w:rFonts w:ascii="仿宋_GB2312" w:hAnsi="仿宋_GB2312" w:eastAsia="仿宋_GB2312"/>
          <w:b/>
          <w:sz w:val="32"/>
        </w:rPr>
        <w:t>政府性基金预算财政拨款支出总计0.88万元，</w:t>
      </w:r>
      <w:r>
        <w:rPr>
          <w:rFonts w:ascii="仿宋_GB2312" w:hAnsi="仿宋_GB2312" w:eastAsia="仿宋_GB2312"/>
          <w:b w:val="0"/>
          <w:sz w:val="32"/>
        </w:rPr>
        <w:t>其中：年末结转和结余0.00万元，本年支出0.88万元。</w:t>
      </w:r>
    </w:p>
    <w:p w14:paraId="4130446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增加0.16万元，增长22.22%，主要原因是：本年80岁以上老年人免费体检补助项目资金较上年增加。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年初预算数0.00万元，决算数0.88万元，预决算差异率100.00%，主要原因是：年中追加80岁以上老年人免费体检补助资金项目，导致预决算存在差异。</w:t>
      </w:r>
    </w:p>
    <w:p w14:paraId="02AF9C33">
      <w:pPr>
        <w:spacing w:line="580" w:lineRule="exact"/>
        <w:ind w:firstLine="640"/>
        <w:jc w:val="both"/>
      </w:pPr>
      <w:r>
        <w:rPr>
          <w:rFonts w:ascii="仿宋_GB2312" w:hAnsi="仿宋_GB2312" w:eastAsia="仿宋_GB2312"/>
          <w:b w:val="0"/>
          <w:sz w:val="32"/>
        </w:rPr>
        <w:t>政府性基金预算财政拨款支出0.88万元。</w:t>
      </w:r>
    </w:p>
    <w:p w14:paraId="6934BDE8">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0.88万元，比上年决算增加0.16万元，增长22.22%,主要原因是：本年80岁以上老年人免费体检补助项目资金较上年增加，支出增加。</w:t>
      </w:r>
    </w:p>
    <w:p w14:paraId="6D0844ED">
      <w:pPr>
        <w:spacing w:line="640" w:lineRule="exact"/>
        <w:ind w:firstLine="640"/>
        <w:jc w:val="both"/>
        <w:outlineLvl w:val="2"/>
      </w:pPr>
      <w:r>
        <w:rPr>
          <w:rFonts w:ascii="黑体" w:hAnsi="黑体" w:eastAsia="黑体"/>
          <w:sz w:val="32"/>
        </w:rPr>
        <w:t>八、国有资本经营预算财政拨款收入支出决算情况说明</w:t>
      </w:r>
    </w:p>
    <w:p w14:paraId="1E405CC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4019C7">
      <w:pPr>
        <w:spacing w:line="640" w:lineRule="exact"/>
        <w:ind w:firstLine="640"/>
        <w:jc w:val="both"/>
        <w:outlineLvl w:val="2"/>
      </w:pPr>
      <w:r>
        <w:rPr>
          <w:rFonts w:ascii="黑体" w:hAnsi="黑体" w:eastAsia="黑体"/>
          <w:sz w:val="32"/>
        </w:rPr>
        <w:t>九、财政拨款“三公”经费支出决算情况说明</w:t>
      </w:r>
    </w:p>
    <w:p w14:paraId="0B28785B">
      <w:pPr>
        <w:spacing w:line="580" w:lineRule="exact"/>
        <w:ind w:firstLine="640"/>
        <w:jc w:val="both"/>
      </w:pPr>
      <w:r>
        <w:rPr>
          <w:rFonts w:ascii="仿宋_GB2312" w:hAnsi="仿宋_GB2312" w:eastAsia="仿宋_GB2312"/>
          <w:b/>
          <w:sz w:val="32"/>
        </w:rPr>
        <w:t>2024年度财政拨款“三公”经费支出0.70万元，</w:t>
      </w:r>
      <w:r>
        <w:rPr>
          <w:rFonts w:ascii="仿宋_GB2312" w:hAnsi="仿宋_GB2312" w:eastAsia="仿宋_GB2312"/>
          <w:b w:val="0"/>
          <w:sz w:val="32"/>
        </w:rPr>
        <w:t>比上年减少1.44万元，下降67.29%，主要原因是：严格落实中央八项规定精神，厉行节约，减少车辆使用频次，公务用车运行维护费减少。其中：因公出国（境）费支出0.00万元，占0.00%，比上年增加0.00万元，增长0.00%，主要原因是：2023年与2024年均未安排因公出国（境）费支出。公务用车购置及运行维护费支出0.70万元，占100.00%，比上年减少1.44万元，下降67.29%，主要原因是：严格落实中央八项规定精神，厉行节约，减少车辆使用频次，公务用车运行维护费减少。公务接待费支出0.00万元，占0.00%，比上年增加0.00万元，增长0.00%，主要原因是：2023年与2024年均未安排公务接待费支出。</w:t>
      </w:r>
    </w:p>
    <w:p w14:paraId="79D08347">
      <w:pPr>
        <w:spacing w:line="580" w:lineRule="exact"/>
        <w:ind w:firstLine="640"/>
        <w:jc w:val="both"/>
      </w:pPr>
      <w:r>
        <w:rPr>
          <w:rFonts w:ascii="仿宋_GB2312" w:hAnsi="仿宋_GB2312" w:eastAsia="仿宋_GB2312"/>
          <w:b/>
          <w:sz w:val="32"/>
        </w:rPr>
        <w:t>具体情况如下：</w:t>
      </w:r>
    </w:p>
    <w:p w14:paraId="1F69EE1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BE7CB9">
      <w:pPr>
        <w:spacing w:line="580" w:lineRule="exact"/>
        <w:ind w:firstLine="640"/>
        <w:jc w:val="both"/>
      </w:pPr>
      <w:r>
        <w:rPr>
          <w:rFonts w:ascii="仿宋_GB2312" w:hAnsi="仿宋_GB2312" w:eastAsia="仿宋_GB2312"/>
          <w:b w:val="0"/>
          <w:sz w:val="32"/>
        </w:rPr>
        <w:t>公务用车购置及运行维护费0.70万元，其中：公务用车购置费0.00万元，公务用车运行维护费0.70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0A48CD8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081428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0.70万元，决算数0.70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0.70万元，决算数0.70万元，预决算差异率0.00%，主要原因是：严格按照预算执行，预决算无差异。公务接待费全年预算数0.00万元，决算数0.00万元，预决算差异率0.00%，主要原因是：本单位无公务接待费。</w:t>
      </w:r>
    </w:p>
    <w:p w14:paraId="66E4AA88">
      <w:pPr>
        <w:spacing w:line="640" w:lineRule="exact"/>
        <w:ind w:firstLine="640"/>
        <w:jc w:val="both"/>
        <w:outlineLvl w:val="2"/>
      </w:pPr>
      <w:r>
        <w:rPr>
          <w:rFonts w:ascii="黑体" w:hAnsi="黑体" w:eastAsia="黑体"/>
          <w:sz w:val="32"/>
        </w:rPr>
        <w:t>十、其他重要事项的情况说明</w:t>
      </w:r>
    </w:p>
    <w:p w14:paraId="6CAD7BF5">
      <w:pPr>
        <w:spacing w:line="640" w:lineRule="exact"/>
        <w:ind w:firstLine="640"/>
        <w:jc w:val="both"/>
        <w:outlineLvl w:val="3"/>
      </w:pPr>
      <w:r>
        <w:rPr>
          <w:rFonts w:ascii="楷体_GB2312" w:hAnsi="楷体_GB2312" w:eastAsia="楷体_GB2312"/>
          <w:b/>
          <w:sz w:val="32"/>
        </w:rPr>
        <w:t>（一）机关运行经费及公用经费支出情况</w:t>
      </w:r>
    </w:p>
    <w:p w14:paraId="17010EC7">
      <w:pPr>
        <w:spacing w:line="580" w:lineRule="exact"/>
        <w:ind w:firstLine="640"/>
        <w:jc w:val="both"/>
      </w:pPr>
      <w:r>
        <w:rPr>
          <w:rFonts w:ascii="仿宋_GB2312" w:hAnsi="仿宋_GB2312" w:eastAsia="仿宋_GB2312"/>
          <w:b w:val="0"/>
          <w:sz w:val="32"/>
        </w:rPr>
        <w:t>2024年度霍城县良繁中心卫生院（事业单位）公用经费支出0.20万元，比上年减少0.20万元，下降50.00%，主要原因是：严控经费支出，厉行节约，减少经费支出。</w:t>
      </w:r>
    </w:p>
    <w:p w14:paraId="76D72447">
      <w:pPr>
        <w:spacing w:line="640" w:lineRule="exact"/>
        <w:ind w:firstLine="640"/>
        <w:jc w:val="both"/>
        <w:outlineLvl w:val="3"/>
      </w:pPr>
      <w:r>
        <w:rPr>
          <w:rFonts w:ascii="楷体_GB2312" w:hAnsi="楷体_GB2312" w:eastAsia="楷体_GB2312"/>
          <w:b/>
          <w:sz w:val="32"/>
        </w:rPr>
        <w:t>（二）政府采购情况</w:t>
      </w:r>
    </w:p>
    <w:p w14:paraId="34A727B4">
      <w:pPr>
        <w:spacing w:line="580" w:lineRule="exact"/>
        <w:ind w:firstLine="640"/>
        <w:jc w:val="both"/>
      </w:pPr>
      <w:r>
        <w:rPr>
          <w:rFonts w:ascii="仿宋_GB2312" w:hAnsi="仿宋_GB2312" w:eastAsia="仿宋_GB2312"/>
          <w:b w:val="0"/>
          <w:sz w:val="32"/>
        </w:rPr>
        <w:t>2024年度政府采购支出总额4.08万元，其中：政府采购货物支出3.85万元、政府采购工程支出0.00万元、政府采购服务支出0.22万元。</w:t>
      </w:r>
    </w:p>
    <w:p w14:paraId="0C6A3C15">
      <w:pPr>
        <w:spacing w:line="580" w:lineRule="exact"/>
        <w:ind w:firstLine="640"/>
        <w:jc w:val="both"/>
      </w:pPr>
      <w:r>
        <w:rPr>
          <w:rFonts w:ascii="仿宋_GB2312" w:hAnsi="仿宋_GB2312" w:eastAsia="仿宋_GB2312"/>
          <w:b w:val="0"/>
          <w:sz w:val="32"/>
        </w:rPr>
        <w:t>授予中小企业合同金额4.08万元，占政府采购支出总额的100.00%，其中：授予小微企业合同金额4.08万元，占政府采购支出总额的100.00%。</w:t>
      </w:r>
    </w:p>
    <w:p w14:paraId="0C16C19D">
      <w:pPr>
        <w:spacing w:line="640" w:lineRule="exact"/>
        <w:ind w:firstLine="640"/>
        <w:jc w:val="both"/>
        <w:outlineLvl w:val="3"/>
      </w:pPr>
      <w:r>
        <w:rPr>
          <w:rFonts w:ascii="楷体_GB2312" w:hAnsi="楷体_GB2312" w:eastAsia="楷体_GB2312"/>
          <w:b/>
          <w:sz w:val="32"/>
        </w:rPr>
        <w:t>（三）国有资产占用情况说明</w:t>
      </w:r>
    </w:p>
    <w:p w14:paraId="6B9CABD3">
      <w:pPr>
        <w:spacing w:line="580" w:lineRule="exact"/>
        <w:ind w:firstLine="640"/>
        <w:jc w:val="both"/>
      </w:pPr>
      <w:r>
        <w:rPr>
          <w:rFonts w:ascii="仿宋_GB2312" w:hAnsi="仿宋_GB2312" w:eastAsia="仿宋_GB2312"/>
          <w:b w:val="0"/>
          <w:sz w:val="32"/>
        </w:rPr>
        <w:t>截至2024年12月31日，房屋0.00平方米，价值0.00万元。车辆3辆，价值84.63万元，其中：副部（省）级及以上领导用车0辆、主要负责人用车0辆、机要通信用车0辆、应急保障用车0辆、执法执勤用车0辆、特种专业技术用车0辆、离退休干部服务用车0辆、其他用车3辆，其他用车主要是：本单位救护车及负压救护车，用于开展医疗业务。单价100万元（含）以上设备（不含车辆）0台（套）。</w:t>
      </w:r>
    </w:p>
    <w:p w14:paraId="538C2E59">
      <w:pPr>
        <w:spacing w:line="640" w:lineRule="exact"/>
        <w:ind w:firstLine="640"/>
        <w:jc w:val="both"/>
        <w:outlineLvl w:val="2"/>
      </w:pPr>
      <w:r>
        <w:rPr>
          <w:rFonts w:ascii="黑体" w:hAnsi="黑体" w:eastAsia="黑体"/>
          <w:sz w:val="32"/>
        </w:rPr>
        <w:t>十一、预算绩效的情况说明</w:t>
      </w:r>
    </w:p>
    <w:p w14:paraId="47E138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325.51万元，实际执行总额325.51万元；预算绩效评价项目1个，全年预算数52.37万元，全年执行数52.37万元。预算绩效管理取得的成效：本项目的综合评价基于对项目各方面绩效的深入分析与评估。从项目目标的达成情况来看，该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三是规范固定资产的报废、出售、捐赠等处置行为，明确处置审批程序，对处置收入和损失进行及时、准确的账务处理。四是制定详细的盘点方案，定期对固定资产进行全面盘点，核实资产的数量、状态等，对盘盈盘亏资产及时查明原因并进行处理。具体附整体支出绩效自评表，项目支出绩效自评表和评价报告。</w:t>
      </w:r>
    </w:p>
    <w:p w14:paraId="63917F8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32ABD22">
        <w:tblPrEx>
          <w:tblCellMar>
            <w:top w:w="0" w:type="dxa"/>
            <w:left w:w="108" w:type="dxa"/>
            <w:bottom w:w="0" w:type="dxa"/>
            <w:right w:w="108" w:type="dxa"/>
          </w:tblCellMar>
        </w:tblPrEx>
        <w:tc>
          <w:tcPr>
            <w:tcW w:w="8840" w:type="dxa"/>
            <w:gridSpan w:val="8"/>
            <w:vAlign w:val="center"/>
          </w:tcPr>
          <w:p w14:paraId="7F948E4A">
            <w:pPr>
              <w:jc w:val="center"/>
            </w:pPr>
            <w:r>
              <w:rPr>
                <w:rFonts w:ascii="宋体" w:hAnsi="宋体" w:eastAsia="宋体"/>
                <w:sz w:val="24"/>
              </w:rPr>
              <w:t>单位整体支出绩效自评表</w:t>
            </w:r>
          </w:p>
        </w:tc>
      </w:tr>
      <w:tr w14:paraId="3BBD230C">
        <w:tblPrEx>
          <w:tblCellMar>
            <w:top w:w="0" w:type="dxa"/>
            <w:left w:w="108" w:type="dxa"/>
            <w:bottom w:w="0" w:type="dxa"/>
            <w:right w:w="108" w:type="dxa"/>
          </w:tblCellMar>
        </w:tblPrEx>
        <w:tc>
          <w:tcPr>
            <w:tcW w:w="8840" w:type="dxa"/>
            <w:gridSpan w:val="8"/>
            <w:vAlign w:val="center"/>
          </w:tcPr>
          <w:p w14:paraId="728837E2">
            <w:pPr>
              <w:jc w:val="center"/>
            </w:pPr>
            <w:r>
              <w:rPr>
                <w:rFonts w:ascii="宋体" w:hAnsi="宋体" w:eastAsia="宋体"/>
                <w:sz w:val="24"/>
              </w:rPr>
              <w:t>（2024年度）</w:t>
            </w:r>
          </w:p>
        </w:tc>
      </w:tr>
      <w:tr w14:paraId="732D2C5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A525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2059A">
            <w:pPr>
              <w:jc w:val="center"/>
            </w:pPr>
            <w:r>
              <w:rPr>
                <w:rFonts w:ascii="宋体" w:hAnsi="宋体" w:eastAsia="宋体"/>
                <w:sz w:val="16"/>
              </w:rPr>
              <w:t>霍城县良繁中心卫生院</w:t>
            </w:r>
          </w:p>
        </w:tc>
      </w:tr>
      <w:tr w14:paraId="77F241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760D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A516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09C7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56FA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3951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9EAD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88A3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98896">
            <w:pPr>
              <w:jc w:val="center"/>
            </w:pPr>
            <w:r>
              <w:rPr>
                <w:rFonts w:ascii="宋体" w:hAnsi="宋体" w:eastAsia="宋体"/>
                <w:sz w:val="16"/>
              </w:rPr>
              <w:t>得分</w:t>
            </w:r>
          </w:p>
        </w:tc>
      </w:tr>
      <w:tr w14:paraId="7B4A54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4886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486C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69C11">
            <w:pPr>
              <w:jc w:val="center"/>
            </w:pPr>
            <w:r>
              <w:rPr>
                <w:rFonts w:ascii="宋体" w:hAnsi="宋体" w:eastAsia="宋体"/>
                <w:sz w:val="16"/>
              </w:rPr>
              <w:t>198.22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352E3">
            <w:pPr>
              <w:jc w:val="center"/>
            </w:pPr>
            <w:r>
              <w:rPr>
                <w:rFonts w:ascii="宋体" w:hAnsi="宋体" w:eastAsia="宋体"/>
                <w:sz w:val="16"/>
              </w:rPr>
              <w:t>325.51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46CC7">
            <w:pPr>
              <w:jc w:val="center"/>
            </w:pPr>
            <w:r>
              <w:rPr>
                <w:rFonts w:ascii="宋体" w:hAnsi="宋体" w:eastAsia="宋体"/>
                <w:sz w:val="16"/>
              </w:rPr>
              <w:t>325.51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975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369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7D889">
            <w:pPr>
              <w:jc w:val="center"/>
            </w:pPr>
            <w:r>
              <w:rPr>
                <w:rFonts w:ascii="宋体" w:hAnsi="宋体" w:eastAsia="宋体"/>
                <w:sz w:val="16"/>
              </w:rPr>
              <w:t>10</w:t>
            </w:r>
          </w:p>
        </w:tc>
      </w:tr>
      <w:tr w14:paraId="751B7B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F293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F10A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0424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D4B86">
            <w:pPr>
              <w:jc w:val="center"/>
            </w:pPr>
            <w:r>
              <w:rPr>
                <w:rFonts w:ascii="宋体" w:hAnsi="宋体" w:eastAsia="宋体"/>
                <w:sz w:val="16"/>
              </w:rPr>
              <w:t>80.45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914CF">
            <w:pPr>
              <w:jc w:val="center"/>
            </w:pPr>
            <w:r>
              <w:rPr>
                <w:rFonts w:ascii="宋体" w:hAnsi="宋体" w:eastAsia="宋体"/>
                <w:sz w:val="16"/>
              </w:rPr>
              <w:t>80.45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623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66F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FC60A">
            <w:pPr>
              <w:jc w:val="center"/>
            </w:pPr>
            <w:r>
              <w:rPr>
                <w:rFonts w:ascii="宋体" w:hAnsi="宋体" w:eastAsia="宋体"/>
                <w:sz w:val="16"/>
              </w:rPr>
              <w:t>-</w:t>
            </w:r>
          </w:p>
        </w:tc>
      </w:tr>
      <w:tr w14:paraId="019A5C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0F5F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1249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6272A">
            <w:pPr>
              <w:jc w:val="center"/>
            </w:pPr>
            <w:r>
              <w:rPr>
                <w:rFonts w:ascii="宋体" w:hAnsi="宋体" w:eastAsia="宋体"/>
                <w:sz w:val="16"/>
              </w:rPr>
              <w:t>168.22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51B1D">
            <w:pPr>
              <w:jc w:val="center"/>
            </w:pPr>
            <w:r>
              <w:rPr>
                <w:rFonts w:ascii="宋体" w:hAnsi="宋体" w:eastAsia="宋体"/>
                <w:sz w:val="16"/>
              </w:rPr>
              <w:t>192.69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2CCFE">
            <w:pPr>
              <w:jc w:val="center"/>
            </w:pPr>
            <w:r>
              <w:rPr>
                <w:rFonts w:ascii="宋体" w:hAnsi="宋体" w:eastAsia="宋体"/>
                <w:sz w:val="16"/>
              </w:rPr>
              <w:t>192.69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28B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1F4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EF327">
            <w:pPr>
              <w:jc w:val="center"/>
            </w:pPr>
            <w:r>
              <w:rPr>
                <w:rFonts w:ascii="宋体" w:hAnsi="宋体" w:eastAsia="宋体"/>
                <w:sz w:val="16"/>
              </w:rPr>
              <w:t>-</w:t>
            </w:r>
          </w:p>
        </w:tc>
      </w:tr>
      <w:tr w14:paraId="2FBF03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114B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1844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72148">
            <w:pPr>
              <w:jc w:val="center"/>
            </w:pPr>
            <w:r>
              <w:rPr>
                <w:rFonts w:ascii="宋体" w:hAnsi="宋体" w:eastAsia="宋体"/>
                <w:sz w:val="16"/>
              </w:rPr>
              <w:t>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D8B76">
            <w:pPr>
              <w:jc w:val="center"/>
            </w:pPr>
            <w:r>
              <w:rPr>
                <w:rFonts w:ascii="宋体" w:hAnsi="宋体" w:eastAsia="宋体"/>
                <w:sz w:val="16"/>
              </w:rPr>
              <w:t>52.37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4F7D4">
            <w:pPr>
              <w:jc w:val="center"/>
            </w:pPr>
            <w:r>
              <w:rPr>
                <w:rFonts w:ascii="宋体" w:hAnsi="宋体" w:eastAsia="宋体"/>
                <w:sz w:val="16"/>
              </w:rPr>
              <w:t>52.37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1F9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018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ED371">
            <w:pPr>
              <w:jc w:val="center"/>
            </w:pPr>
            <w:r>
              <w:rPr>
                <w:rFonts w:ascii="宋体" w:hAnsi="宋体" w:eastAsia="宋体"/>
                <w:sz w:val="16"/>
              </w:rPr>
              <w:t>-</w:t>
            </w:r>
          </w:p>
        </w:tc>
      </w:tr>
      <w:tr w14:paraId="5443D1C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019C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F2761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8C32BF">
            <w:pPr>
              <w:jc w:val="center"/>
            </w:pPr>
            <w:r>
              <w:rPr>
                <w:rFonts w:ascii="宋体" w:hAnsi="宋体" w:eastAsia="宋体"/>
                <w:sz w:val="16"/>
              </w:rPr>
              <w:t>实际完成情况</w:t>
            </w:r>
          </w:p>
        </w:tc>
      </w:tr>
      <w:tr w14:paraId="728D55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80A0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92AE21">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1、不断深化医药卫生体制改革，保障城乡居民基本医疗，满足群众的基本用药需求，实施基本药物制度，加强药品管理，规范基层医疗机构和医务人员用药规范。2、持续推动全民免费健康体检，加强慢性病预防、治疗和控制。3、实施健康行动，保障重点人群健康，家庭医生签约服务达到国家目标要求。4、以公共卫生服务为主，提供预防保健、基本医疗、康复、健康教育和JHSY技术服务等为主要内容的综合性卫生服务，保障慢性病人群健康，完成高血压、2型糖尿病患者基层规范管理服务；加强适龄儿童免疫规划疫苗接种，努力实现基本公共卫生服务均等化的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8F215A">
            <w:pPr>
              <w:jc w:val="both"/>
            </w:pPr>
            <w:r>
              <w:rPr>
                <w:rFonts w:ascii="宋体" w:hAnsi="宋体" w:eastAsia="宋体"/>
                <w:sz w:val="16"/>
              </w:rPr>
              <w:t>1.完成2024年度全民健康体检应检尽检人员2897人体检覆盖率高达104.14%；2.2024年度我辖区常住人口为3202人完成家庭签约服务率为76.28%；3.为适龄儿童免费接种乙肝疫苗、卡介苗、脊灰疫苗、百白破疫苗、麻疹疫苗、甲肝疫苗、流脑疫苗、麻腮风疫苗、白破二联等国家免疫规划疫苗，为做好此项工作，截至目前</w:t>
            </w:r>
            <w:r>
              <w:rPr>
                <w:rFonts w:hint="eastAsia" w:ascii="宋体" w:hAnsi="宋体"/>
                <w:sz w:val="16"/>
                <w:lang w:eastAsia="zh-CN"/>
              </w:rPr>
              <w:t>乙肝</w:t>
            </w:r>
            <w:r>
              <w:rPr>
                <w:rFonts w:ascii="宋体" w:hAnsi="宋体" w:eastAsia="宋体"/>
                <w:sz w:val="16"/>
              </w:rPr>
              <w:t>第一针100%、乙肝第二针99.2%、乙肝第三针98.42%、脊灰第一针98.43%、脊灰第二针98.41%、脊灰第三针99.19%、脊灰第四针99.02%、百白破第一针99.21%、百白破第二针98.41%、百白破第三针98.38%、百白破第四针98.33%、白破97.29%、麻腮风98.34%流脑第一针97.61%、流脑第二针100%、甲肝98.34%、A+C第一针95.87%、第二针97.14%；通过接种疫苗接种</w:t>
            </w:r>
            <w:r>
              <w:rPr>
                <w:rFonts w:hint="eastAsia" w:ascii="宋体" w:hAnsi="宋体"/>
                <w:sz w:val="16"/>
                <w:lang w:eastAsia="zh-CN"/>
              </w:rPr>
              <w:t>使</w:t>
            </w:r>
            <w:r>
              <w:rPr>
                <w:rFonts w:ascii="宋体" w:hAnsi="宋体" w:eastAsia="宋体"/>
                <w:sz w:val="16"/>
              </w:rPr>
              <w:t>个体产生自动或被动免疫力，保护个体和人群不受病原子的感染和发病，起到消除或消灭所针对的传染病的目的；4.主要是针对高血压病人、2型糖尿病病人等慢性病高危人群进行健康指导，对30岁以上人群实行门诊首诊测血压，对确诊高血压患者、糖尿病患者进行登记管理定期随访，并对他们进行体格检查及用药饮食运动心理等健康指导和干预；5.通过实施基本药物制度执行率指标在衡量制度成效方面发挥了重要作用。从药品可及性提升、药品费用负担减轻到医疗行为更加规范等多方面来看，随着执行率的提高，基本药物制度取得了显著成效，为保障群众健康、促进医疗卫生事业发展做出了积极贡献。然而，在实际执行过程中仍可能存在一些问题，如部分偏远地区药品配送困难、个别医疗机构基本药物使用比例有待进一步提高等，需要持续关注和改进，以推动基本药物制度更好地实施。</w:t>
            </w:r>
          </w:p>
        </w:tc>
      </w:tr>
      <w:tr w14:paraId="3B50343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F0D0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8A5E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1EC6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16CD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3B70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BBC6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6AEA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2DD20">
            <w:pPr>
              <w:jc w:val="center"/>
            </w:pPr>
            <w:r>
              <w:rPr>
                <w:rFonts w:ascii="宋体" w:hAnsi="宋体" w:eastAsia="宋体"/>
                <w:sz w:val="16"/>
              </w:rPr>
              <w:t>得分</w:t>
            </w:r>
          </w:p>
        </w:tc>
      </w:tr>
      <w:tr w14:paraId="475662E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1A85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0333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B8362">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16101">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4C251">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D291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5A1A5">
            <w:pPr>
              <w:jc w:val="center"/>
            </w:pPr>
            <w:r>
              <w:rPr>
                <w:rFonts w:ascii="宋体" w:hAnsi="宋体" w:eastAsia="宋体"/>
                <w:sz w:val="16"/>
              </w:rPr>
              <w:t>104.14%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95DA3">
            <w:pPr>
              <w:jc w:val="center"/>
            </w:pPr>
            <w:r>
              <w:rPr>
                <w:rFonts w:ascii="宋体" w:hAnsi="宋体" w:eastAsia="宋体"/>
                <w:sz w:val="16"/>
              </w:rPr>
              <w:t>18</w:t>
            </w:r>
          </w:p>
        </w:tc>
      </w:tr>
      <w:tr w14:paraId="7ED3DF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9E160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EB66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7A525">
            <w:pPr>
              <w:jc w:val="center"/>
            </w:pPr>
            <w:r>
              <w:rPr>
                <w:rFonts w:ascii="宋体" w:hAnsi="宋体" w:eastAsia="宋体"/>
                <w:sz w:val="16"/>
              </w:rPr>
              <w:t>家庭医生签约率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31BF9">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286DC">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DD33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21BE3">
            <w:pPr>
              <w:jc w:val="center"/>
            </w:pPr>
            <w:r>
              <w:rPr>
                <w:rFonts w:ascii="宋体" w:hAnsi="宋体" w:eastAsia="宋体"/>
                <w:sz w:val="16"/>
              </w:rPr>
              <w:t>76.28%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A0E6C">
            <w:pPr>
              <w:jc w:val="center"/>
            </w:pPr>
            <w:r>
              <w:rPr>
                <w:rFonts w:ascii="宋体" w:hAnsi="宋体" w:eastAsia="宋体"/>
                <w:sz w:val="16"/>
              </w:rPr>
              <w:t>18</w:t>
            </w:r>
          </w:p>
        </w:tc>
      </w:tr>
      <w:tr w14:paraId="00F725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7D90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C1A7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73DE8">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D0202">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18113">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F31A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F55BE">
            <w:pPr>
              <w:jc w:val="center"/>
            </w:pPr>
            <w:r>
              <w:rPr>
                <w:rFonts w:ascii="宋体" w:hAnsi="宋体" w:eastAsia="宋体"/>
                <w:sz w:val="16"/>
              </w:rPr>
              <w:t>98.91%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A9C08">
            <w:pPr>
              <w:jc w:val="center"/>
            </w:pPr>
            <w:r>
              <w:rPr>
                <w:rFonts w:ascii="宋体" w:hAnsi="宋体" w:eastAsia="宋体"/>
                <w:sz w:val="16"/>
              </w:rPr>
              <w:t>18</w:t>
            </w:r>
          </w:p>
        </w:tc>
      </w:tr>
      <w:tr w14:paraId="737B63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A255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583F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B04FE">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DE3C2">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96C01">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0C82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D6B68">
            <w:pPr>
              <w:jc w:val="center"/>
            </w:pPr>
            <w:r>
              <w:rPr>
                <w:rFonts w:ascii="宋体" w:hAnsi="宋体" w:eastAsia="宋体"/>
                <w:sz w:val="16"/>
              </w:rPr>
              <w:t>71.85%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D493E">
            <w:pPr>
              <w:jc w:val="center"/>
            </w:pPr>
            <w:r>
              <w:rPr>
                <w:rFonts w:ascii="宋体" w:hAnsi="宋体" w:eastAsia="宋体"/>
                <w:sz w:val="16"/>
              </w:rPr>
              <w:t>18</w:t>
            </w:r>
          </w:p>
        </w:tc>
      </w:tr>
      <w:tr w14:paraId="3F8E90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C79D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B69B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7ABB5">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9AE1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4A88F">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24DA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A54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E063C">
            <w:pPr>
              <w:jc w:val="center"/>
            </w:pPr>
            <w:r>
              <w:rPr>
                <w:rFonts w:ascii="宋体" w:hAnsi="宋体" w:eastAsia="宋体"/>
                <w:sz w:val="16"/>
              </w:rPr>
              <w:t>18</w:t>
            </w:r>
          </w:p>
        </w:tc>
      </w:tr>
    </w:tbl>
    <w:p w14:paraId="1472D3A6">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14"/>
        <w:gridCol w:w="936"/>
        <w:gridCol w:w="776"/>
        <w:gridCol w:w="622"/>
        <w:gridCol w:w="614"/>
        <w:gridCol w:w="606"/>
        <w:gridCol w:w="606"/>
        <w:gridCol w:w="608"/>
        <w:gridCol w:w="607"/>
        <w:gridCol w:w="631"/>
      </w:tblGrid>
      <w:tr w14:paraId="4795058D">
        <w:tblPrEx>
          <w:tblCellMar>
            <w:top w:w="0" w:type="dxa"/>
            <w:left w:w="108" w:type="dxa"/>
            <w:bottom w:w="0" w:type="dxa"/>
            <w:right w:w="108" w:type="dxa"/>
          </w:tblCellMar>
        </w:tblPrEx>
        <w:tc>
          <w:tcPr>
            <w:tcW w:w="8848" w:type="dxa"/>
            <w:gridSpan w:val="14"/>
            <w:vAlign w:val="center"/>
          </w:tcPr>
          <w:p w14:paraId="6AA30359">
            <w:pPr>
              <w:jc w:val="center"/>
            </w:pPr>
            <w:r>
              <w:rPr>
                <w:rFonts w:ascii="宋体" w:hAnsi="宋体" w:eastAsia="宋体"/>
                <w:sz w:val="24"/>
              </w:rPr>
              <w:t>项目支出绩效自评表</w:t>
            </w:r>
          </w:p>
        </w:tc>
      </w:tr>
      <w:tr w14:paraId="7E8C4F70">
        <w:tblPrEx>
          <w:tblCellMar>
            <w:top w:w="0" w:type="dxa"/>
            <w:left w:w="108" w:type="dxa"/>
            <w:bottom w:w="0" w:type="dxa"/>
            <w:right w:w="108" w:type="dxa"/>
          </w:tblCellMar>
        </w:tblPrEx>
        <w:tc>
          <w:tcPr>
            <w:tcW w:w="8848" w:type="dxa"/>
            <w:gridSpan w:val="14"/>
            <w:vAlign w:val="center"/>
          </w:tcPr>
          <w:p w14:paraId="261A406B">
            <w:pPr>
              <w:jc w:val="center"/>
            </w:pPr>
            <w:r>
              <w:rPr>
                <w:rFonts w:ascii="宋体" w:hAnsi="宋体" w:eastAsia="宋体"/>
                <w:sz w:val="24"/>
              </w:rPr>
              <w:t>(2024年度)</w:t>
            </w:r>
          </w:p>
        </w:tc>
      </w:tr>
      <w:tr w14:paraId="5B930A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64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9F3E22">
            <w:pPr>
              <w:jc w:val="center"/>
            </w:pPr>
            <w:r>
              <w:rPr>
                <w:rFonts w:ascii="宋体" w:hAnsi="宋体" w:eastAsia="宋体"/>
                <w:sz w:val="16"/>
              </w:rPr>
              <w:t>2024年事业收入（自有资金）</w:t>
            </w:r>
          </w:p>
        </w:tc>
      </w:tr>
      <w:tr w14:paraId="324E0D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30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6B3F6">
            <w:pPr>
              <w:jc w:val="center"/>
            </w:pPr>
            <w:r>
              <w:rPr>
                <w:rFonts w:ascii="宋体" w:hAnsi="宋体" w:eastAsia="宋体"/>
                <w:sz w:val="16"/>
              </w:rPr>
              <w:t>霍城县良繁中心卫生院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FD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E32135">
            <w:pPr>
              <w:jc w:val="center"/>
            </w:pPr>
            <w:r>
              <w:rPr>
                <w:rFonts w:ascii="宋体" w:hAnsi="宋体" w:eastAsia="宋体"/>
                <w:sz w:val="16"/>
              </w:rPr>
              <w:t>霍城县良繁中心卫生院</w:t>
            </w:r>
          </w:p>
        </w:tc>
      </w:tr>
      <w:tr w14:paraId="414B2D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4118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2A7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6EA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F54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485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BE3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D8F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AF87">
            <w:pPr>
              <w:jc w:val="center"/>
            </w:pPr>
            <w:r>
              <w:rPr>
                <w:rFonts w:ascii="宋体" w:hAnsi="宋体" w:eastAsia="宋体"/>
                <w:sz w:val="16"/>
              </w:rPr>
              <w:t>得分</w:t>
            </w:r>
          </w:p>
        </w:tc>
      </w:tr>
      <w:tr w14:paraId="11C02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ACD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182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6082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0DACB">
            <w:pPr>
              <w:jc w:val="center"/>
            </w:pPr>
            <w:r>
              <w:rPr>
                <w:rFonts w:ascii="宋体" w:hAnsi="宋体" w:eastAsia="宋体"/>
                <w:sz w:val="16"/>
              </w:rPr>
              <w:t>52.37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C1008">
            <w:pPr>
              <w:jc w:val="center"/>
            </w:pPr>
            <w:r>
              <w:rPr>
                <w:rFonts w:ascii="宋体" w:hAnsi="宋体" w:eastAsia="宋体"/>
                <w:sz w:val="16"/>
              </w:rPr>
              <w:t>52.37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A40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DEE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C7A1">
            <w:pPr>
              <w:jc w:val="center"/>
            </w:pPr>
            <w:r>
              <w:rPr>
                <w:rFonts w:ascii="宋体" w:hAnsi="宋体" w:eastAsia="宋体"/>
                <w:sz w:val="16"/>
              </w:rPr>
              <w:t>10.00</w:t>
            </w:r>
          </w:p>
        </w:tc>
      </w:tr>
      <w:tr w14:paraId="61561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D11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3DA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461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E8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F34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7AB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83A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B6D7">
            <w:pPr>
              <w:jc w:val="center"/>
            </w:pPr>
            <w:r>
              <w:rPr>
                <w:rFonts w:ascii="宋体" w:hAnsi="宋体" w:eastAsia="宋体"/>
                <w:sz w:val="16"/>
              </w:rPr>
              <w:t>—</w:t>
            </w:r>
          </w:p>
        </w:tc>
      </w:tr>
      <w:tr w14:paraId="7A9B1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EDC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0C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4C92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ABC0">
            <w:pPr>
              <w:jc w:val="center"/>
            </w:pPr>
            <w:r>
              <w:rPr>
                <w:rFonts w:ascii="宋体" w:hAnsi="宋体" w:eastAsia="宋体"/>
                <w:sz w:val="16"/>
              </w:rPr>
              <w:t>52.37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8D24">
            <w:pPr>
              <w:jc w:val="center"/>
            </w:pPr>
            <w:r>
              <w:rPr>
                <w:rFonts w:ascii="宋体" w:hAnsi="宋体" w:eastAsia="宋体"/>
                <w:sz w:val="16"/>
              </w:rPr>
              <w:t>52.37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E00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83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39CC">
            <w:pPr>
              <w:jc w:val="center"/>
            </w:pPr>
            <w:r>
              <w:rPr>
                <w:rFonts w:ascii="宋体" w:hAnsi="宋体" w:eastAsia="宋体"/>
                <w:sz w:val="16"/>
              </w:rPr>
              <w:t>—</w:t>
            </w:r>
          </w:p>
        </w:tc>
      </w:tr>
      <w:tr w14:paraId="79A7FD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358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D84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0D477">
            <w:pPr>
              <w:jc w:val="center"/>
            </w:pPr>
            <w:r>
              <w:rPr>
                <w:rFonts w:ascii="宋体" w:hAnsi="宋体" w:eastAsia="宋体"/>
                <w:sz w:val="16"/>
              </w:rPr>
              <w:t>实际完成情况</w:t>
            </w:r>
          </w:p>
        </w:tc>
      </w:tr>
      <w:tr w14:paraId="64499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56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E8A79">
            <w:pPr>
              <w:jc w:val="both"/>
            </w:pPr>
            <w:r>
              <w:rPr>
                <w:rFonts w:ascii="宋体" w:hAnsi="宋体" w:eastAsia="宋体"/>
                <w:sz w:val="16"/>
              </w:rPr>
              <w:t>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3F3533">
            <w:pPr>
              <w:jc w:val="both"/>
            </w:pPr>
            <w:bookmarkStart w:id="0" w:name="_GoBack"/>
            <w:r>
              <w:rPr>
                <w:rFonts w:hint="eastAsia" w:ascii="宋体" w:hAnsi="宋体"/>
                <w:sz w:val="16"/>
                <w:lang w:eastAsia="zh-CN"/>
              </w:rPr>
              <w:t>1.</w:t>
            </w:r>
            <w:bookmarkEnd w:id="0"/>
            <w:r>
              <w:rPr>
                <w:rFonts w:ascii="宋体" w:hAnsi="宋体" w:eastAsia="宋体"/>
                <w:sz w:val="16"/>
              </w:rPr>
              <w:t>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每月按照专用材料计划批次进行采购。</w:t>
            </w:r>
          </w:p>
        </w:tc>
      </w:tr>
      <w:tr w14:paraId="7CA3C0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5B0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53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D7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05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70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63E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609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DAA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16D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81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DD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D6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0E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4CEE">
            <w:pPr>
              <w:jc w:val="center"/>
            </w:pPr>
            <w:r>
              <w:rPr>
                <w:rFonts w:ascii="宋体" w:hAnsi="宋体" w:eastAsia="宋体"/>
                <w:sz w:val="16"/>
              </w:rPr>
              <w:t>偏差原因分析及改进措施</w:t>
            </w:r>
          </w:p>
        </w:tc>
      </w:tr>
      <w:tr w14:paraId="6909FA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300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3DD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0CD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46B4">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AA6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22BE">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7792">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7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98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C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25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2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8C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69B8">
            <w:pPr>
              <w:jc w:val="center"/>
            </w:pPr>
          </w:p>
        </w:tc>
      </w:tr>
      <w:tr w14:paraId="7F91C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BA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3E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E1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1412">
            <w:pPr>
              <w:jc w:val="center"/>
            </w:pPr>
            <w:r>
              <w:rPr>
                <w:rFonts w:ascii="宋体" w:hAnsi="宋体" w:eastAsia="宋体"/>
                <w:sz w:val="16"/>
              </w:rPr>
              <w:t>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2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6757">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EEB0">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6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6B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CB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65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2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69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A07A">
            <w:pPr>
              <w:jc w:val="center"/>
            </w:pPr>
          </w:p>
        </w:tc>
      </w:tr>
      <w:tr w14:paraId="42109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39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2B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9D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8215">
            <w:pPr>
              <w:jc w:val="center"/>
            </w:pPr>
            <w:r>
              <w:rPr>
                <w:rFonts w:ascii="宋体" w:hAnsi="宋体" w:eastAsia="宋体"/>
                <w:sz w:val="16"/>
              </w:rPr>
              <w:t>保障工资发放准确率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DB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E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0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4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1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5C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82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1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24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9313">
            <w:pPr>
              <w:jc w:val="center"/>
            </w:pPr>
          </w:p>
        </w:tc>
      </w:tr>
      <w:tr w14:paraId="37EAC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E2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30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29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9C29">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32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7B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C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6C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0C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03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70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C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46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4786">
            <w:pPr>
              <w:jc w:val="center"/>
            </w:pPr>
          </w:p>
        </w:tc>
      </w:tr>
      <w:tr w14:paraId="410EB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0D4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937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35A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939A">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46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075F">
            <w:pPr>
              <w:jc w:val="center"/>
            </w:pPr>
            <w:r>
              <w:rPr>
                <w:rFonts w:ascii="宋体" w:hAnsi="宋体" w:eastAsia="宋体"/>
                <w:sz w:val="16"/>
              </w:rPr>
              <w:t>&lt;=1598.14元/人/次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C460">
            <w:pPr>
              <w:jc w:val="center"/>
            </w:pPr>
            <w:r>
              <w:rPr>
                <w:rFonts w:ascii="宋体" w:hAnsi="宋体" w:eastAsia="宋体"/>
                <w:sz w:val="16"/>
              </w:rPr>
              <w:t>1598.14元/人/次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BC9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68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F9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22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C9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9B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4761">
            <w:pPr>
              <w:jc w:val="center"/>
            </w:pPr>
          </w:p>
        </w:tc>
      </w:tr>
      <w:tr w14:paraId="41F4D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58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8E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21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7477">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5C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704E">
            <w:pPr>
              <w:jc w:val="center"/>
            </w:pPr>
            <w:r>
              <w:rPr>
                <w:rFonts w:ascii="宋体" w:hAnsi="宋体" w:eastAsia="宋体"/>
                <w:sz w:val="16"/>
              </w:rPr>
              <w:t>&lt;=30.26万元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232B">
            <w:pPr>
              <w:jc w:val="center"/>
            </w:pPr>
            <w:r>
              <w:rPr>
                <w:rFonts w:ascii="宋体" w:hAnsi="宋体" w:eastAsia="宋体"/>
                <w:sz w:val="16"/>
              </w:rPr>
              <w:t>30.26万元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C0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E6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E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9F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3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F5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4466">
            <w:pPr>
              <w:jc w:val="center"/>
            </w:pPr>
          </w:p>
        </w:tc>
      </w:tr>
      <w:tr w14:paraId="6DE25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B6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BE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BC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7AE7">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16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8D6E">
            <w:pPr>
              <w:jc w:val="center"/>
            </w:pPr>
            <w:r>
              <w:rPr>
                <w:rFonts w:ascii="宋体" w:hAnsi="宋体" w:eastAsia="宋体"/>
                <w:sz w:val="16"/>
              </w:rPr>
              <w:t>&lt;=4.85万元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8AC5">
            <w:pPr>
              <w:jc w:val="center"/>
            </w:pPr>
            <w:r>
              <w:rPr>
                <w:rFonts w:ascii="宋体" w:hAnsi="宋体" w:eastAsia="宋体"/>
                <w:sz w:val="16"/>
              </w:rPr>
              <w: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2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13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85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97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99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FE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FED6">
            <w:pPr>
              <w:jc w:val="center"/>
            </w:pPr>
          </w:p>
        </w:tc>
      </w:tr>
      <w:tr w14:paraId="50D03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6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DF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42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FC7C">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942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CE6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359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4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9C8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67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14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7C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1A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0A77">
            <w:pPr>
              <w:jc w:val="center"/>
            </w:pPr>
          </w:p>
        </w:tc>
      </w:tr>
      <w:tr w14:paraId="06B97F3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697E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9D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9D7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183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2AD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811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3DF2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7A5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6418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5D32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828C53"/>
        </w:tc>
      </w:tr>
    </w:tbl>
    <w:p w14:paraId="6718D665">
      <w:r>
        <w:br w:type="page"/>
      </w:r>
    </w:p>
    <w:p w14:paraId="1C158726">
      <w:pPr>
        <w:spacing w:line="640" w:lineRule="exact"/>
        <w:ind w:firstLine="640"/>
        <w:jc w:val="both"/>
        <w:outlineLvl w:val="2"/>
      </w:pPr>
      <w:r>
        <w:rPr>
          <w:rFonts w:ascii="黑体" w:hAnsi="黑体" w:eastAsia="黑体"/>
          <w:sz w:val="32"/>
        </w:rPr>
        <w:t>十二、其他需说明的事项</w:t>
      </w:r>
    </w:p>
    <w:p w14:paraId="75296971">
      <w:pPr>
        <w:spacing w:line="580" w:lineRule="exact"/>
        <w:ind w:firstLine="640"/>
        <w:jc w:val="both"/>
      </w:pPr>
      <w:r>
        <w:rPr>
          <w:rFonts w:ascii="仿宋_GB2312" w:hAnsi="仿宋_GB2312" w:eastAsia="仿宋_GB2312"/>
          <w:b w:val="0"/>
          <w:sz w:val="32"/>
        </w:rPr>
        <w:t>本单位无其他需说明的事项。</w:t>
      </w:r>
    </w:p>
    <w:p w14:paraId="5660FB64">
      <w:r>
        <w:br w:type="page"/>
      </w:r>
    </w:p>
    <w:p w14:paraId="0B0CF6CC">
      <w:pPr>
        <w:spacing w:line="240" w:lineRule="auto"/>
        <w:jc w:val="center"/>
        <w:outlineLvl w:val="1"/>
      </w:pPr>
      <w:r>
        <w:rPr>
          <w:rFonts w:ascii="黑体" w:hAnsi="黑体" w:eastAsia="黑体"/>
          <w:sz w:val="32"/>
        </w:rPr>
        <w:t>第三部分 专业名词解释</w:t>
      </w:r>
    </w:p>
    <w:p w14:paraId="7AC563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A45F5A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E0EAC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9EC82B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A9DA1C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CFBCA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EBEEC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8F777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70DEC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315F4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816D7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A140F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56C34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E6E2A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B0A3A0">
      <w:r>
        <w:br w:type="page"/>
      </w:r>
    </w:p>
    <w:p w14:paraId="114B4BD1">
      <w:pPr>
        <w:spacing w:line="240" w:lineRule="auto"/>
        <w:jc w:val="center"/>
        <w:outlineLvl w:val="1"/>
      </w:pPr>
      <w:r>
        <w:rPr>
          <w:rFonts w:ascii="黑体" w:hAnsi="黑体" w:eastAsia="黑体"/>
          <w:sz w:val="32"/>
        </w:rPr>
        <w:t>第四部分 部门决算报表（见附表）</w:t>
      </w:r>
    </w:p>
    <w:p w14:paraId="48221ED9">
      <w:pPr>
        <w:spacing w:line="240" w:lineRule="auto"/>
        <w:ind w:firstLine="640"/>
        <w:jc w:val="both"/>
      </w:pPr>
      <w:r>
        <w:rPr>
          <w:rFonts w:ascii="仿宋_GB2312" w:hAnsi="仿宋_GB2312" w:eastAsia="仿宋_GB2312"/>
          <w:b w:val="0"/>
          <w:sz w:val="32"/>
        </w:rPr>
        <w:t>一、《收入支出决算总表》</w:t>
      </w:r>
    </w:p>
    <w:p w14:paraId="655E0484">
      <w:pPr>
        <w:spacing w:line="240" w:lineRule="auto"/>
        <w:ind w:firstLine="640"/>
        <w:jc w:val="both"/>
      </w:pPr>
      <w:r>
        <w:rPr>
          <w:rFonts w:ascii="仿宋_GB2312" w:hAnsi="仿宋_GB2312" w:eastAsia="仿宋_GB2312"/>
          <w:b w:val="0"/>
          <w:sz w:val="32"/>
        </w:rPr>
        <w:t>二、《收入决算表》</w:t>
      </w:r>
    </w:p>
    <w:p w14:paraId="5802E002">
      <w:pPr>
        <w:spacing w:line="240" w:lineRule="auto"/>
        <w:ind w:firstLine="640"/>
        <w:jc w:val="both"/>
      </w:pPr>
      <w:r>
        <w:rPr>
          <w:rFonts w:ascii="仿宋_GB2312" w:hAnsi="仿宋_GB2312" w:eastAsia="仿宋_GB2312"/>
          <w:b w:val="0"/>
          <w:sz w:val="32"/>
        </w:rPr>
        <w:t>三、《支出决算表》</w:t>
      </w:r>
    </w:p>
    <w:p w14:paraId="0A5E3C31">
      <w:pPr>
        <w:spacing w:line="240" w:lineRule="auto"/>
        <w:ind w:firstLine="640"/>
        <w:jc w:val="both"/>
      </w:pPr>
      <w:r>
        <w:rPr>
          <w:rFonts w:ascii="仿宋_GB2312" w:hAnsi="仿宋_GB2312" w:eastAsia="仿宋_GB2312"/>
          <w:b w:val="0"/>
          <w:sz w:val="32"/>
        </w:rPr>
        <w:t>四、《财政拨款收入支出决算总表》</w:t>
      </w:r>
    </w:p>
    <w:p w14:paraId="27D411E8">
      <w:pPr>
        <w:spacing w:line="240" w:lineRule="auto"/>
        <w:ind w:firstLine="640"/>
        <w:jc w:val="both"/>
      </w:pPr>
      <w:r>
        <w:rPr>
          <w:rFonts w:ascii="仿宋_GB2312" w:hAnsi="仿宋_GB2312" w:eastAsia="仿宋_GB2312"/>
          <w:b w:val="0"/>
          <w:sz w:val="32"/>
        </w:rPr>
        <w:t>五、《一般公共预算财政拨款支出决算表》</w:t>
      </w:r>
    </w:p>
    <w:p w14:paraId="126471CF">
      <w:pPr>
        <w:spacing w:line="240" w:lineRule="auto"/>
        <w:ind w:firstLine="640"/>
        <w:jc w:val="both"/>
      </w:pPr>
      <w:r>
        <w:rPr>
          <w:rFonts w:ascii="仿宋_GB2312" w:hAnsi="仿宋_GB2312" w:eastAsia="仿宋_GB2312"/>
          <w:b w:val="0"/>
          <w:sz w:val="32"/>
        </w:rPr>
        <w:t>六、《一般公共预算财政拨款基本支出决算表》</w:t>
      </w:r>
    </w:p>
    <w:p w14:paraId="6A3C6A5F">
      <w:pPr>
        <w:spacing w:line="240" w:lineRule="auto"/>
        <w:ind w:firstLine="640"/>
        <w:jc w:val="both"/>
      </w:pPr>
      <w:r>
        <w:rPr>
          <w:rFonts w:ascii="仿宋_GB2312" w:hAnsi="仿宋_GB2312" w:eastAsia="仿宋_GB2312"/>
          <w:b w:val="0"/>
          <w:sz w:val="32"/>
        </w:rPr>
        <w:t>七、《政府性基金预算财政拨款收入支出决算表》</w:t>
      </w:r>
    </w:p>
    <w:p w14:paraId="475D0B24">
      <w:pPr>
        <w:spacing w:line="240" w:lineRule="auto"/>
        <w:ind w:firstLine="640"/>
        <w:jc w:val="both"/>
      </w:pPr>
      <w:r>
        <w:rPr>
          <w:rFonts w:ascii="仿宋_GB2312" w:hAnsi="仿宋_GB2312" w:eastAsia="仿宋_GB2312"/>
          <w:b w:val="0"/>
          <w:sz w:val="32"/>
        </w:rPr>
        <w:t>八、《国有资本经营预算财政拨款收入支出决算表》</w:t>
      </w:r>
    </w:p>
    <w:p w14:paraId="3A41DDB1">
      <w:pPr>
        <w:spacing w:line="240" w:lineRule="auto"/>
        <w:ind w:firstLine="640"/>
        <w:jc w:val="both"/>
      </w:pPr>
      <w:r>
        <w:rPr>
          <w:rFonts w:ascii="仿宋_GB2312" w:hAnsi="仿宋_GB2312" w:eastAsia="仿宋_GB2312"/>
          <w:b w:val="0"/>
          <w:sz w:val="32"/>
        </w:rPr>
        <w:t>九、《财政拨款“三公”经费支出决算表》</w:t>
      </w:r>
    </w:p>
    <w:p w14:paraId="3AC94C79">
      <w:pPr>
        <w:spacing w:line="240" w:lineRule="auto"/>
        <w:ind w:firstLine="640"/>
        <w:jc w:val="both"/>
      </w:pPr>
    </w:p>
    <w:p w14:paraId="1DBA43DD">
      <w:pPr>
        <w:spacing w:line="240" w:lineRule="auto"/>
        <w:ind w:firstLine="640"/>
        <w:jc w:val="both"/>
      </w:pPr>
    </w:p>
    <w:p w14:paraId="1E1C2C3E">
      <w:pPr>
        <w:spacing w:line="240" w:lineRule="auto"/>
        <w:ind w:firstLine="640"/>
        <w:jc w:val="both"/>
      </w:pPr>
    </w:p>
    <w:p w14:paraId="5DFCE1D8">
      <w:pPr>
        <w:spacing w:line="240" w:lineRule="auto"/>
        <w:ind w:firstLine="640"/>
        <w:jc w:val="both"/>
      </w:pPr>
    </w:p>
    <w:p w14:paraId="6118BE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4B3731"/>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7477</Words>
  <Characters>8461</Characters>
  <Lines>0</Lines>
  <Paragraphs>0</Paragraphs>
  <TotalTime>0</TotalTime>
  <ScaleCrop>false</ScaleCrop>
  <LinksUpToDate>false</LinksUpToDate>
  <CharactersWithSpaces>8469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2025-09-25T03:05:45Z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