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霍城县职业技术学校2024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3D23D1D">
      <w:r>
        <w:br w:type="page"/>
      </w:r>
    </w:p>
    <w:p w14:paraId="783378AB">
      <w:pPr>
        <w:spacing w:line="640" w:lineRule="exact"/>
        <w:jc w:val="center"/>
        <w:outlineLvl w:val="1"/>
      </w:pPr>
      <w:r>
        <w:rPr>
          <w:rFonts w:ascii="黑体" w:hAnsi="黑体" w:eastAsia="黑体"/>
          <w:sz w:val="32"/>
        </w:rPr>
        <w:t>第一部分 单位概况</w:t>
      </w:r>
    </w:p>
    <w:p w14:paraId="19D1B762">
      <w:pPr>
        <w:spacing w:line="640" w:lineRule="exact"/>
        <w:ind w:firstLine="640"/>
        <w:jc w:val="both"/>
        <w:outlineLvl w:val="2"/>
      </w:pPr>
      <w:r>
        <w:rPr>
          <w:rFonts w:ascii="黑体" w:hAnsi="黑体" w:eastAsia="黑体"/>
          <w:sz w:val="32"/>
        </w:rPr>
        <w:t>一、主要职能</w:t>
      </w:r>
    </w:p>
    <w:p w14:paraId="1BB8FEEE">
      <w:pPr>
        <w:spacing w:line="580" w:lineRule="exact"/>
        <w:ind w:firstLine="640"/>
        <w:jc w:val="both"/>
      </w:pPr>
      <w:r>
        <w:rPr>
          <w:rFonts w:ascii="仿宋_GB2312" w:hAnsi="仿宋_GB2312" w:eastAsia="仿宋_GB2312"/>
          <w:sz w:val="32"/>
        </w:rPr>
        <w:t>霍城县职业技术学校是该县唯一的全日制公办职业学校，是集职业教育、技工教育、职业培训三位一体的综合性职业学校，学校拥有汽车修理、机电技术、钳工、电焊工、服装制作、计算机、音乐美术、形体舞蹈等各类实训中心。</w:t>
      </w:r>
    </w:p>
    <w:p w14:paraId="70945D50">
      <w:pPr>
        <w:spacing w:line="640" w:lineRule="exact"/>
        <w:ind w:firstLine="640"/>
        <w:jc w:val="both"/>
        <w:outlineLvl w:val="2"/>
      </w:pPr>
      <w:r>
        <w:rPr>
          <w:rFonts w:ascii="黑体" w:hAnsi="黑体" w:eastAsia="黑体"/>
          <w:sz w:val="32"/>
        </w:rPr>
        <w:t>二、机构设置及人员情况</w:t>
      </w:r>
    </w:p>
    <w:p w14:paraId="51C138F3">
      <w:pPr>
        <w:spacing w:line="580" w:lineRule="exact"/>
        <w:ind w:firstLine="640"/>
        <w:jc w:val="both"/>
      </w:pPr>
      <w:r>
        <w:rPr>
          <w:rFonts w:ascii="仿宋_GB2312" w:hAnsi="仿宋_GB2312" w:eastAsia="仿宋_GB2312"/>
          <w:sz w:val="32"/>
        </w:rPr>
        <w:t>霍城县职业技术学校2024年度，实有人数39人，其中：在职人员30人，增加2人；离休人员0人，增加0人；退休人员9人,增加3人。</w:t>
      </w:r>
    </w:p>
    <w:p w14:paraId="701D2ADF">
      <w:pPr>
        <w:spacing w:line="580" w:lineRule="exact"/>
        <w:ind w:firstLine="640"/>
        <w:jc w:val="both"/>
      </w:pPr>
      <w:r>
        <w:rPr>
          <w:rFonts w:ascii="仿宋_GB2312" w:hAnsi="仿宋_GB2312" w:eastAsia="仿宋_GB2312"/>
          <w:sz w:val="32"/>
        </w:rPr>
        <w:t>霍城县职业技术学校无下属预算单位，下设8个科室，分别是：行政办、党建办、工会、教务处、招就办、财务室、后勤办、团委。</w:t>
      </w:r>
    </w:p>
    <w:p w14:paraId="4BAB1979">
      <w:r>
        <w:br w:type="page"/>
      </w:r>
    </w:p>
    <w:p w14:paraId="34489431">
      <w:pPr>
        <w:spacing w:line="240" w:lineRule="auto"/>
        <w:jc w:val="center"/>
        <w:outlineLvl w:val="1"/>
      </w:pPr>
      <w:r>
        <w:rPr>
          <w:rFonts w:ascii="黑体" w:hAnsi="黑体" w:eastAsia="黑体"/>
          <w:sz w:val="32"/>
        </w:rPr>
        <w:t>第二部分 部门决算情况说明</w:t>
      </w:r>
    </w:p>
    <w:p w14:paraId="12F162DA">
      <w:pPr>
        <w:spacing w:line="640" w:lineRule="exact"/>
        <w:ind w:firstLine="640"/>
        <w:jc w:val="both"/>
        <w:outlineLvl w:val="2"/>
      </w:pPr>
      <w:r>
        <w:rPr>
          <w:rFonts w:ascii="黑体" w:hAnsi="黑体" w:eastAsia="黑体"/>
          <w:sz w:val="32"/>
        </w:rPr>
        <w:t>一、收入支出决算总体情况说明</w:t>
      </w:r>
    </w:p>
    <w:p w14:paraId="483677DE">
      <w:pPr>
        <w:spacing w:line="580" w:lineRule="exact"/>
        <w:ind w:firstLine="640"/>
        <w:jc w:val="both"/>
      </w:pPr>
      <w:r>
        <w:rPr>
          <w:rFonts w:ascii="仿宋_GB2312" w:hAnsi="仿宋_GB2312" w:eastAsia="仿宋_GB2312"/>
          <w:b/>
          <w:sz w:val="32"/>
        </w:rPr>
        <w:t>2024年度收入总计1,004.18万元，</w:t>
      </w:r>
      <w:r>
        <w:rPr>
          <w:rFonts w:ascii="仿宋_GB2312" w:hAnsi="仿宋_GB2312" w:eastAsia="仿宋_GB2312"/>
          <w:b w:val="0"/>
          <w:sz w:val="32"/>
        </w:rPr>
        <w:t>其中：本年收入合计1,004.18万元，使用非财政拨款结余（含专用结余）0.00万元，年初结转和结余0.00万元。</w:t>
      </w:r>
    </w:p>
    <w:p w14:paraId="5F79F1A4">
      <w:pPr>
        <w:spacing w:line="580" w:lineRule="exact"/>
        <w:ind w:firstLine="640"/>
        <w:jc w:val="both"/>
      </w:pPr>
      <w:r>
        <w:rPr>
          <w:rFonts w:ascii="仿宋_GB2312" w:hAnsi="仿宋_GB2312" w:eastAsia="仿宋_GB2312"/>
          <w:b/>
          <w:sz w:val="32"/>
        </w:rPr>
        <w:t>2024年度支出总计1,004.18万元，</w:t>
      </w:r>
      <w:r>
        <w:rPr>
          <w:rFonts w:ascii="仿宋_GB2312" w:hAnsi="仿宋_GB2312" w:eastAsia="仿宋_GB2312"/>
          <w:b w:val="0"/>
          <w:sz w:val="32"/>
        </w:rPr>
        <w:t>其中：本年支出合计1,004.18万元，结余分配0.00万元，年末结转和结余0.00万元。</w:t>
      </w:r>
    </w:p>
    <w:p w14:paraId="23444258">
      <w:pPr>
        <w:spacing w:line="580" w:lineRule="exact"/>
        <w:ind w:firstLine="640"/>
        <w:jc w:val="both"/>
      </w:pPr>
      <w:r>
        <w:rPr>
          <w:rFonts w:ascii="仿宋_GB2312" w:hAnsi="仿宋_GB2312" w:eastAsia="仿宋_GB2312"/>
          <w:b w:val="0"/>
          <w:sz w:val="32"/>
        </w:rPr>
        <w:t>收入支出总体与上年相比，减少262.91万元，下降20.75%，主要原因是：本年度减少现代教育质量提升项目拨款，导致收入支出总体下降。</w:t>
      </w:r>
    </w:p>
    <w:p w14:paraId="6955F92B">
      <w:pPr>
        <w:spacing w:line="640" w:lineRule="exact"/>
        <w:ind w:firstLine="640"/>
        <w:jc w:val="both"/>
        <w:outlineLvl w:val="2"/>
      </w:pPr>
      <w:r>
        <w:rPr>
          <w:rFonts w:ascii="黑体" w:hAnsi="黑体" w:eastAsia="黑体"/>
          <w:sz w:val="32"/>
        </w:rPr>
        <w:t>二、收入决算情况说明</w:t>
      </w:r>
    </w:p>
    <w:p w14:paraId="0E0BD4A8">
      <w:pPr>
        <w:spacing w:line="580" w:lineRule="exact"/>
        <w:ind w:firstLine="640"/>
        <w:jc w:val="both"/>
      </w:pPr>
      <w:r>
        <w:rPr>
          <w:rFonts w:ascii="仿宋_GB2312" w:hAnsi="仿宋_GB2312" w:eastAsia="仿宋_GB2312"/>
          <w:b/>
          <w:sz w:val="32"/>
        </w:rPr>
        <w:t>本年收入1,004.18万元，</w:t>
      </w:r>
      <w:r>
        <w:rPr>
          <w:rFonts w:ascii="仿宋_GB2312" w:hAnsi="仿宋_GB2312" w:eastAsia="仿宋_GB2312"/>
          <w:b w:val="0"/>
          <w:sz w:val="32"/>
        </w:rPr>
        <w:t>其中：财政拨款收入1,004.18万元，占100.00%；上级补助收入0.00万元，占0.00%；事业收入0.00万元，占0.00%；经营收入0.00万元，占0.00%；附属单位上缴收入0.00万元，占0.00%；其他收入0.00万元，占0.00%。</w:t>
      </w:r>
    </w:p>
    <w:p w14:paraId="4B961354">
      <w:pPr>
        <w:spacing w:line="640" w:lineRule="exact"/>
        <w:ind w:firstLine="640"/>
        <w:jc w:val="both"/>
        <w:outlineLvl w:val="2"/>
      </w:pPr>
      <w:r>
        <w:rPr>
          <w:rFonts w:ascii="黑体" w:hAnsi="黑体" w:eastAsia="黑体"/>
          <w:sz w:val="32"/>
        </w:rPr>
        <w:t>三、支出决算情况说明</w:t>
      </w:r>
    </w:p>
    <w:p w14:paraId="41399A21">
      <w:pPr>
        <w:spacing w:line="580" w:lineRule="exact"/>
        <w:ind w:firstLine="640"/>
        <w:jc w:val="both"/>
      </w:pPr>
      <w:r>
        <w:rPr>
          <w:rFonts w:ascii="仿宋_GB2312" w:hAnsi="仿宋_GB2312" w:eastAsia="仿宋_GB2312"/>
          <w:b/>
          <w:sz w:val="32"/>
        </w:rPr>
        <w:t>本年支出1,004.18万元，</w:t>
      </w:r>
      <w:r>
        <w:rPr>
          <w:rFonts w:ascii="仿宋_GB2312" w:hAnsi="仿宋_GB2312" w:eastAsia="仿宋_GB2312"/>
          <w:b w:val="0"/>
          <w:sz w:val="32"/>
        </w:rPr>
        <w:t>其中：基本支出1,004.18万元，占100.00%；项目支出0.00万元，占0.00%；上缴上级支出0.00万元，占0.00%；经营支出0.00万元，占0.00%；对附属单位补助支出0.00万元，占0.00%。</w:t>
      </w:r>
    </w:p>
    <w:p w14:paraId="739FD90A">
      <w:pPr>
        <w:spacing w:line="640" w:lineRule="exact"/>
        <w:ind w:firstLine="640"/>
        <w:jc w:val="both"/>
        <w:outlineLvl w:val="2"/>
      </w:pPr>
      <w:r>
        <w:rPr>
          <w:rFonts w:ascii="黑体" w:hAnsi="黑体" w:eastAsia="黑体"/>
          <w:sz w:val="32"/>
        </w:rPr>
        <w:t>四、财政拨款收入支出决算总体情况说明</w:t>
      </w:r>
    </w:p>
    <w:p w14:paraId="19A75D5C">
      <w:pPr>
        <w:spacing w:line="580" w:lineRule="exact"/>
        <w:ind w:firstLine="640"/>
        <w:jc w:val="both"/>
      </w:pPr>
      <w:r>
        <w:rPr>
          <w:rFonts w:ascii="仿宋_GB2312" w:hAnsi="仿宋_GB2312" w:eastAsia="仿宋_GB2312"/>
          <w:b/>
          <w:sz w:val="32"/>
        </w:rPr>
        <w:t>2024年度财政拨款收入总计1,004.18万元，</w:t>
      </w:r>
      <w:r>
        <w:rPr>
          <w:rFonts w:ascii="仿宋_GB2312" w:hAnsi="仿宋_GB2312" w:eastAsia="仿宋_GB2312"/>
          <w:b w:val="0"/>
          <w:sz w:val="32"/>
        </w:rPr>
        <w:t>其中：年初财政拨款结转和结余0.00万元，本年财政拨款收入1,004.18万元。</w:t>
      </w:r>
      <w:r>
        <w:rPr>
          <w:rFonts w:ascii="仿宋_GB2312" w:hAnsi="仿宋_GB2312" w:eastAsia="仿宋_GB2312"/>
          <w:b/>
          <w:sz w:val="32"/>
        </w:rPr>
        <w:t>财政拨款支出总计1,004.18万元，</w:t>
      </w:r>
      <w:r>
        <w:rPr>
          <w:rFonts w:ascii="仿宋_GB2312" w:hAnsi="仿宋_GB2312" w:eastAsia="仿宋_GB2312"/>
          <w:b w:val="0"/>
          <w:sz w:val="32"/>
        </w:rPr>
        <w:t>其中：年末财政拨款结转和结余0.00万元，本年财政拨款支出1,004.18万元。</w:t>
      </w:r>
    </w:p>
    <w:p w14:paraId="5D3AF5B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减少250.33万元，下降19.95%，主要原因是：本年度减少现代教育质量提升项目拨款，导致</w:t>
      </w:r>
      <w:r>
        <w:rPr>
          <w:rFonts w:hint="eastAsia" w:ascii="仿宋_GB2312" w:hAnsi="仿宋_GB2312" w:eastAsia="仿宋_GB2312"/>
          <w:b w:val="0"/>
          <w:sz w:val="32"/>
          <w:lang w:val="en-US" w:eastAsia="zh-CN"/>
        </w:rPr>
        <w:t>经费减少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年初预算数760.31万元，决算数1,004.18万元，预决算差异率32.08%，主要原因是：在职人员增加，年中追加人员经费及人员工资、社保、公积金基数调增部分资金，导致预决算存在差异。</w:t>
      </w:r>
    </w:p>
    <w:p w14:paraId="41D72E17">
      <w:pPr>
        <w:spacing w:line="640" w:lineRule="exact"/>
        <w:ind w:firstLine="640"/>
        <w:jc w:val="both"/>
        <w:outlineLvl w:val="2"/>
      </w:pPr>
      <w:r>
        <w:rPr>
          <w:rFonts w:ascii="黑体" w:hAnsi="黑体" w:eastAsia="黑体"/>
          <w:sz w:val="32"/>
        </w:rPr>
        <w:t>五、一般公共预算财政拨款支出决算情况说明</w:t>
      </w:r>
    </w:p>
    <w:p w14:paraId="0E752E41">
      <w:pPr>
        <w:spacing w:line="640" w:lineRule="exact"/>
        <w:ind w:firstLine="640"/>
        <w:jc w:val="both"/>
        <w:outlineLvl w:val="3"/>
      </w:pPr>
      <w:r>
        <w:rPr>
          <w:rFonts w:ascii="楷体_GB2312" w:hAnsi="楷体_GB2312" w:eastAsia="楷体_GB2312"/>
          <w:b/>
          <w:sz w:val="32"/>
        </w:rPr>
        <w:t>（一）一般公共预算财政拨款支出决算总体情况</w:t>
      </w:r>
    </w:p>
    <w:p w14:paraId="5B9F7CD9">
      <w:pPr>
        <w:spacing w:line="580" w:lineRule="exact"/>
        <w:ind w:firstLine="640"/>
        <w:jc w:val="both"/>
      </w:pPr>
      <w:r>
        <w:rPr>
          <w:rFonts w:ascii="仿宋_GB2312" w:hAnsi="仿宋_GB2312" w:eastAsia="仿宋_GB2312"/>
          <w:b/>
          <w:sz w:val="32"/>
        </w:rPr>
        <w:t>2024年度一般公共预算财政拨款支出1,004.18万元，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减少250.33万元，下降19.95%，主要原因是：本年度减少现代教育质量提升项目拨款，导致</w:t>
      </w:r>
      <w:r>
        <w:rPr>
          <w:rFonts w:hint="eastAsia" w:ascii="仿宋_GB2312" w:hAnsi="仿宋_GB2312" w:eastAsia="仿宋_GB2312"/>
          <w:b w:val="0"/>
          <w:sz w:val="32"/>
          <w:lang w:val="en-US" w:eastAsia="zh-CN"/>
        </w:rPr>
        <w:t>经费减少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年初预算数760.31万元，决算数1,004.18万元，预决算差异率32.08%，主要原因是：本年在职人员增加，年中追加人员经费及人员工资、社保、公积金基数调增部分资金，导致预决算存在差异。</w:t>
      </w:r>
    </w:p>
    <w:p w14:paraId="61D51583">
      <w:pPr>
        <w:spacing w:line="640" w:lineRule="exact"/>
        <w:ind w:firstLine="640"/>
        <w:jc w:val="both"/>
        <w:outlineLvl w:val="3"/>
      </w:pPr>
      <w:r>
        <w:rPr>
          <w:rFonts w:ascii="楷体_GB2312" w:hAnsi="楷体_GB2312" w:eastAsia="楷体_GB2312"/>
          <w:b/>
          <w:sz w:val="32"/>
        </w:rPr>
        <w:t>（二）一般公共预算财政拨款支出决算结构情况</w:t>
      </w:r>
    </w:p>
    <w:p w14:paraId="44373C2B">
      <w:pPr>
        <w:spacing w:line="580" w:lineRule="exact"/>
        <w:ind w:firstLine="640"/>
        <w:jc w:val="both"/>
      </w:pPr>
      <w:r>
        <w:rPr>
          <w:rFonts w:ascii="仿宋_GB2312" w:hAnsi="仿宋_GB2312" w:eastAsia="仿宋_GB2312"/>
          <w:b w:val="0"/>
          <w:sz w:val="32"/>
        </w:rPr>
        <w:t>1.教育支出(类)878.06万元,占87.44%。</w:t>
      </w:r>
    </w:p>
    <w:p w14:paraId="72F0A0CE">
      <w:pPr>
        <w:spacing w:line="580" w:lineRule="exact"/>
        <w:ind w:firstLine="640"/>
        <w:jc w:val="both"/>
      </w:pPr>
      <w:r>
        <w:rPr>
          <w:rFonts w:ascii="仿宋_GB2312" w:hAnsi="仿宋_GB2312" w:eastAsia="仿宋_GB2312"/>
          <w:b w:val="0"/>
          <w:sz w:val="32"/>
        </w:rPr>
        <w:t>2.科学技术支出(类)6.00万元,占0.60%。</w:t>
      </w:r>
    </w:p>
    <w:p w14:paraId="57FDB914">
      <w:pPr>
        <w:spacing w:line="580" w:lineRule="exact"/>
        <w:ind w:firstLine="640"/>
        <w:jc w:val="both"/>
      </w:pPr>
      <w:r>
        <w:rPr>
          <w:rFonts w:ascii="仿宋_GB2312" w:hAnsi="仿宋_GB2312" w:eastAsia="仿宋_GB2312"/>
          <w:b w:val="0"/>
          <w:sz w:val="32"/>
        </w:rPr>
        <w:t>3.社会保障和就业支出(类)94.69万元,占9.43%。</w:t>
      </w:r>
    </w:p>
    <w:p w14:paraId="63438643">
      <w:pPr>
        <w:spacing w:line="580" w:lineRule="exact"/>
        <w:ind w:firstLine="640"/>
        <w:jc w:val="both"/>
      </w:pPr>
      <w:r>
        <w:rPr>
          <w:rFonts w:ascii="仿宋_GB2312" w:hAnsi="仿宋_GB2312" w:eastAsia="仿宋_GB2312"/>
          <w:b w:val="0"/>
          <w:sz w:val="32"/>
        </w:rPr>
        <w:t>4.卫生健康支出(类)25.42万元,占2.53%。</w:t>
      </w:r>
    </w:p>
    <w:p w14:paraId="19748518">
      <w:pPr>
        <w:spacing w:line="640" w:lineRule="exact"/>
        <w:ind w:firstLine="640"/>
        <w:jc w:val="both"/>
        <w:outlineLvl w:val="3"/>
      </w:pPr>
      <w:r>
        <w:rPr>
          <w:rFonts w:ascii="楷体_GB2312" w:hAnsi="楷体_GB2312" w:eastAsia="楷体_GB2312"/>
          <w:b/>
          <w:sz w:val="32"/>
        </w:rPr>
        <w:t>（三）一般公共预算财政拨款支出决算具体情况</w:t>
      </w:r>
    </w:p>
    <w:p w14:paraId="168EEE53">
      <w:pPr>
        <w:spacing w:line="580" w:lineRule="exact"/>
        <w:ind w:firstLine="640"/>
        <w:jc w:val="both"/>
      </w:pPr>
      <w:r>
        <w:rPr>
          <w:rFonts w:ascii="仿宋_GB2312" w:hAnsi="仿宋_GB2312" w:eastAsia="仿宋_GB2312"/>
          <w:b w:val="0"/>
          <w:sz w:val="32"/>
        </w:rPr>
        <w:t>1.教育支出(类)普通教育(款)其他普通教育支出(项):支出决算数为115.51万元，比上年决算减少14.37万元，下降11.06%,主要原因是：本年度临聘教师人员减少，人员经费减少。</w:t>
      </w:r>
    </w:p>
    <w:p w14:paraId="1F8F4E64">
      <w:pPr>
        <w:spacing w:line="580" w:lineRule="exact"/>
        <w:ind w:firstLine="640"/>
        <w:jc w:val="both"/>
      </w:pPr>
      <w:r>
        <w:rPr>
          <w:rFonts w:ascii="仿宋_GB2312" w:hAnsi="仿宋_GB2312" w:eastAsia="仿宋_GB2312"/>
          <w:b w:val="0"/>
          <w:sz w:val="32"/>
        </w:rPr>
        <w:t>2.教育支出(类)职业教育(款)中等职业教育(项):支出决算数为601.31万元，比上年决算增加137.19万元，增长29.56%,主要原因是：本年度补发2023年教师绩效，工资调增，人员经费增加；学生数增加，公用经费增加</w:t>
      </w:r>
      <w:r>
        <w:rPr>
          <w:rFonts w:hint="eastAsia" w:ascii="仿宋_GB2312" w:hAnsi="仿宋_GB2312" w:eastAsia="仿宋_GB2312"/>
          <w:b w:val="0"/>
          <w:sz w:val="32"/>
          <w:lang w:eastAsia="zh-CN"/>
        </w:rPr>
        <w:t>；</w:t>
      </w:r>
      <w:r>
        <w:rPr>
          <w:rFonts w:ascii="仿宋_GB2312" w:hAnsi="仿宋_GB2312" w:eastAsia="仿宋_GB2312"/>
          <w:b w:val="0"/>
          <w:sz w:val="32"/>
        </w:rPr>
        <w:t>本年功能科目调整，住房公积金上年度单独列支，本年调整至中等职业教育科目列支，导致经费较上年</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4011B21E">
      <w:pPr>
        <w:spacing w:line="580" w:lineRule="exact"/>
        <w:ind w:firstLine="640"/>
        <w:jc w:val="both"/>
      </w:pPr>
      <w:r>
        <w:rPr>
          <w:rFonts w:ascii="仿宋_GB2312" w:hAnsi="仿宋_GB2312" w:eastAsia="仿宋_GB2312"/>
          <w:b w:val="0"/>
          <w:sz w:val="32"/>
        </w:rPr>
        <w:t>3.教育支出(类)职业教育(款)技校教育(项):支出决算数为137.65万元，比上年决算增加19.37万元，增长16.38%,主要原因是：技工学制教育学生数增加，补助资金较上年增加。</w:t>
      </w:r>
    </w:p>
    <w:p w14:paraId="78D3F5C4">
      <w:pPr>
        <w:spacing w:line="580" w:lineRule="exact"/>
        <w:ind w:firstLine="640"/>
        <w:jc w:val="both"/>
      </w:pPr>
      <w:r>
        <w:rPr>
          <w:rFonts w:ascii="仿宋_GB2312" w:hAnsi="仿宋_GB2312" w:eastAsia="仿宋_GB2312"/>
          <w:b w:val="0"/>
          <w:sz w:val="32"/>
        </w:rPr>
        <w:t>4.教育支出(类)职业教育(款)其他职业教育支出(项):支出决算数为0.00万元，比上年决算减少308.11万元，下降100.00%,主要原因是：本年度减少“三免一补”资金。</w:t>
      </w:r>
    </w:p>
    <w:p w14:paraId="01487696">
      <w:pPr>
        <w:spacing w:line="580" w:lineRule="exact"/>
        <w:ind w:firstLine="640"/>
        <w:jc w:val="both"/>
      </w:pPr>
      <w:r>
        <w:rPr>
          <w:rFonts w:ascii="仿宋_GB2312" w:hAnsi="仿宋_GB2312" w:eastAsia="仿宋_GB2312"/>
          <w:b w:val="0"/>
          <w:sz w:val="32"/>
        </w:rPr>
        <w:t>5.教育支出(类)教育费附加安排的支出(款)中等职业学校教学设施(项):支出决算数为13.59万元，比上年决算减少31.41万元，下降69.80%,主要原因是：本年度减少专用设备购置经费。</w:t>
      </w:r>
    </w:p>
    <w:p w14:paraId="29DFD9BD">
      <w:pPr>
        <w:spacing w:line="580" w:lineRule="exact"/>
        <w:ind w:firstLine="640"/>
        <w:jc w:val="both"/>
      </w:pPr>
      <w:r>
        <w:rPr>
          <w:rFonts w:ascii="仿宋_GB2312" w:hAnsi="仿宋_GB2312" w:eastAsia="仿宋_GB2312"/>
          <w:b w:val="0"/>
          <w:sz w:val="32"/>
        </w:rPr>
        <w:t>6.教育支出(类)教育费附加安排的支出(款)其他教育费附加安排的支出(项):支出决算数为10.00万元，比上年决算增加0.00万元，增长0.00%,主要原因是：本年度计算机设备款与上年一致，无变化。</w:t>
      </w:r>
    </w:p>
    <w:p w14:paraId="07D6F2E2">
      <w:pPr>
        <w:spacing w:line="580" w:lineRule="exact"/>
        <w:ind w:firstLine="640"/>
        <w:jc w:val="both"/>
      </w:pPr>
      <w:r>
        <w:rPr>
          <w:rFonts w:ascii="仿宋_GB2312" w:hAnsi="仿宋_GB2312" w:eastAsia="仿宋_GB2312"/>
          <w:b w:val="0"/>
          <w:sz w:val="32"/>
        </w:rPr>
        <w:t>7.教育支出(类)其他教育支出(款)其他教育支出(项):支出决算数为0.00万元，比上年决算减少43.41万元，下降100.00%,主要原因是：本年度功能科目调整，</w:t>
      </w:r>
      <w:r>
        <w:rPr>
          <w:rFonts w:hint="eastAsia" w:ascii="仿宋_GB2312" w:hAnsi="仿宋_GB2312" w:eastAsia="仿宋_GB2312"/>
          <w:b w:val="0"/>
          <w:sz w:val="32"/>
          <w:lang w:val="en-US" w:eastAsia="zh-CN"/>
        </w:rPr>
        <w:t>印刷费、取暖费、邮电费等</w:t>
      </w:r>
      <w:r>
        <w:rPr>
          <w:rFonts w:ascii="仿宋_GB2312" w:hAnsi="仿宋_GB2312" w:eastAsia="仿宋_GB2312"/>
          <w:b w:val="0"/>
          <w:sz w:val="32"/>
        </w:rPr>
        <w:t>公用经费合并至主科目列支，导致支出较上年减少。</w:t>
      </w:r>
    </w:p>
    <w:p w14:paraId="42804103">
      <w:pPr>
        <w:spacing w:line="580" w:lineRule="exact"/>
        <w:ind w:firstLine="640"/>
        <w:jc w:val="both"/>
      </w:pPr>
      <w:r>
        <w:rPr>
          <w:rFonts w:ascii="仿宋_GB2312" w:hAnsi="仿宋_GB2312" w:eastAsia="仿宋_GB2312"/>
          <w:b w:val="0"/>
          <w:sz w:val="32"/>
        </w:rPr>
        <w:t>8.科学技术支出(类)基础研究(款)科技人才队伍建设(项):支出决算数为6.00万元，比上年决算增加6.00万元，增长100.00%,主要原因是：本年度新增人才培养计划项目。</w:t>
      </w:r>
    </w:p>
    <w:p w14:paraId="2E3690EC">
      <w:pPr>
        <w:spacing w:line="580" w:lineRule="exact"/>
        <w:ind w:firstLine="640"/>
        <w:jc w:val="both"/>
      </w:pPr>
      <w:r>
        <w:rPr>
          <w:rFonts w:ascii="仿宋_GB2312" w:hAnsi="仿宋_GB2312" w:eastAsia="仿宋_GB2312"/>
          <w:b w:val="0"/>
          <w:sz w:val="32"/>
        </w:rPr>
        <w:t>9.社会保障和就业支出(类)行政事业单位养老支出(款)事业单位离退休(项):支出决算数为7.56万元，比上年决算增加5.74万元，增长315.38%,主要原因是：本年退休人员增加，退休费支出增加。</w:t>
      </w:r>
    </w:p>
    <w:p w14:paraId="181497EF">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50.85万元，比上年决算增加1.11万元，增长2.23%,主要原因是：本年在职人员增加，养老保险缴费较上年增加。</w:t>
      </w:r>
    </w:p>
    <w:p w14:paraId="3A3B8115">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11.社会保障和就业支出(类)行政事业单位养老支出(款)机关事业单位职业年金缴费支出(项):支出决算数为36.29万元，比上年决算增加21.48万元，增长145.04%,主要原因是：本年新增退休人员，职业年金缴费支出增加。</w:t>
      </w:r>
    </w:p>
    <w:p w14:paraId="0AB3EFC2">
      <w:pPr>
        <w:spacing w:line="580" w:lineRule="exact"/>
        <w:ind w:firstLine="640"/>
        <w:jc w:val="both"/>
      </w:pPr>
      <w:r>
        <w:rPr>
          <w:rFonts w:ascii="仿宋_GB2312" w:hAnsi="仿宋_GB2312" w:eastAsia="仿宋_GB2312"/>
          <w:b w:val="0"/>
          <w:sz w:val="32"/>
        </w:rPr>
        <w:t>12.卫生健康支出(类)行政事业单位医疗(款)事业单位医疗(项):支出决算数为25.42万元，比上年决算减少3.12万元，下降10.93%,主要原因是：因退休人员医疗保险制度改革，退休人员基本医疗不再由单位缴纳，导致经费较上年减少。</w:t>
      </w:r>
    </w:p>
    <w:p w14:paraId="20A8CFD0">
      <w:pPr>
        <w:spacing w:line="580" w:lineRule="exact"/>
        <w:ind w:firstLine="640"/>
        <w:jc w:val="both"/>
      </w:pPr>
      <w:r>
        <w:rPr>
          <w:rFonts w:ascii="仿宋_GB2312" w:hAnsi="仿宋_GB2312" w:eastAsia="仿宋_GB2312"/>
          <w:b w:val="0"/>
          <w:sz w:val="32"/>
        </w:rPr>
        <w:t>13.住房保障支出(类)住房改革支出(款)住房公积金(项):支出决算数为0.00万元，比上年决算减少40.80万元，下降100.00%,主要原因是：本年功能科目调整，住房公积金上年度单独列支，本年调整至主科目列支，导致经费较上年减少。</w:t>
      </w:r>
    </w:p>
    <w:p w14:paraId="728EB9A2">
      <w:pPr>
        <w:spacing w:line="640" w:lineRule="exact"/>
        <w:ind w:firstLine="640"/>
        <w:jc w:val="both"/>
        <w:outlineLvl w:val="2"/>
      </w:pPr>
      <w:r>
        <w:rPr>
          <w:rFonts w:ascii="黑体" w:hAnsi="黑体" w:eastAsia="黑体"/>
          <w:sz w:val="32"/>
        </w:rPr>
        <w:t>六、一般公共预算财政拨款基本支出决算情况说明</w:t>
      </w:r>
    </w:p>
    <w:p w14:paraId="2948EF4A">
      <w:pPr>
        <w:spacing w:line="580" w:lineRule="exact"/>
        <w:ind w:firstLine="640"/>
        <w:jc w:val="both"/>
      </w:pPr>
      <w:r>
        <w:rPr>
          <w:rFonts w:ascii="仿宋_GB2312" w:hAnsi="仿宋_GB2312" w:eastAsia="仿宋_GB2312"/>
          <w:b w:val="0"/>
          <w:sz w:val="32"/>
        </w:rPr>
        <w:t>2024年度一般公共预算财政拨款基本支出1,004.18万元，其中：</w:t>
      </w:r>
      <w:r>
        <w:rPr>
          <w:rFonts w:ascii="仿宋_GB2312" w:hAnsi="仿宋_GB2312" w:eastAsia="仿宋_GB2312"/>
          <w:b/>
          <w:sz w:val="32"/>
        </w:rPr>
        <w:t>人员经费704.08万元，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助学金、奖励金、其他对个人和家庭的补助。</w:t>
      </w:r>
    </w:p>
    <w:p w14:paraId="03C9170C">
      <w:pPr>
        <w:spacing w:line="580" w:lineRule="exact"/>
        <w:ind w:firstLine="640"/>
        <w:jc w:val="both"/>
      </w:pPr>
      <w:r>
        <w:rPr>
          <w:rFonts w:ascii="仿宋_GB2312" w:hAnsi="仿宋_GB2312" w:eastAsia="仿宋_GB2312"/>
          <w:b/>
          <w:sz w:val="32"/>
        </w:rPr>
        <w:t>公用经费300.10万元，</w:t>
      </w:r>
      <w:r>
        <w:rPr>
          <w:rFonts w:ascii="仿宋_GB2312" w:hAnsi="仿宋_GB2312" w:eastAsia="仿宋_GB2312"/>
          <w:b w:val="0"/>
          <w:sz w:val="32"/>
        </w:rPr>
        <w:t>包括：办公费、印刷费、水费、电费、邮电费、取暖费、差旅费、维修（护）费、培训费、工会经费、福利费、其他商品和服务支出、专用设备购置。</w:t>
      </w:r>
    </w:p>
    <w:p w14:paraId="2F60078D">
      <w:pPr>
        <w:spacing w:line="640" w:lineRule="exact"/>
        <w:ind w:firstLine="640"/>
        <w:jc w:val="both"/>
        <w:outlineLvl w:val="2"/>
      </w:pPr>
      <w:r>
        <w:rPr>
          <w:rFonts w:ascii="黑体" w:hAnsi="黑体" w:eastAsia="黑体"/>
          <w:sz w:val="32"/>
        </w:rPr>
        <w:t>七、政府性基金预算财政拨款收入支出决算情况说明</w:t>
      </w:r>
    </w:p>
    <w:p w14:paraId="451CEE6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FC85708">
      <w:pPr>
        <w:spacing w:line="640" w:lineRule="exact"/>
        <w:ind w:firstLine="640"/>
        <w:jc w:val="both"/>
        <w:outlineLvl w:val="2"/>
      </w:pPr>
      <w:r>
        <w:rPr>
          <w:rFonts w:ascii="黑体" w:hAnsi="黑体" w:eastAsia="黑体"/>
          <w:sz w:val="32"/>
        </w:rPr>
        <w:t>八、国有资本经营预算财政拨款收入支出决算情况说明</w:t>
      </w:r>
    </w:p>
    <w:p w14:paraId="421ED63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7390047">
      <w:pPr>
        <w:spacing w:line="640" w:lineRule="exact"/>
        <w:ind w:firstLine="640"/>
        <w:jc w:val="both"/>
        <w:outlineLvl w:val="2"/>
      </w:pPr>
      <w:r>
        <w:rPr>
          <w:rFonts w:ascii="黑体" w:hAnsi="黑体" w:eastAsia="黑体"/>
          <w:sz w:val="32"/>
        </w:rPr>
        <w:t>九、财政拨款“三公”经费支出决算情况说明</w:t>
      </w:r>
    </w:p>
    <w:p w14:paraId="3A84E01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E7F1795">
      <w:pPr>
        <w:spacing w:line="580" w:lineRule="exact"/>
        <w:ind w:firstLine="640"/>
        <w:jc w:val="both"/>
      </w:pPr>
      <w:r>
        <w:rPr>
          <w:rFonts w:ascii="仿宋_GB2312" w:hAnsi="仿宋_GB2312" w:eastAsia="仿宋_GB2312"/>
          <w:b/>
          <w:sz w:val="32"/>
        </w:rPr>
        <w:t>具体情况如下：</w:t>
      </w:r>
    </w:p>
    <w:p w14:paraId="78F2C20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7EE7DC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单位教学用车，车辆费用未使用财政拨款公务用车运行维护费支付。</w:t>
      </w:r>
    </w:p>
    <w:p w14:paraId="57601BB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5B0DB5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1F4E3DD">
      <w:pPr>
        <w:spacing w:line="640" w:lineRule="exact"/>
        <w:ind w:firstLine="640"/>
        <w:jc w:val="both"/>
        <w:outlineLvl w:val="2"/>
      </w:pPr>
      <w:r>
        <w:rPr>
          <w:rFonts w:ascii="黑体" w:hAnsi="黑体" w:eastAsia="黑体"/>
          <w:sz w:val="32"/>
        </w:rPr>
        <w:t>十、其他重要事项的情况说明</w:t>
      </w:r>
    </w:p>
    <w:p w14:paraId="580E5E80">
      <w:pPr>
        <w:spacing w:line="640" w:lineRule="exact"/>
        <w:ind w:firstLine="640"/>
        <w:jc w:val="both"/>
        <w:outlineLvl w:val="3"/>
      </w:pPr>
      <w:r>
        <w:rPr>
          <w:rFonts w:ascii="楷体_GB2312" w:hAnsi="楷体_GB2312" w:eastAsia="楷体_GB2312"/>
          <w:b/>
          <w:sz w:val="32"/>
        </w:rPr>
        <w:t>（一）机关运行经费及公用经费支出情况</w:t>
      </w:r>
    </w:p>
    <w:p w14:paraId="38AD9575">
      <w:pPr>
        <w:spacing w:line="580" w:lineRule="exact"/>
        <w:ind w:firstLine="640"/>
        <w:jc w:val="both"/>
      </w:pPr>
      <w:r>
        <w:rPr>
          <w:rFonts w:ascii="仿宋_GB2312" w:hAnsi="仿宋_GB2312" w:eastAsia="仿宋_GB2312"/>
          <w:b w:val="0"/>
          <w:sz w:val="32"/>
        </w:rPr>
        <w:t>2024年度霍城县职业技术学校（事业单位）公用经费支出300.10万元，比上年减少262.80万元，下降46.69%，主要原因是：本年减少</w:t>
      </w:r>
      <w:r>
        <w:rPr>
          <w:rFonts w:hint="eastAsia" w:ascii="仿宋_GB2312" w:hAnsi="仿宋_GB2312" w:eastAsia="仿宋_GB2312"/>
          <w:b w:val="0"/>
          <w:sz w:val="32"/>
        </w:rPr>
        <w:t>办公设备购置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物业管理费、取暖费等</w:t>
      </w:r>
      <w:bookmarkStart w:id="0" w:name="_GoBack"/>
      <w:bookmarkEnd w:id="0"/>
      <w:r>
        <w:rPr>
          <w:rFonts w:ascii="仿宋_GB2312" w:hAnsi="仿宋_GB2312" w:eastAsia="仿宋_GB2312"/>
          <w:b w:val="0"/>
          <w:sz w:val="32"/>
        </w:rPr>
        <w:t>，相关公用经费减少。</w:t>
      </w:r>
    </w:p>
    <w:p w14:paraId="67D2B49A">
      <w:pPr>
        <w:spacing w:line="640" w:lineRule="exact"/>
        <w:ind w:firstLine="640"/>
        <w:jc w:val="both"/>
        <w:outlineLvl w:val="3"/>
      </w:pPr>
      <w:r>
        <w:rPr>
          <w:rFonts w:ascii="楷体_GB2312" w:hAnsi="楷体_GB2312" w:eastAsia="楷体_GB2312"/>
          <w:b/>
          <w:sz w:val="32"/>
        </w:rPr>
        <w:t>（二）政府采购情况</w:t>
      </w:r>
    </w:p>
    <w:p w14:paraId="32ADECD2">
      <w:pPr>
        <w:spacing w:line="580" w:lineRule="exact"/>
        <w:ind w:firstLine="640"/>
        <w:jc w:val="both"/>
      </w:pPr>
      <w:r>
        <w:rPr>
          <w:rFonts w:ascii="仿宋_GB2312" w:hAnsi="仿宋_GB2312" w:eastAsia="仿宋_GB2312"/>
          <w:b w:val="0"/>
          <w:sz w:val="32"/>
        </w:rPr>
        <w:t>2024年度政府采购支出总额0.91万元，其中：政府采购货物支出0.62万元、政府采购工程支出0.00万元、政府采购服务支出0.30万元。</w:t>
      </w:r>
    </w:p>
    <w:p w14:paraId="6629980C">
      <w:pPr>
        <w:spacing w:line="580" w:lineRule="exact"/>
        <w:ind w:firstLine="640"/>
        <w:jc w:val="both"/>
      </w:pPr>
      <w:r>
        <w:rPr>
          <w:rFonts w:ascii="仿宋_GB2312" w:hAnsi="仿宋_GB2312" w:eastAsia="仿宋_GB2312"/>
          <w:b w:val="0"/>
          <w:sz w:val="32"/>
        </w:rPr>
        <w:t>授予中小企业合同金额0.91万元，占政府采购支出总额的100.00%，其中：授予小微企业合同金额0.91万元，占政府采购支出总额的100.00%。</w:t>
      </w:r>
    </w:p>
    <w:p w14:paraId="4335F968">
      <w:pPr>
        <w:spacing w:line="640" w:lineRule="exact"/>
        <w:ind w:firstLine="640"/>
        <w:jc w:val="both"/>
        <w:outlineLvl w:val="3"/>
      </w:pPr>
      <w:r>
        <w:rPr>
          <w:rFonts w:ascii="楷体_GB2312" w:hAnsi="楷体_GB2312" w:eastAsia="楷体_GB2312"/>
          <w:b/>
          <w:sz w:val="32"/>
        </w:rPr>
        <w:t>（三）国有资产占用情况说明</w:t>
      </w:r>
    </w:p>
    <w:p w14:paraId="1A9EFC59">
      <w:pPr>
        <w:spacing w:line="580" w:lineRule="exact"/>
        <w:ind w:firstLine="640"/>
        <w:jc w:val="both"/>
      </w:pPr>
      <w:r>
        <w:rPr>
          <w:rFonts w:ascii="仿宋_GB2312" w:hAnsi="仿宋_GB2312" w:eastAsia="仿宋_GB2312"/>
          <w:b w:val="0"/>
          <w:sz w:val="32"/>
        </w:rPr>
        <w:t>截至2024年12月31日，房屋60.00平方米，价值0.50万元。车辆3辆，价值33.40万元，其中：副部（省）级及以上领导用车0辆、主要负责人用车0辆、机要通信用车0辆、应急保障用车0辆、执法执勤用车0辆、特种专业技术用车0辆、离退休干部服务用车0辆、其他用车3辆，其他用车主要是：</w:t>
      </w:r>
      <w:r>
        <w:rPr>
          <w:rFonts w:hint="eastAsia" w:ascii="仿宋_GB2312" w:hAnsi="仿宋_GB2312" w:eastAsia="仿宋_GB2312"/>
          <w:b w:val="0"/>
          <w:sz w:val="32"/>
          <w:lang w:eastAsia="zh-CN"/>
        </w:rPr>
        <w:t>本单位</w:t>
      </w:r>
      <w:r>
        <w:rPr>
          <w:rFonts w:ascii="仿宋_GB2312" w:hAnsi="仿宋_GB2312" w:eastAsia="仿宋_GB2312"/>
          <w:b w:val="0"/>
          <w:sz w:val="32"/>
        </w:rPr>
        <w:t>教学用车。单价100万元（含）以上设备（不含车辆）1台（套）。</w:t>
      </w:r>
    </w:p>
    <w:p w14:paraId="709D698B">
      <w:pPr>
        <w:spacing w:line="640" w:lineRule="exact"/>
        <w:ind w:firstLine="640"/>
        <w:jc w:val="both"/>
        <w:outlineLvl w:val="2"/>
      </w:pPr>
      <w:r>
        <w:rPr>
          <w:rFonts w:ascii="黑体" w:hAnsi="黑体" w:eastAsia="黑体"/>
          <w:sz w:val="32"/>
        </w:rPr>
        <w:t>十一、预算绩效的情况说明</w:t>
      </w:r>
    </w:p>
    <w:p w14:paraId="163A655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1,004.18万元，实际执行总额1,004.18万元；预算绩效评价项目2个，全年预算数241.88万元，全年执行数241.88万元。预算绩效管理取得的成效：1.通过科学的预算绩效管理，学校能够更精准地将资金分配到教学、科研、师资建设等关键领域，提高了资源的利用效率。2.明确的预算绩效目标和定期的评估机制，使得学校各项工作计划的目标达成率显著提升，如教学质量和教学设施的改善等。3.对各项支出进行严格的监控和分析，有效控制了不必要的开支，降低了学校的运营成本。发现的问题及原因：1.绩效指标不够细化：部分绩效指标的设定较为笼统，难以准确衡量工作的实际效果。原因在于对工作内容的分解不够深入，缺乏具体的量化标准。2.数据收集与分析困难：在预算执行过程中，相关数据的收集不够及时、准确，影响了绩效评估的准确性和及时性。主要是因为数据管理系统不完善，各部门之间的数据沟通不畅。3.人员绩效意识薄弱：部分教职工对预算绩效管理的重要性认识不足，参与度不高，导致工作执行不到位。这可能是由于培训宣传不足，缺乏激励机制。4.预算调整机制不灵活：当外部环境变化或学校发展需求调整时，预算调整的流程繁琐，不够灵活，影响了工作的推进。原因在于预算管理制度的僵化，缺乏应对突发情况的弹性条款。下一步改进措施：1.完善绩效指标体系：深入调研各部门工作，制定更加细化、可衡量的绩效指标，确保能够全面、准确地反映工作成果。2.加强数据管理：建立健全数据收集、整理和分析的系统，明确各部门的数据责任，加强部门间的数据共享与交流。3.强化培训与宣传：开展预算绩效管理的培训活动，提高教职工的绩效意识，建立相应的激励机制，鼓励积极参与。4.优化预算调整流程：制定灵活的预算调整规则，明确调整的条件和程序，提高预算对学校发展变化的适应性。5.建立持续监控机制：定期对预算绩效执行情况进行跟踪监控，及时发现问题并采取纠正措施，确保预算目标的实现。具体附整体支出绩效自评表，项目支出绩效自评表和评价报告。</w:t>
      </w:r>
    </w:p>
    <w:p w14:paraId="084A5D1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933D995">
        <w:tblPrEx>
          <w:tblCellMar>
            <w:top w:w="0" w:type="dxa"/>
            <w:left w:w="108" w:type="dxa"/>
            <w:bottom w:w="0" w:type="dxa"/>
            <w:right w:w="108" w:type="dxa"/>
          </w:tblCellMar>
        </w:tblPrEx>
        <w:tc>
          <w:tcPr>
            <w:tcW w:w="8840" w:type="dxa"/>
            <w:gridSpan w:val="8"/>
            <w:vAlign w:val="center"/>
          </w:tcPr>
          <w:p w14:paraId="36F8F4E1">
            <w:pPr>
              <w:jc w:val="center"/>
            </w:pPr>
            <w:r>
              <w:rPr>
                <w:rFonts w:ascii="宋体" w:hAnsi="宋体" w:eastAsia="宋体"/>
                <w:sz w:val="24"/>
              </w:rPr>
              <w:t>单位整体支出绩效自评表</w:t>
            </w:r>
          </w:p>
        </w:tc>
      </w:tr>
      <w:tr w14:paraId="20DB80A5">
        <w:tblPrEx>
          <w:tblCellMar>
            <w:top w:w="0" w:type="dxa"/>
            <w:left w:w="108" w:type="dxa"/>
            <w:bottom w:w="0" w:type="dxa"/>
            <w:right w:w="108" w:type="dxa"/>
          </w:tblCellMar>
        </w:tblPrEx>
        <w:tc>
          <w:tcPr>
            <w:tcW w:w="8840" w:type="dxa"/>
            <w:gridSpan w:val="8"/>
            <w:vAlign w:val="center"/>
          </w:tcPr>
          <w:p w14:paraId="7BBB8670">
            <w:pPr>
              <w:jc w:val="center"/>
            </w:pPr>
            <w:r>
              <w:rPr>
                <w:rFonts w:ascii="宋体" w:hAnsi="宋体" w:eastAsia="宋体"/>
                <w:sz w:val="24"/>
              </w:rPr>
              <w:t>（2024年度）</w:t>
            </w:r>
          </w:p>
        </w:tc>
      </w:tr>
      <w:tr w14:paraId="74C0AE3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AE99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4E326A">
            <w:pPr>
              <w:jc w:val="center"/>
            </w:pPr>
            <w:r>
              <w:rPr>
                <w:rFonts w:ascii="宋体" w:hAnsi="宋体" w:eastAsia="宋体"/>
                <w:sz w:val="16"/>
              </w:rPr>
              <w:t>霍城县职业技术学校</w:t>
            </w:r>
          </w:p>
        </w:tc>
      </w:tr>
      <w:tr w14:paraId="2463352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4C309">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024AE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1D24D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1DF839">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E138A">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9154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18A6F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DE6387">
            <w:pPr>
              <w:jc w:val="center"/>
            </w:pPr>
            <w:r>
              <w:rPr>
                <w:rFonts w:ascii="宋体" w:hAnsi="宋体" w:eastAsia="宋体"/>
                <w:sz w:val="16"/>
              </w:rPr>
              <w:t>得分</w:t>
            </w:r>
          </w:p>
        </w:tc>
      </w:tr>
      <w:tr w14:paraId="70B340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CB28F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FCC92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CF02F">
            <w:pPr>
              <w:jc w:val="center"/>
            </w:pPr>
            <w:r>
              <w:rPr>
                <w:rFonts w:ascii="宋体" w:hAnsi="宋体" w:eastAsia="宋体"/>
                <w:sz w:val="16"/>
              </w:rPr>
              <w:t>760.30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1EBD5">
            <w:pPr>
              <w:jc w:val="center"/>
            </w:pPr>
            <w:r>
              <w:rPr>
                <w:rFonts w:ascii="宋体" w:hAnsi="宋体" w:eastAsia="宋体"/>
                <w:sz w:val="16"/>
              </w:rPr>
              <w:t>1,004.18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A025A">
            <w:pPr>
              <w:jc w:val="center"/>
            </w:pPr>
            <w:r>
              <w:rPr>
                <w:rFonts w:ascii="宋体" w:hAnsi="宋体" w:eastAsia="宋体"/>
                <w:sz w:val="16"/>
              </w:rPr>
              <w:t>1,004.18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F22BA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74A0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82DBE">
            <w:pPr>
              <w:jc w:val="center"/>
            </w:pPr>
            <w:r>
              <w:rPr>
                <w:rFonts w:ascii="宋体" w:hAnsi="宋体" w:eastAsia="宋体"/>
                <w:sz w:val="16"/>
              </w:rPr>
              <w:t>10</w:t>
            </w:r>
          </w:p>
        </w:tc>
      </w:tr>
      <w:tr w14:paraId="118959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462AC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7DD3AD">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18937">
            <w:pPr>
              <w:jc w:val="center"/>
            </w:pPr>
            <w:r>
              <w:rPr>
                <w:rFonts w:ascii="宋体" w:hAnsi="宋体" w:eastAsia="宋体"/>
                <w:sz w:val="16"/>
              </w:rPr>
              <w:t>234.76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7C341">
            <w:pPr>
              <w:jc w:val="center"/>
            </w:pPr>
            <w:r>
              <w:rPr>
                <w:rFonts w:ascii="宋体" w:hAnsi="宋体" w:eastAsia="宋体"/>
                <w:sz w:val="16"/>
              </w:rPr>
              <w:t>300.10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191D8">
            <w:pPr>
              <w:jc w:val="center"/>
            </w:pPr>
            <w:r>
              <w:rPr>
                <w:rFonts w:ascii="宋体" w:hAnsi="宋体" w:eastAsia="宋体"/>
                <w:sz w:val="16"/>
              </w:rPr>
              <w:t>300.10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49AD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11D3E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3E8DD0">
            <w:pPr>
              <w:jc w:val="center"/>
            </w:pPr>
            <w:r>
              <w:rPr>
                <w:rFonts w:ascii="宋体" w:hAnsi="宋体" w:eastAsia="宋体"/>
                <w:sz w:val="16"/>
              </w:rPr>
              <w:t>-</w:t>
            </w:r>
          </w:p>
        </w:tc>
      </w:tr>
      <w:tr w14:paraId="27F027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A65B9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EB91E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81519">
            <w:pPr>
              <w:jc w:val="center"/>
            </w:pPr>
            <w:r>
              <w:rPr>
                <w:rFonts w:ascii="宋体" w:hAnsi="宋体" w:eastAsia="宋体"/>
                <w:sz w:val="16"/>
              </w:rPr>
              <w:t>525.54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A2670">
            <w:pPr>
              <w:jc w:val="center"/>
            </w:pPr>
            <w:r>
              <w:rPr>
                <w:rFonts w:ascii="宋体" w:hAnsi="宋体" w:eastAsia="宋体"/>
                <w:sz w:val="16"/>
              </w:rPr>
              <w:t>704.08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7EEF3C">
            <w:pPr>
              <w:jc w:val="center"/>
            </w:pPr>
            <w:r>
              <w:rPr>
                <w:rFonts w:ascii="宋体" w:hAnsi="宋体" w:eastAsia="宋体"/>
                <w:sz w:val="16"/>
              </w:rPr>
              <w:t>704.08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BD58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7093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48024">
            <w:pPr>
              <w:jc w:val="center"/>
            </w:pPr>
            <w:r>
              <w:rPr>
                <w:rFonts w:ascii="宋体" w:hAnsi="宋体" w:eastAsia="宋体"/>
                <w:sz w:val="16"/>
              </w:rPr>
              <w:t>-</w:t>
            </w:r>
          </w:p>
        </w:tc>
      </w:tr>
      <w:tr w14:paraId="1A362A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D6BC1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179F9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8773F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7E579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2DF19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50337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C8E13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7357E">
            <w:pPr>
              <w:jc w:val="center"/>
            </w:pPr>
            <w:r>
              <w:rPr>
                <w:rFonts w:ascii="宋体" w:hAnsi="宋体" w:eastAsia="宋体"/>
                <w:sz w:val="16"/>
              </w:rPr>
              <w:t>-</w:t>
            </w:r>
          </w:p>
        </w:tc>
      </w:tr>
      <w:tr w14:paraId="6858106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6B90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98B4C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4BC124">
            <w:pPr>
              <w:jc w:val="center"/>
            </w:pPr>
            <w:r>
              <w:rPr>
                <w:rFonts w:ascii="宋体" w:hAnsi="宋体" w:eastAsia="宋体"/>
                <w:sz w:val="16"/>
              </w:rPr>
              <w:t>实际完成情况</w:t>
            </w:r>
          </w:p>
        </w:tc>
      </w:tr>
      <w:tr w14:paraId="4E3AD63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CB8D2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D21C68">
            <w:pPr>
              <w:jc w:val="both"/>
            </w:pPr>
            <w:r>
              <w:rPr>
                <w:rFonts w:ascii="宋体" w:hAnsi="宋体" w:eastAsia="宋体"/>
                <w:sz w:val="16"/>
              </w:rPr>
              <w:t>推进职业教育优化发展。坚持面向市场、服务经济发展、促进就业，深化产教融合，进一步提升办学质量。在县城结合“双创产业园”改造提升，联合建设新型中等职业教育，并通过与对口援建的无锡市、江阴市的十多所职业技术学院联合培养对应专业的五年制专科模式，努力建成霍城职业技术学院（筹建）。实施职业院校老师素质提升计划，建立“双师型”教师培养培训基地。加强职业教育教学改革，推动职业教育内涵式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72D08C">
            <w:pPr>
              <w:jc w:val="both"/>
            </w:pPr>
            <w:r>
              <w:rPr>
                <w:rFonts w:ascii="宋体" w:hAnsi="宋体" w:eastAsia="宋体"/>
                <w:sz w:val="16"/>
              </w:rPr>
              <w:t>以质量兴教为根本，努力提高教育教学质量，办让家长放心、让人民满意的教育。管好用好国家的教育资金，改善和优化农村的办学条件，力争使社会对水定镇中心学校的教育满意度达到较高的水平。高举习近平新时代中国特色社会主义思想，围绕2024年学校工作计划，从抓管理、强素质入手，强化德育为先，教学为中心，教研为先导，质量为本的学校育人策略，全面实施素质教育，完成各项教学任务，建设一支高素质的师资队伍，为学校可持续发展奠定基础，巩固、提高教学成果，普及初中毕业学生未被高校录取的有意向的将全部入学就读。通过教师培训，更新教师陈旧知识，把教育与社会实践相结合，造就一批有理想、有道德、有文化、有纪律的青少年人才，认真学习环境</w:t>
            </w:r>
            <w:r>
              <w:rPr>
                <w:rFonts w:hint="eastAsia" w:ascii="宋体" w:hAnsi="宋体"/>
                <w:sz w:val="16"/>
                <w:lang w:eastAsia="zh-CN"/>
              </w:rPr>
              <w:t>知识</w:t>
            </w:r>
            <w:r>
              <w:rPr>
                <w:rFonts w:ascii="宋体" w:hAnsi="宋体" w:eastAsia="宋体"/>
                <w:sz w:val="16"/>
              </w:rPr>
              <w:t>，关心社会环境问题，积极参加环保宣传，劝说、阻止破坏环境问题，从德育、智育、体育、美育等方面全面提升学生素质，</w:t>
            </w:r>
            <w:r>
              <w:rPr>
                <w:rFonts w:hint="eastAsia" w:ascii="宋体" w:hAnsi="宋体"/>
                <w:sz w:val="16"/>
                <w:lang w:eastAsia="zh-CN"/>
              </w:rPr>
              <w:t>办好人民满意的教育</w:t>
            </w:r>
            <w:r>
              <w:rPr>
                <w:rFonts w:ascii="宋体" w:hAnsi="宋体" w:eastAsia="宋体"/>
                <w:sz w:val="16"/>
              </w:rPr>
              <w:t>。</w:t>
            </w:r>
          </w:p>
        </w:tc>
      </w:tr>
      <w:tr w14:paraId="674CF69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B8EA4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0D840">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1958A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2C0E90">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EDC2A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6D8F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92F0CF">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5EDB9">
            <w:pPr>
              <w:jc w:val="center"/>
            </w:pPr>
            <w:r>
              <w:rPr>
                <w:rFonts w:ascii="宋体" w:hAnsi="宋体" w:eastAsia="宋体"/>
                <w:sz w:val="16"/>
              </w:rPr>
              <w:t>得分</w:t>
            </w:r>
          </w:p>
        </w:tc>
      </w:tr>
      <w:tr w14:paraId="6D8D80C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7797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8C97E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DA7C5A">
            <w:pPr>
              <w:jc w:val="center"/>
            </w:pPr>
            <w:r>
              <w:rPr>
                <w:rFonts w:ascii="宋体" w:hAnsi="宋体" w:eastAsia="宋体"/>
                <w:sz w:val="16"/>
              </w:rPr>
              <w:t>专业教师技能培训次数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D66B3">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FC17CE">
            <w:pPr>
              <w:jc w:val="center"/>
            </w:pPr>
            <w:r>
              <w:rPr>
                <w:rFonts w:ascii="宋体" w:hAnsi="宋体" w:eastAsia="宋体"/>
                <w:sz w:val="16"/>
              </w:rPr>
              <w:t>立足新时代迎接新挑战—2023-2024学年第一学期学校工作计划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D4A8B">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A21258">
            <w:pPr>
              <w:jc w:val="center"/>
            </w:pPr>
            <w:r>
              <w:rPr>
                <w:rFonts w:ascii="宋体" w:hAnsi="宋体" w:eastAsia="宋体"/>
                <w:sz w:val="16"/>
              </w:rPr>
              <w:t>25次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ED2E3">
            <w:pPr>
              <w:jc w:val="center"/>
            </w:pPr>
            <w:r>
              <w:rPr>
                <w:rFonts w:ascii="宋体" w:hAnsi="宋体" w:eastAsia="宋体"/>
                <w:sz w:val="16"/>
              </w:rPr>
              <w:t>30</w:t>
            </w:r>
          </w:p>
        </w:tc>
      </w:tr>
      <w:tr w14:paraId="7EE223F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0247E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978F9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ADAB8">
            <w:pPr>
              <w:jc w:val="center"/>
            </w:pPr>
            <w:r>
              <w:rPr>
                <w:rFonts w:ascii="宋体" w:hAnsi="宋体" w:eastAsia="宋体"/>
                <w:sz w:val="16"/>
              </w:rPr>
              <w:t>学生因贫辍学率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EF6777">
            <w:pPr>
              <w:jc w:val="center"/>
            </w:pPr>
            <w:r>
              <w:rPr>
                <w:rFonts w:ascii="宋体" w:hAnsi="宋体" w:eastAsia="宋体"/>
                <w:sz w:val="16"/>
              </w:rPr>
              <w:t>&lt;=0%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8693C">
            <w:pPr>
              <w:jc w:val="center"/>
            </w:pPr>
            <w:r>
              <w:rPr>
                <w:rFonts w:ascii="宋体" w:hAnsi="宋体" w:eastAsia="宋体"/>
                <w:sz w:val="16"/>
              </w:rPr>
              <w:t>立足新时代迎接新挑战—2023-2024学年第一学期学校工作计划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107C76">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C53703">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01CF8">
            <w:pPr>
              <w:jc w:val="center"/>
            </w:pPr>
            <w:r>
              <w:rPr>
                <w:rFonts w:ascii="宋体" w:hAnsi="宋体" w:eastAsia="宋体"/>
                <w:sz w:val="16"/>
              </w:rPr>
              <w:t>30</w:t>
            </w:r>
          </w:p>
        </w:tc>
      </w:tr>
      <w:tr w14:paraId="65C480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46B05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9216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92F537">
            <w:pPr>
              <w:jc w:val="center"/>
            </w:pPr>
            <w:r>
              <w:rPr>
                <w:rFonts w:ascii="宋体" w:hAnsi="宋体" w:eastAsia="宋体"/>
                <w:sz w:val="16"/>
              </w:rPr>
              <w:t>中职毕业生就业率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FF5D9A">
            <w:pPr>
              <w:jc w:val="center"/>
            </w:pPr>
            <w:r>
              <w:rPr>
                <w:rFonts w:ascii="宋体" w:hAnsi="宋体" w:eastAsia="宋体"/>
                <w:sz w:val="16"/>
              </w:rPr>
              <w:t>&gt;=80%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EF2A57">
            <w:pPr>
              <w:jc w:val="center"/>
            </w:pPr>
            <w:r>
              <w:rPr>
                <w:rFonts w:ascii="宋体" w:hAnsi="宋体" w:eastAsia="宋体"/>
                <w:sz w:val="16"/>
              </w:rPr>
              <w:t>霍城县第十四个五年规划纲要与2035年远景目标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4B7989">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E922C">
            <w:pPr>
              <w:jc w:val="center"/>
            </w:pPr>
            <w:r>
              <w:rPr>
                <w:rFonts w:ascii="宋体" w:hAnsi="宋体" w:eastAsia="宋体"/>
                <w:sz w:val="16"/>
              </w:rPr>
              <w:t>81.5%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4C6D9">
            <w:pPr>
              <w:jc w:val="center"/>
            </w:pPr>
            <w:r>
              <w:rPr>
                <w:rFonts w:ascii="宋体" w:hAnsi="宋体" w:eastAsia="宋体"/>
                <w:sz w:val="16"/>
              </w:rPr>
              <w:t>30</w:t>
            </w:r>
          </w:p>
        </w:tc>
      </w:tr>
    </w:tbl>
    <w:p w14:paraId="7F80BCF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00DF99A7">
        <w:tblPrEx>
          <w:tblCellMar>
            <w:top w:w="0" w:type="dxa"/>
            <w:left w:w="108" w:type="dxa"/>
            <w:bottom w:w="0" w:type="dxa"/>
            <w:right w:w="108" w:type="dxa"/>
          </w:tblCellMar>
        </w:tblPrEx>
        <w:tc>
          <w:tcPr>
            <w:tcW w:w="8848" w:type="dxa"/>
            <w:gridSpan w:val="14"/>
            <w:vAlign w:val="center"/>
          </w:tcPr>
          <w:p w14:paraId="7D7998D3">
            <w:pPr>
              <w:jc w:val="center"/>
            </w:pPr>
            <w:r>
              <w:rPr>
                <w:rFonts w:ascii="宋体" w:hAnsi="宋体" w:eastAsia="宋体"/>
                <w:sz w:val="24"/>
              </w:rPr>
              <w:t>项目支出绩效自评表</w:t>
            </w:r>
          </w:p>
        </w:tc>
      </w:tr>
      <w:tr w14:paraId="61225CD9">
        <w:tblPrEx>
          <w:tblCellMar>
            <w:top w:w="0" w:type="dxa"/>
            <w:left w:w="108" w:type="dxa"/>
            <w:bottom w:w="0" w:type="dxa"/>
            <w:right w:w="108" w:type="dxa"/>
          </w:tblCellMar>
        </w:tblPrEx>
        <w:tc>
          <w:tcPr>
            <w:tcW w:w="8848" w:type="dxa"/>
            <w:gridSpan w:val="14"/>
            <w:vAlign w:val="center"/>
          </w:tcPr>
          <w:p w14:paraId="7258F9B8">
            <w:pPr>
              <w:jc w:val="center"/>
            </w:pPr>
            <w:r>
              <w:rPr>
                <w:rFonts w:ascii="宋体" w:hAnsi="宋体" w:eastAsia="宋体"/>
                <w:sz w:val="24"/>
              </w:rPr>
              <w:t>(2024年度)</w:t>
            </w:r>
          </w:p>
        </w:tc>
      </w:tr>
      <w:tr w14:paraId="04C13D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3D2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513BD3">
            <w:pPr>
              <w:jc w:val="center"/>
            </w:pPr>
            <w:r>
              <w:rPr>
                <w:rFonts w:ascii="宋体" w:hAnsi="宋体" w:eastAsia="宋体"/>
                <w:sz w:val="16"/>
              </w:rPr>
              <w:t>中央学生资助补助项目</w:t>
            </w:r>
          </w:p>
        </w:tc>
      </w:tr>
      <w:tr w14:paraId="1D4C95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C977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D9F087">
            <w:pPr>
              <w:jc w:val="center"/>
            </w:pPr>
            <w:r>
              <w:rPr>
                <w:rFonts w:ascii="宋体" w:hAnsi="宋体" w:eastAsia="宋体"/>
                <w:sz w:val="16"/>
              </w:rPr>
              <w:t>霍城县职业技术学校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3624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AE4193">
            <w:pPr>
              <w:jc w:val="center"/>
            </w:pPr>
            <w:r>
              <w:rPr>
                <w:rFonts w:ascii="宋体" w:hAnsi="宋体" w:eastAsia="宋体"/>
                <w:sz w:val="16"/>
              </w:rPr>
              <w:t>霍城县职业技术学校</w:t>
            </w:r>
          </w:p>
        </w:tc>
      </w:tr>
      <w:tr w14:paraId="6A05E7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A2347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2E04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2296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D503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976D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372D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B646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46E1">
            <w:pPr>
              <w:jc w:val="center"/>
            </w:pPr>
            <w:r>
              <w:rPr>
                <w:rFonts w:ascii="宋体" w:hAnsi="宋体" w:eastAsia="宋体"/>
                <w:sz w:val="16"/>
              </w:rPr>
              <w:t>得分</w:t>
            </w:r>
          </w:p>
        </w:tc>
      </w:tr>
      <w:tr w14:paraId="0A95AC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064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897C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28AFC">
            <w:pPr>
              <w:jc w:val="center"/>
            </w:pPr>
            <w:r>
              <w:rPr>
                <w:rFonts w:ascii="宋体" w:hAnsi="宋体" w:eastAsia="宋体"/>
                <w:sz w:val="16"/>
              </w:rPr>
              <w:t>235.88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03744">
            <w:pPr>
              <w:jc w:val="center"/>
            </w:pPr>
            <w:r>
              <w:rPr>
                <w:rFonts w:ascii="宋体" w:hAnsi="宋体" w:eastAsia="宋体"/>
                <w:sz w:val="16"/>
              </w:rPr>
              <w:t>235.88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BE341">
            <w:pPr>
              <w:jc w:val="center"/>
            </w:pPr>
            <w:r>
              <w:rPr>
                <w:rFonts w:ascii="宋体" w:hAnsi="宋体" w:eastAsia="宋体"/>
                <w:sz w:val="16"/>
              </w:rPr>
              <w:t>235.88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CFE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DAA8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57A52">
            <w:pPr>
              <w:jc w:val="center"/>
            </w:pPr>
            <w:r>
              <w:rPr>
                <w:rFonts w:ascii="宋体" w:hAnsi="宋体" w:eastAsia="宋体"/>
                <w:sz w:val="16"/>
              </w:rPr>
              <w:t>10.00</w:t>
            </w:r>
          </w:p>
        </w:tc>
      </w:tr>
      <w:tr w14:paraId="7B404D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559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8023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857E7">
            <w:pPr>
              <w:jc w:val="center"/>
            </w:pPr>
            <w:r>
              <w:rPr>
                <w:rFonts w:ascii="宋体" w:hAnsi="宋体" w:eastAsia="宋体"/>
                <w:sz w:val="16"/>
              </w:rPr>
              <w:t>235.88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CE31E">
            <w:pPr>
              <w:jc w:val="center"/>
            </w:pPr>
            <w:r>
              <w:rPr>
                <w:rFonts w:ascii="宋体" w:hAnsi="宋体" w:eastAsia="宋体"/>
                <w:sz w:val="16"/>
              </w:rPr>
              <w:t>235.88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F7217">
            <w:pPr>
              <w:jc w:val="center"/>
            </w:pPr>
            <w:r>
              <w:rPr>
                <w:rFonts w:ascii="宋体" w:hAnsi="宋体" w:eastAsia="宋体"/>
                <w:sz w:val="16"/>
              </w:rPr>
              <w:t>235.88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902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2B2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615F">
            <w:pPr>
              <w:jc w:val="center"/>
            </w:pPr>
            <w:r>
              <w:rPr>
                <w:rFonts w:ascii="宋体" w:hAnsi="宋体" w:eastAsia="宋体"/>
                <w:sz w:val="16"/>
              </w:rPr>
              <w:t>—</w:t>
            </w:r>
          </w:p>
        </w:tc>
      </w:tr>
      <w:tr w14:paraId="3DD14B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B01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A0B6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0D6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CAD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B2C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C1F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8B0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21F1C">
            <w:pPr>
              <w:jc w:val="center"/>
            </w:pPr>
            <w:r>
              <w:rPr>
                <w:rFonts w:ascii="宋体" w:hAnsi="宋体" w:eastAsia="宋体"/>
                <w:sz w:val="16"/>
              </w:rPr>
              <w:t>—</w:t>
            </w:r>
          </w:p>
        </w:tc>
      </w:tr>
      <w:tr w14:paraId="60E05D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49822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4BDCC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462E9B">
            <w:pPr>
              <w:jc w:val="center"/>
            </w:pPr>
            <w:r>
              <w:rPr>
                <w:rFonts w:ascii="宋体" w:hAnsi="宋体" w:eastAsia="宋体"/>
                <w:sz w:val="16"/>
              </w:rPr>
              <w:t>实际完成情况</w:t>
            </w:r>
          </w:p>
        </w:tc>
      </w:tr>
      <w:tr w14:paraId="7504E6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2E62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E9620D">
            <w:pPr>
              <w:jc w:val="both"/>
            </w:pPr>
            <w:r>
              <w:rPr>
                <w:rFonts w:hint="eastAsia" w:ascii="宋体" w:hAnsi="宋体"/>
                <w:sz w:val="16"/>
                <w:lang w:eastAsia="zh-CN"/>
              </w:rPr>
              <w:t>1.</w:t>
            </w:r>
            <w:r>
              <w:rPr>
                <w:rFonts w:ascii="宋体" w:hAnsi="宋体" w:eastAsia="宋体"/>
                <w:sz w:val="16"/>
              </w:rPr>
              <w:t>激励中等职业学校学生勤奋学习，努力进取，提高学生思想道德素质和专业技术水平；2：满足家庭经济困难学生基本生活需要；3：中职学校2023年秋季在校生670人，生均2000元享受免学费政策，20%学生享受国家助学金政策，按照人人享有的要求，完善制度，注重机会公平，保障基本民生，依法保障家庭经济困难学生平等受教育权，实现家庭经济困难学生资助的全覆盖，彻底阻断贫困代际传递。满足家庭经济困难学生基本学习生活需要</w:t>
            </w:r>
            <w:r>
              <w:rPr>
                <w:rFonts w:hint="eastAsia" w:ascii="宋体" w:hAnsi="宋体"/>
                <w:sz w:val="16"/>
                <w:lang w:eastAsia="zh-CN"/>
              </w:rPr>
              <w:t>；</w:t>
            </w:r>
            <w:r>
              <w:rPr>
                <w:rFonts w:ascii="宋体" w:hAnsi="宋体" w:eastAsia="宋体"/>
                <w:sz w:val="16"/>
              </w:rPr>
              <w:t>提升中职教育吸引力。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BC5500">
            <w:pPr>
              <w:jc w:val="both"/>
            </w:pPr>
            <w:r>
              <w:rPr>
                <w:rFonts w:ascii="宋体" w:hAnsi="宋体" w:eastAsia="宋体"/>
                <w:sz w:val="16"/>
              </w:rPr>
              <w:t>2024年是建设环境优雅，管理规范，理念先进，特色鲜明，文化厚重，创州级一流的县直职业学校；进一步转变办学模式与人才培养模式，努力构建与市场需求和劳动就业紧密结合、中高职融通、中本融通、校企合作、工学结合、形式多样、灵活开放的现代职业教育体系；进一步加强学校的基础能力建设，改善办学条件，提高师资水平；在现有的办学基础上，把职校建设成条件优越、功能多样、灵活开放、效益良好、特色鲜明的县级示范性职业学校。</w:t>
            </w:r>
          </w:p>
        </w:tc>
      </w:tr>
      <w:tr w14:paraId="1DE0A4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4382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4C6D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EC9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5107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86E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0328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8ADE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410F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2FEE6">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3FC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F56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A020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5179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3036B">
            <w:pPr>
              <w:jc w:val="center"/>
            </w:pPr>
            <w:r>
              <w:rPr>
                <w:rFonts w:ascii="宋体" w:hAnsi="宋体" w:eastAsia="宋体"/>
                <w:sz w:val="16"/>
              </w:rPr>
              <w:t>偏差原因分析及改进措施</w:t>
            </w:r>
          </w:p>
        </w:tc>
      </w:tr>
      <w:tr w14:paraId="72E321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EFBE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9389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AEE10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F6B1F">
            <w:pPr>
              <w:jc w:val="center"/>
            </w:pPr>
            <w:r>
              <w:rPr>
                <w:rFonts w:ascii="宋体" w:hAnsi="宋体" w:eastAsia="宋体"/>
                <w:sz w:val="16"/>
              </w:rPr>
              <w:t>中职国家助学金应受助学生受助资助比例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0D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243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5D9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7B7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9E3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2EE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F8CE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ACC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6B8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3E353">
            <w:pPr>
              <w:jc w:val="center"/>
            </w:pPr>
          </w:p>
        </w:tc>
      </w:tr>
      <w:tr w14:paraId="299A9D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E31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327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2AE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9CD64">
            <w:pPr>
              <w:jc w:val="center"/>
            </w:pPr>
            <w:r>
              <w:rPr>
                <w:rFonts w:ascii="宋体" w:hAnsi="宋体" w:eastAsia="宋体"/>
                <w:sz w:val="16"/>
              </w:rPr>
              <w:t>中职免学费应受助学生资助比例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F8E9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977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9DA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7E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ABA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926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CF0F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438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50F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8D0DD">
            <w:pPr>
              <w:jc w:val="center"/>
            </w:pPr>
          </w:p>
        </w:tc>
      </w:tr>
      <w:tr w14:paraId="1D1E84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DCC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54A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824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5FB10">
            <w:pPr>
              <w:jc w:val="center"/>
            </w:pPr>
            <w:r>
              <w:rPr>
                <w:rFonts w:ascii="宋体" w:hAnsi="宋体" w:eastAsia="宋体"/>
                <w:sz w:val="16"/>
              </w:rPr>
              <w:t>中职免住宿免教材受助学生比例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FB8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C21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788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92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CDF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C06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1B7D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64A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97C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C7640">
            <w:pPr>
              <w:jc w:val="center"/>
            </w:pPr>
          </w:p>
        </w:tc>
      </w:tr>
      <w:tr w14:paraId="150075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5AB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386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D0A0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0DBCC">
            <w:pPr>
              <w:jc w:val="center"/>
            </w:pPr>
            <w:r>
              <w:rPr>
                <w:rFonts w:ascii="宋体" w:hAnsi="宋体" w:eastAsia="宋体"/>
                <w:sz w:val="16"/>
              </w:rPr>
              <w:t>资助政策覆盖率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99B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18F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0B6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E3C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77B7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55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355B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B8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D47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A70F5">
            <w:pPr>
              <w:jc w:val="center"/>
            </w:pPr>
          </w:p>
        </w:tc>
      </w:tr>
      <w:tr w14:paraId="25EA6B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7E2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581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22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FD440">
            <w:pPr>
              <w:jc w:val="center"/>
            </w:pPr>
            <w:r>
              <w:rPr>
                <w:rFonts w:ascii="宋体" w:hAnsi="宋体" w:eastAsia="宋体"/>
                <w:sz w:val="16"/>
              </w:rPr>
              <w:t>奖助学金按规定及时发放率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DB1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5CC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81F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16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5B8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1C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0F10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FE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AD5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3EA20">
            <w:pPr>
              <w:jc w:val="center"/>
            </w:pPr>
          </w:p>
        </w:tc>
      </w:tr>
      <w:tr w14:paraId="228FDE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A8D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56C71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F0D35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F941D">
            <w:pPr>
              <w:jc w:val="center"/>
            </w:pPr>
            <w:r>
              <w:rPr>
                <w:rFonts w:ascii="宋体" w:hAnsi="宋体" w:eastAsia="宋体"/>
                <w:sz w:val="16"/>
              </w:rPr>
              <w:t>中职国家助学金受助标准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2813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AE0FB">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EE178">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8CC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81BA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CE9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5EC8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7B5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6A8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B276A">
            <w:pPr>
              <w:jc w:val="center"/>
            </w:pPr>
          </w:p>
        </w:tc>
      </w:tr>
      <w:tr w14:paraId="4FFA6C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278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3D5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419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B0F19">
            <w:pPr>
              <w:jc w:val="center"/>
            </w:pPr>
            <w:r>
              <w:rPr>
                <w:rFonts w:ascii="宋体" w:hAnsi="宋体" w:eastAsia="宋体"/>
                <w:sz w:val="16"/>
              </w:rPr>
              <w:t>中职免学费受助标准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7A63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F24F">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2F9AE">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8D6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D39C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7B4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C46B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EAE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C59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6C997">
            <w:pPr>
              <w:jc w:val="center"/>
            </w:pPr>
          </w:p>
        </w:tc>
      </w:tr>
      <w:tr w14:paraId="2F8326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514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204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1D1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30C08">
            <w:pPr>
              <w:jc w:val="center"/>
            </w:pPr>
            <w:r>
              <w:rPr>
                <w:rFonts w:ascii="宋体" w:hAnsi="宋体" w:eastAsia="宋体"/>
                <w:sz w:val="16"/>
              </w:rPr>
              <w:t>免住宿免教材受助标准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7856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237FD">
            <w:pPr>
              <w:jc w:val="center"/>
            </w:pPr>
            <w:r>
              <w:rPr>
                <w:rFonts w:ascii="宋体" w:hAnsi="宋体" w:eastAsia="宋体"/>
                <w:sz w:val="16"/>
              </w:rPr>
              <w:t>=900元/生/年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FEEAF">
            <w:pPr>
              <w:jc w:val="center"/>
            </w:pPr>
            <w:r>
              <w:rPr>
                <w:rFonts w:ascii="宋体" w:hAnsi="宋体" w:eastAsia="宋体"/>
                <w:sz w:val="16"/>
              </w:rPr>
              <w:t>900元/生/年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3CF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A5C0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038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0533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6F8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FA1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459DC">
            <w:pPr>
              <w:jc w:val="center"/>
            </w:pPr>
          </w:p>
        </w:tc>
      </w:tr>
      <w:tr w14:paraId="5CEBF4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A22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9630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E097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0CA99">
            <w:pPr>
              <w:jc w:val="center"/>
            </w:pPr>
            <w:r>
              <w:rPr>
                <w:rFonts w:ascii="宋体" w:hAnsi="宋体" w:eastAsia="宋体"/>
                <w:sz w:val="16"/>
              </w:rPr>
              <w:t>在普通高中及中职国家助学金名额分配时，适当向农村地区、贫困地区和民族地区倾斜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3FC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BFB2D">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63E1">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EAD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16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63F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839E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FF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D24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BC916">
            <w:pPr>
              <w:jc w:val="center"/>
            </w:pPr>
          </w:p>
        </w:tc>
      </w:tr>
      <w:tr w14:paraId="04F1B3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EC8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E5C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7ED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3DCA8">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895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9D24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62D1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9CA52">
            <w:pPr>
              <w:jc w:val="center"/>
            </w:pPr>
            <w:r>
              <w:rPr>
                <w:rFonts w:ascii="宋体" w:hAnsi="宋体" w:eastAsia="宋体"/>
                <w:sz w:val="16"/>
              </w:rPr>
              <w:t>108.89%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047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14C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F057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A730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F6C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6F164">
            <w:pPr>
              <w:jc w:val="center"/>
            </w:pPr>
            <w:r>
              <w:rPr>
                <w:rFonts w:ascii="宋体" w:hAnsi="宋体" w:eastAsia="宋体"/>
                <w:sz w:val="16"/>
              </w:rPr>
              <w:t>师生满意度较好。</w:t>
            </w:r>
          </w:p>
        </w:tc>
      </w:tr>
      <w:tr w14:paraId="603B872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30B63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379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9AA4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289B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C554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16D34">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1E65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1844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0D16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807F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5800FC"/>
        </w:tc>
      </w:tr>
    </w:tbl>
    <w:p w14:paraId="1E29F89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4BA7D7A">
        <w:tblPrEx>
          <w:tblCellMar>
            <w:top w:w="0" w:type="dxa"/>
            <w:left w:w="108" w:type="dxa"/>
            <w:bottom w:w="0" w:type="dxa"/>
            <w:right w:w="108" w:type="dxa"/>
          </w:tblCellMar>
        </w:tblPrEx>
        <w:tc>
          <w:tcPr>
            <w:tcW w:w="8848" w:type="dxa"/>
            <w:gridSpan w:val="14"/>
            <w:vAlign w:val="center"/>
          </w:tcPr>
          <w:p w14:paraId="218291F3">
            <w:pPr>
              <w:jc w:val="center"/>
            </w:pPr>
            <w:r>
              <w:rPr>
                <w:rFonts w:ascii="宋体" w:hAnsi="宋体" w:eastAsia="宋体"/>
                <w:sz w:val="24"/>
              </w:rPr>
              <w:t>项目支出绩效自评表</w:t>
            </w:r>
          </w:p>
        </w:tc>
      </w:tr>
      <w:tr w14:paraId="6F47643E">
        <w:tblPrEx>
          <w:tblCellMar>
            <w:top w:w="0" w:type="dxa"/>
            <w:left w:w="108" w:type="dxa"/>
            <w:bottom w:w="0" w:type="dxa"/>
            <w:right w:w="108" w:type="dxa"/>
          </w:tblCellMar>
        </w:tblPrEx>
        <w:tc>
          <w:tcPr>
            <w:tcW w:w="8848" w:type="dxa"/>
            <w:gridSpan w:val="14"/>
            <w:vAlign w:val="center"/>
          </w:tcPr>
          <w:p w14:paraId="1C881CEC">
            <w:pPr>
              <w:jc w:val="center"/>
            </w:pPr>
            <w:r>
              <w:rPr>
                <w:rFonts w:ascii="宋体" w:hAnsi="宋体" w:eastAsia="宋体"/>
                <w:sz w:val="24"/>
              </w:rPr>
              <w:t>(2024年度)</w:t>
            </w:r>
          </w:p>
        </w:tc>
      </w:tr>
      <w:tr w14:paraId="328EC3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4B0D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EF626D">
            <w:pPr>
              <w:jc w:val="center"/>
            </w:pPr>
            <w:r>
              <w:rPr>
                <w:rFonts w:ascii="宋体" w:hAnsi="宋体" w:eastAsia="宋体"/>
                <w:sz w:val="16"/>
              </w:rPr>
              <w:t>天山英才培养计划</w:t>
            </w:r>
          </w:p>
        </w:tc>
      </w:tr>
      <w:tr w14:paraId="5DF2B3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768A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7C8B7E">
            <w:pPr>
              <w:jc w:val="center"/>
            </w:pPr>
            <w:r>
              <w:rPr>
                <w:rFonts w:ascii="宋体" w:hAnsi="宋体" w:eastAsia="宋体"/>
                <w:sz w:val="16"/>
              </w:rPr>
              <w:t>霍城县职业技术学校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A428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0F6D17">
            <w:pPr>
              <w:jc w:val="center"/>
            </w:pPr>
            <w:r>
              <w:rPr>
                <w:rFonts w:ascii="宋体" w:hAnsi="宋体" w:eastAsia="宋体"/>
                <w:sz w:val="16"/>
              </w:rPr>
              <w:t>霍城县职业技术学校</w:t>
            </w:r>
          </w:p>
        </w:tc>
      </w:tr>
      <w:tr w14:paraId="35510B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8B06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C0EF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E91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CE64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FCBA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1AB1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52D8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DEEBE">
            <w:pPr>
              <w:jc w:val="center"/>
            </w:pPr>
            <w:r>
              <w:rPr>
                <w:rFonts w:ascii="宋体" w:hAnsi="宋体" w:eastAsia="宋体"/>
                <w:sz w:val="16"/>
              </w:rPr>
              <w:t>得分</w:t>
            </w:r>
          </w:p>
        </w:tc>
      </w:tr>
      <w:tr w14:paraId="2D8FD3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B17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0A92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EB7B9">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8A1DB">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D0C63">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87A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1C2D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FA86E">
            <w:pPr>
              <w:jc w:val="center"/>
            </w:pPr>
            <w:r>
              <w:rPr>
                <w:rFonts w:ascii="宋体" w:hAnsi="宋体" w:eastAsia="宋体"/>
                <w:sz w:val="16"/>
              </w:rPr>
              <w:t>10.00</w:t>
            </w:r>
          </w:p>
        </w:tc>
      </w:tr>
      <w:tr w14:paraId="25308A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221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BF16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629A7">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A284F">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3894F">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54A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372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2CCF3">
            <w:pPr>
              <w:jc w:val="center"/>
            </w:pPr>
            <w:r>
              <w:rPr>
                <w:rFonts w:ascii="宋体" w:hAnsi="宋体" w:eastAsia="宋体"/>
                <w:sz w:val="16"/>
              </w:rPr>
              <w:t>—</w:t>
            </w:r>
          </w:p>
        </w:tc>
      </w:tr>
      <w:tr w14:paraId="212F91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50D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2C68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A89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D02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DB0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141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749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007C">
            <w:pPr>
              <w:jc w:val="center"/>
            </w:pPr>
            <w:r>
              <w:rPr>
                <w:rFonts w:ascii="宋体" w:hAnsi="宋体" w:eastAsia="宋体"/>
                <w:sz w:val="16"/>
              </w:rPr>
              <w:t>—</w:t>
            </w:r>
          </w:p>
        </w:tc>
      </w:tr>
      <w:tr w14:paraId="719B0D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C73E9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DF4C6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017C7F">
            <w:pPr>
              <w:jc w:val="center"/>
            </w:pPr>
            <w:r>
              <w:rPr>
                <w:rFonts w:ascii="宋体" w:hAnsi="宋体" w:eastAsia="宋体"/>
                <w:sz w:val="16"/>
              </w:rPr>
              <w:t>实际完成情况</w:t>
            </w:r>
          </w:p>
        </w:tc>
      </w:tr>
      <w:tr w14:paraId="491FB3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B240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2D7C87">
            <w:pPr>
              <w:jc w:val="both"/>
            </w:pPr>
            <w:r>
              <w:rPr>
                <w:rFonts w:ascii="宋体" w:hAnsi="宋体" w:eastAsia="宋体"/>
                <w:sz w:val="16"/>
              </w:rPr>
              <w:t>通过“天山英才”培养计划“新疆工匠”项目搭建师带徒培养技能培养人才平台，协助做好技能人才培养工作。培养具备中高级钳工技能的工匠型人才。提高钳工从业人员的整体技能水平，提升行业竞争力。推动钳工技术的创新与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087A25">
            <w:pPr>
              <w:jc w:val="both"/>
            </w:pPr>
            <w:r>
              <w:rPr>
                <w:rFonts w:hint="eastAsia" w:ascii="宋体" w:hAnsi="宋体"/>
                <w:sz w:val="16"/>
                <w:lang w:eastAsia="zh-CN"/>
              </w:rPr>
              <w:t>截至</w:t>
            </w:r>
            <w:r>
              <w:rPr>
                <w:rFonts w:ascii="宋体" w:hAnsi="宋体" w:eastAsia="宋体"/>
                <w:sz w:val="16"/>
              </w:rPr>
              <w:t>12月31日“天山英才”培养计划“新疆工匠”项目已搭建师带徒培养技能培养人才平台，做好技能人才培养工作，协助做好技能人才培养工作。培养具备中高级钳工技能的工匠型人才。提高钳工从业人员的整体技能水平，提升行业竞争力。推动钳工技术的创新与发展。</w:t>
            </w:r>
          </w:p>
        </w:tc>
      </w:tr>
      <w:tr w14:paraId="42D9EC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1A55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2F99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D7D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2231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12AD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221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ECADD">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9EBB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F5AB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9D0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FB3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1AC5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7F06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4CBE1">
            <w:pPr>
              <w:jc w:val="center"/>
            </w:pPr>
            <w:r>
              <w:rPr>
                <w:rFonts w:ascii="宋体" w:hAnsi="宋体" w:eastAsia="宋体"/>
                <w:sz w:val="16"/>
              </w:rPr>
              <w:t>偏差原因分析及改进措施</w:t>
            </w:r>
          </w:p>
        </w:tc>
      </w:tr>
      <w:tr w14:paraId="4FFD94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0F37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747B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A682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15672">
            <w:pPr>
              <w:jc w:val="center"/>
            </w:pPr>
            <w:r>
              <w:rPr>
                <w:rFonts w:ascii="宋体" w:hAnsi="宋体" w:eastAsia="宋体"/>
                <w:sz w:val="16"/>
              </w:rPr>
              <w:t>项目入选享受补助人数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E95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6FA4A">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E0E80">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C51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21A8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9DD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C92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383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0DC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4AB45">
            <w:pPr>
              <w:jc w:val="center"/>
            </w:pPr>
          </w:p>
        </w:tc>
      </w:tr>
      <w:tr w14:paraId="5B1E7A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9A4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508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2A0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47949">
            <w:pPr>
              <w:jc w:val="center"/>
            </w:pPr>
            <w:r>
              <w:rPr>
                <w:rFonts w:ascii="宋体" w:hAnsi="宋体" w:eastAsia="宋体"/>
                <w:sz w:val="16"/>
              </w:rPr>
              <w:t>设备购置数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D4B3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53C61">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79208">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AF5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4032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C0C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E8C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5C6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448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BC448">
            <w:pPr>
              <w:jc w:val="center"/>
            </w:pPr>
          </w:p>
        </w:tc>
      </w:tr>
      <w:tr w14:paraId="620CAC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675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3A7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A4B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B2F5">
            <w:pPr>
              <w:jc w:val="center"/>
            </w:pPr>
            <w:r>
              <w:rPr>
                <w:rFonts w:ascii="宋体" w:hAnsi="宋体" w:eastAsia="宋体"/>
                <w:sz w:val="16"/>
              </w:rPr>
              <w:t>购买书籍数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F999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CC66B">
            <w:pPr>
              <w:jc w:val="center"/>
            </w:pPr>
            <w:r>
              <w:rPr>
                <w:rFonts w:ascii="宋体" w:hAnsi="宋体" w:eastAsia="宋体"/>
                <w:sz w:val="16"/>
              </w:rPr>
              <w:t>&gt;=50册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D35F8">
            <w:pPr>
              <w:jc w:val="center"/>
            </w:pPr>
            <w:r>
              <w:rPr>
                <w:rFonts w:ascii="宋体" w:hAnsi="宋体" w:eastAsia="宋体"/>
                <w:sz w:val="16"/>
              </w:rPr>
              <w:t>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2CD4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1B8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D1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722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D1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3F4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6A5F6">
            <w:pPr>
              <w:jc w:val="center"/>
            </w:pPr>
            <w:r>
              <w:rPr>
                <w:rFonts w:ascii="宋体" w:hAnsi="宋体" w:eastAsia="宋体"/>
                <w:sz w:val="16"/>
              </w:rPr>
              <w:t>采购渠道突发变动，购买书籍数量指标未能达成。</w:t>
            </w:r>
          </w:p>
        </w:tc>
      </w:tr>
      <w:tr w14:paraId="204BB3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C89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7C6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6A5FB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69EFE">
            <w:pPr>
              <w:jc w:val="center"/>
            </w:pPr>
            <w:r>
              <w:rPr>
                <w:rFonts w:ascii="宋体" w:hAnsi="宋体" w:eastAsia="宋体"/>
                <w:sz w:val="16"/>
              </w:rPr>
              <w:t>购买设备的验收合格率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BF40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6DD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BD9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F04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6D81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FD5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7FE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4EA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17F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7B11">
            <w:pPr>
              <w:jc w:val="center"/>
            </w:pPr>
          </w:p>
        </w:tc>
      </w:tr>
      <w:tr w14:paraId="7CF984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0F6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0C0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6C3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39E2B">
            <w:pPr>
              <w:jc w:val="center"/>
            </w:pPr>
            <w:r>
              <w:rPr>
                <w:rFonts w:ascii="宋体" w:hAnsi="宋体" w:eastAsia="宋体"/>
                <w:sz w:val="16"/>
              </w:rPr>
              <w:t>购买图书的质量合格率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0FE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EEE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3BA6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2147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9A76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DA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2F1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A0F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F51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C9547">
            <w:pPr>
              <w:jc w:val="center"/>
            </w:pPr>
            <w:r>
              <w:rPr>
                <w:rFonts w:ascii="宋体" w:hAnsi="宋体" w:eastAsia="宋体"/>
                <w:sz w:val="16"/>
              </w:rPr>
              <w:t>采购渠道突发变动，购买书籍数量指标未能达成。</w:t>
            </w:r>
          </w:p>
        </w:tc>
      </w:tr>
      <w:tr w14:paraId="34A94A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366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BD1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A52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61749">
            <w:pPr>
              <w:jc w:val="center"/>
            </w:pPr>
            <w:r>
              <w:rPr>
                <w:rFonts w:ascii="宋体" w:hAnsi="宋体" w:eastAsia="宋体"/>
                <w:sz w:val="16"/>
              </w:rPr>
              <w:t>享受补助覆盖率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AD9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313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711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416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D55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261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9A0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547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405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4D0E1">
            <w:pPr>
              <w:jc w:val="center"/>
            </w:pPr>
          </w:p>
        </w:tc>
      </w:tr>
      <w:tr w14:paraId="3ABFD7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6F0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0BA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498C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67FB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F02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1F6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479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458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9540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31F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737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55D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A2B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90A77">
            <w:pPr>
              <w:jc w:val="center"/>
            </w:pPr>
          </w:p>
        </w:tc>
      </w:tr>
      <w:tr w14:paraId="5C7D56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B5D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07E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C0B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29A13">
            <w:pPr>
              <w:jc w:val="center"/>
            </w:pPr>
            <w:r>
              <w:rPr>
                <w:rFonts w:ascii="宋体" w:hAnsi="宋体" w:eastAsia="宋体"/>
                <w:sz w:val="16"/>
              </w:rPr>
              <w:t>购买设备完成时间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EE4B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1E60B">
            <w:pPr>
              <w:jc w:val="center"/>
            </w:pPr>
            <w:r>
              <w:rPr>
                <w:rFonts w:ascii="宋体" w:hAnsi="宋体" w:eastAsia="宋体"/>
                <w:sz w:val="16"/>
              </w:rPr>
              <w:t>=2024年12月24日之前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0D67B">
            <w:pPr>
              <w:jc w:val="center"/>
            </w:pPr>
            <w:r>
              <w:rPr>
                <w:rFonts w:ascii="宋体" w:hAnsi="宋体" w:eastAsia="宋体"/>
                <w:sz w:val="16"/>
              </w:rPr>
              <w:t>2024年12月24日之前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8CA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15D1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766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98E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0A1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7C2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30070">
            <w:pPr>
              <w:jc w:val="center"/>
            </w:pPr>
          </w:p>
        </w:tc>
      </w:tr>
      <w:tr w14:paraId="7FB1A6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B722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58F43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F830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72E58">
            <w:pPr>
              <w:jc w:val="center"/>
            </w:pPr>
            <w:r>
              <w:rPr>
                <w:rFonts w:ascii="宋体" w:hAnsi="宋体" w:eastAsia="宋体"/>
                <w:sz w:val="16"/>
              </w:rPr>
              <w:t>入选人员享受个人生活补助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D93F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ECB6D">
            <w:pPr>
              <w:jc w:val="center"/>
            </w:pPr>
            <w:r>
              <w:rPr>
                <w:rFonts w:ascii="宋体" w:hAnsi="宋体" w:eastAsia="宋体"/>
                <w:sz w:val="16"/>
              </w:rPr>
              <w: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D2B0">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7BC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980D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1B8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04D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E68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71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B18E">
            <w:pPr>
              <w:jc w:val="center"/>
            </w:pPr>
          </w:p>
        </w:tc>
      </w:tr>
      <w:tr w14:paraId="7423CA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FFC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FCF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651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7E3CD">
            <w:pPr>
              <w:jc w:val="center"/>
            </w:pPr>
            <w:r>
              <w:rPr>
                <w:rFonts w:ascii="宋体" w:hAnsi="宋体" w:eastAsia="宋体"/>
                <w:sz w:val="16"/>
              </w:rPr>
              <w:t>设备购置费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657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DBF58">
            <w:pPr>
              <w:jc w:val="center"/>
            </w:pPr>
            <w:r>
              <w:rPr>
                <w:rFonts w:ascii="宋体" w:hAnsi="宋体" w:eastAsia="宋体"/>
                <w:sz w:val="16"/>
              </w:rPr>
              <w:t>&lt;=0.8万元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571CB">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384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B0F5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391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BAB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242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570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A3CB">
            <w:pPr>
              <w:jc w:val="center"/>
            </w:pPr>
          </w:p>
        </w:tc>
      </w:tr>
      <w:tr w14:paraId="1ED49B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076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759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C0A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285DD">
            <w:pPr>
              <w:jc w:val="center"/>
            </w:pPr>
            <w:r>
              <w:rPr>
                <w:rFonts w:ascii="宋体" w:hAnsi="宋体" w:eastAsia="宋体"/>
                <w:sz w:val="16"/>
              </w:rPr>
              <w:t>业务开展使用经费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6CDC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D9BB1">
            <w:pPr>
              <w:jc w:val="center"/>
            </w:pPr>
            <w:r>
              <w:rPr>
                <w:rFonts w:ascii="宋体" w:hAnsi="宋体" w:eastAsia="宋体"/>
                <w:sz w:val="16"/>
              </w:rPr>
              <w:t>&lt;=3.4万元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2AFF9">
            <w:pPr>
              <w:jc w:val="center"/>
            </w:pPr>
            <w:r>
              <w:rPr>
                <w:rFonts w:ascii="宋体" w:hAnsi="宋体" w:eastAsia="宋体"/>
                <w:sz w:val="16"/>
              </w:rPr>
              <w:t>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9E7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60BB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1D3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96A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2AD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C2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B0BE9">
            <w:pPr>
              <w:jc w:val="center"/>
            </w:pPr>
          </w:p>
        </w:tc>
      </w:tr>
      <w:tr w14:paraId="6113B8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21C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AD4E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6DBA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483A4">
            <w:pPr>
              <w:jc w:val="center"/>
            </w:pPr>
            <w:r>
              <w:rPr>
                <w:rFonts w:ascii="宋体" w:hAnsi="宋体" w:eastAsia="宋体"/>
                <w:sz w:val="16"/>
              </w:rPr>
              <w:t>发表论文数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815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3E43A">
            <w:pPr>
              <w:jc w:val="center"/>
            </w:pPr>
            <w:r>
              <w:rPr>
                <w:rFonts w:ascii="宋体" w:hAnsi="宋体" w:eastAsia="宋体"/>
                <w:sz w:val="16"/>
              </w:rPr>
              <w:t>&gt;=1篇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E4186">
            <w:pPr>
              <w:jc w:val="center"/>
            </w:pPr>
            <w:r>
              <w:rPr>
                <w:rFonts w:ascii="宋体" w:hAnsi="宋体" w:eastAsia="宋体"/>
                <w:sz w:val="16"/>
              </w:rPr>
              <w:t>3篇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54EB4">
            <w:pPr>
              <w:jc w:val="center"/>
            </w:pPr>
            <w:r>
              <w:rPr>
                <w:rFonts w:ascii="宋体" w:hAnsi="宋体" w:eastAsia="宋体"/>
                <w:sz w:val="16"/>
              </w:rPr>
              <w:t>300%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3F17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65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61B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B51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9F3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8C86F">
            <w:pPr>
              <w:jc w:val="center"/>
            </w:pPr>
            <w:r>
              <w:rPr>
                <w:rFonts w:ascii="宋体" w:hAnsi="宋体" w:eastAsia="宋体"/>
                <w:sz w:val="16"/>
              </w:rPr>
              <w:t>偏差原因：项目成员太多，兼顾多项目并行推进，增加了论文产出效率。改进措施：合理分配</w:t>
            </w:r>
            <w:r>
              <w:rPr>
                <w:rFonts w:hint="eastAsia" w:ascii="宋体" w:hAnsi="宋体"/>
                <w:sz w:val="16"/>
                <w:lang w:eastAsia="zh-CN"/>
              </w:rPr>
              <w:t>人员</w:t>
            </w:r>
            <w:r>
              <w:rPr>
                <w:rFonts w:ascii="宋体" w:hAnsi="宋体" w:eastAsia="宋体"/>
                <w:sz w:val="16"/>
              </w:rPr>
              <w:t>。</w:t>
            </w:r>
          </w:p>
        </w:tc>
      </w:tr>
      <w:tr w14:paraId="639E6CC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3DD19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A8C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5923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2D93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79C2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F6459">
            <w:pPr>
              <w:jc w:val="center"/>
            </w:pPr>
            <w:r>
              <w:rPr>
                <w:rFonts w:ascii="宋体" w:hAnsi="宋体" w:eastAsia="宋体"/>
                <w:sz w:val="16"/>
              </w:rPr>
              <w:t>91分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3698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4363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6958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A17B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5FA51F"/>
        </w:tc>
      </w:tr>
    </w:tbl>
    <w:p w14:paraId="2F36CC89">
      <w:r>
        <w:br w:type="page"/>
      </w:r>
    </w:p>
    <w:p w14:paraId="177CAA1E">
      <w:pPr>
        <w:spacing w:line="640" w:lineRule="exact"/>
        <w:ind w:firstLine="640"/>
        <w:jc w:val="both"/>
        <w:outlineLvl w:val="2"/>
      </w:pPr>
      <w:r>
        <w:rPr>
          <w:rFonts w:ascii="黑体" w:hAnsi="黑体" w:eastAsia="黑体"/>
          <w:sz w:val="32"/>
        </w:rPr>
        <w:t>十二、其他需说明的事项</w:t>
      </w:r>
    </w:p>
    <w:p w14:paraId="35126A96">
      <w:pPr>
        <w:spacing w:line="580" w:lineRule="exact"/>
        <w:ind w:firstLine="640"/>
        <w:jc w:val="both"/>
      </w:pPr>
      <w:r>
        <w:rPr>
          <w:rFonts w:ascii="仿宋_GB2312" w:hAnsi="仿宋_GB2312" w:eastAsia="仿宋_GB2312"/>
          <w:b w:val="0"/>
          <w:sz w:val="32"/>
        </w:rPr>
        <w:t>本单位无其他需说明的事项。</w:t>
      </w:r>
    </w:p>
    <w:p w14:paraId="4BC94E91">
      <w:r>
        <w:br w:type="page"/>
      </w:r>
    </w:p>
    <w:p w14:paraId="3E93E757">
      <w:pPr>
        <w:spacing w:line="240" w:lineRule="auto"/>
        <w:jc w:val="center"/>
        <w:outlineLvl w:val="1"/>
      </w:pPr>
      <w:r>
        <w:rPr>
          <w:rFonts w:ascii="黑体" w:hAnsi="黑体" w:eastAsia="黑体"/>
          <w:sz w:val="32"/>
        </w:rPr>
        <w:t>第三部分 专业名词解释</w:t>
      </w:r>
    </w:p>
    <w:p w14:paraId="2FD8A69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A9544D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A9705E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4E4EFE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AE01DE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11B12B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2730A8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69839D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460A86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B816DF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6AF1D1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A7722F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EA4E15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96DE6D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E08B04A">
      <w:r>
        <w:br w:type="page"/>
      </w:r>
    </w:p>
    <w:p w14:paraId="42505B4F">
      <w:pPr>
        <w:spacing w:line="240" w:lineRule="auto"/>
        <w:jc w:val="center"/>
        <w:outlineLvl w:val="1"/>
      </w:pPr>
      <w:r>
        <w:rPr>
          <w:rFonts w:ascii="黑体" w:hAnsi="黑体" w:eastAsia="黑体"/>
          <w:sz w:val="32"/>
        </w:rPr>
        <w:t>第四部分 部门决算报表（见附表）</w:t>
      </w:r>
    </w:p>
    <w:p w14:paraId="2B02DD60">
      <w:pPr>
        <w:spacing w:line="240" w:lineRule="auto"/>
        <w:ind w:firstLine="640"/>
        <w:jc w:val="both"/>
      </w:pPr>
      <w:r>
        <w:rPr>
          <w:rFonts w:ascii="仿宋_GB2312" w:hAnsi="仿宋_GB2312" w:eastAsia="仿宋_GB2312"/>
          <w:b w:val="0"/>
          <w:sz w:val="32"/>
        </w:rPr>
        <w:t>一、《收入支出决算总表》</w:t>
      </w:r>
    </w:p>
    <w:p w14:paraId="54A96EE1">
      <w:pPr>
        <w:spacing w:line="240" w:lineRule="auto"/>
        <w:ind w:firstLine="640"/>
        <w:jc w:val="both"/>
      </w:pPr>
      <w:r>
        <w:rPr>
          <w:rFonts w:ascii="仿宋_GB2312" w:hAnsi="仿宋_GB2312" w:eastAsia="仿宋_GB2312"/>
          <w:b w:val="0"/>
          <w:sz w:val="32"/>
        </w:rPr>
        <w:t>二、《收入决算表》</w:t>
      </w:r>
    </w:p>
    <w:p w14:paraId="161EEE07">
      <w:pPr>
        <w:spacing w:line="240" w:lineRule="auto"/>
        <w:ind w:firstLine="640"/>
        <w:jc w:val="both"/>
      </w:pPr>
      <w:r>
        <w:rPr>
          <w:rFonts w:ascii="仿宋_GB2312" w:hAnsi="仿宋_GB2312" w:eastAsia="仿宋_GB2312"/>
          <w:b w:val="0"/>
          <w:sz w:val="32"/>
        </w:rPr>
        <w:t>三、《支出决算表》</w:t>
      </w:r>
    </w:p>
    <w:p w14:paraId="6C7B5ABC">
      <w:pPr>
        <w:spacing w:line="240" w:lineRule="auto"/>
        <w:ind w:firstLine="640"/>
        <w:jc w:val="both"/>
      </w:pPr>
      <w:r>
        <w:rPr>
          <w:rFonts w:ascii="仿宋_GB2312" w:hAnsi="仿宋_GB2312" w:eastAsia="仿宋_GB2312"/>
          <w:b w:val="0"/>
          <w:sz w:val="32"/>
        </w:rPr>
        <w:t>四、《财政拨款收入支出决算总表》</w:t>
      </w:r>
    </w:p>
    <w:p w14:paraId="73C9C97F">
      <w:pPr>
        <w:spacing w:line="240" w:lineRule="auto"/>
        <w:ind w:firstLine="640"/>
        <w:jc w:val="both"/>
      </w:pPr>
      <w:r>
        <w:rPr>
          <w:rFonts w:ascii="仿宋_GB2312" w:hAnsi="仿宋_GB2312" w:eastAsia="仿宋_GB2312"/>
          <w:b w:val="0"/>
          <w:sz w:val="32"/>
        </w:rPr>
        <w:t>五、《一般公共预算财政拨款支出决算表》</w:t>
      </w:r>
    </w:p>
    <w:p w14:paraId="31E5ABEB">
      <w:pPr>
        <w:spacing w:line="240" w:lineRule="auto"/>
        <w:ind w:firstLine="640"/>
        <w:jc w:val="both"/>
      </w:pPr>
      <w:r>
        <w:rPr>
          <w:rFonts w:ascii="仿宋_GB2312" w:hAnsi="仿宋_GB2312" w:eastAsia="仿宋_GB2312"/>
          <w:b w:val="0"/>
          <w:sz w:val="32"/>
        </w:rPr>
        <w:t>六、《一般公共预算财政拨款基本支出决算表》</w:t>
      </w:r>
    </w:p>
    <w:p w14:paraId="35868F59">
      <w:pPr>
        <w:spacing w:line="240" w:lineRule="auto"/>
        <w:ind w:firstLine="640"/>
        <w:jc w:val="both"/>
      </w:pPr>
      <w:r>
        <w:rPr>
          <w:rFonts w:ascii="仿宋_GB2312" w:hAnsi="仿宋_GB2312" w:eastAsia="仿宋_GB2312"/>
          <w:b w:val="0"/>
          <w:sz w:val="32"/>
        </w:rPr>
        <w:t>七、《政府性基金预算财政拨款收入支出决算表》</w:t>
      </w:r>
    </w:p>
    <w:p w14:paraId="32305598">
      <w:pPr>
        <w:spacing w:line="240" w:lineRule="auto"/>
        <w:ind w:firstLine="640"/>
        <w:jc w:val="both"/>
      </w:pPr>
      <w:r>
        <w:rPr>
          <w:rFonts w:ascii="仿宋_GB2312" w:hAnsi="仿宋_GB2312" w:eastAsia="仿宋_GB2312"/>
          <w:b w:val="0"/>
          <w:sz w:val="32"/>
        </w:rPr>
        <w:t>八、《国有资本经营预算财政拨款收入支出决算表》</w:t>
      </w:r>
    </w:p>
    <w:p w14:paraId="2C595FA9">
      <w:pPr>
        <w:spacing w:line="240" w:lineRule="auto"/>
        <w:ind w:firstLine="640"/>
        <w:jc w:val="both"/>
      </w:pPr>
      <w:r>
        <w:rPr>
          <w:rFonts w:ascii="仿宋_GB2312" w:hAnsi="仿宋_GB2312" w:eastAsia="仿宋_GB2312"/>
          <w:b w:val="0"/>
          <w:sz w:val="32"/>
        </w:rPr>
        <w:t>九、《财政拨款“三公”经费支出决算表》</w:t>
      </w:r>
    </w:p>
    <w:p w14:paraId="415CFC2F">
      <w:pPr>
        <w:spacing w:line="240" w:lineRule="auto"/>
        <w:ind w:firstLine="640"/>
        <w:jc w:val="both"/>
      </w:pPr>
    </w:p>
    <w:p w14:paraId="63211C58">
      <w:pPr>
        <w:spacing w:line="240" w:lineRule="auto"/>
        <w:ind w:firstLine="640"/>
        <w:jc w:val="both"/>
      </w:pPr>
    </w:p>
    <w:p w14:paraId="280FFD0B">
      <w:pPr>
        <w:spacing w:line="240" w:lineRule="auto"/>
        <w:ind w:firstLine="640"/>
        <w:jc w:val="both"/>
      </w:pPr>
    </w:p>
    <w:p w14:paraId="72578AF8">
      <w:pPr>
        <w:spacing w:line="240" w:lineRule="auto"/>
        <w:ind w:firstLine="640"/>
        <w:jc w:val="both"/>
      </w:pPr>
    </w:p>
    <w:p w14:paraId="6F04E90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6">
    <w:panose1 w:val="02000000000000000000"/>
    <w:charset w:val="86"/>
    <w:family w:val="auto"/>
    <w:pitch w:val="default"/>
    <w:sig w:usb0="A00002BF" w:usb1="38CF7CFA" w:usb2="00082016" w:usb3="00000000" w:csb0="00040001" w:csb1="00000000"/>
  </w:font>
  <w:font w:name="WPSEMBED5">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94C017B"/>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2B35CB"/>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5263A8"/>
    <w:rsid w:val="69846A0E"/>
    <w:rsid w:val="69AD798C"/>
    <w:rsid w:val="6B68175F"/>
    <w:rsid w:val="6B8B5C99"/>
    <w:rsid w:val="6CA7198F"/>
    <w:rsid w:val="6D8919A8"/>
    <w:rsid w:val="6E0F7A08"/>
    <w:rsid w:val="6E801ABC"/>
    <w:rsid w:val="6FE70C3C"/>
    <w:rsid w:val="71473612"/>
    <w:rsid w:val="718F7F65"/>
    <w:rsid w:val="73423603"/>
    <w:rsid w:val="737A5923"/>
    <w:rsid w:val="73DE4104"/>
    <w:rsid w:val="73FB6630"/>
    <w:rsid w:val="74CE04EC"/>
    <w:rsid w:val="74E76DCD"/>
    <w:rsid w:val="76660D7C"/>
    <w:rsid w:val="77ED6F44"/>
    <w:rsid w:val="795A0A34"/>
    <w:rsid w:val="7A0D3BC7"/>
    <w:rsid w:val="7A3A3CDB"/>
    <w:rsid w:val="7C4633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6066</Words>
  <Characters>6980</Characters>
  <Lines>0</Lines>
  <Paragraphs>0</Paragraphs>
  <TotalTime>4</TotalTime>
  <ScaleCrop>false</ScaleCrop>
  <LinksUpToDate>false</LinksUpToDate>
  <CharactersWithSpaces>6988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2025-09-25T05:32:20Z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