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霍城县统计局2024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0827E50">
      <w:r>
        <w:br w:type="page"/>
      </w:r>
    </w:p>
    <w:p w14:paraId="0D4CD9CE">
      <w:pPr>
        <w:spacing w:line="640" w:lineRule="exact"/>
        <w:jc w:val="center"/>
        <w:outlineLvl w:val="1"/>
      </w:pPr>
      <w:r>
        <w:rPr>
          <w:rFonts w:ascii="黑体" w:hAnsi="黑体" w:eastAsia="黑体"/>
          <w:sz w:val="32"/>
        </w:rPr>
        <w:t>第一部分 单位概况</w:t>
      </w:r>
    </w:p>
    <w:p w14:paraId="7F420519">
      <w:pPr>
        <w:spacing w:line="640" w:lineRule="exact"/>
        <w:ind w:firstLine="640"/>
        <w:jc w:val="both"/>
        <w:outlineLvl w:val="2"/>
      </w:pPr>
      <w:r>
        <w:rPr>
          <w:rFonts w:ascii="黑体" w:hAnsi="黑体" w:eastAsia="黑体"/>
          <w:sz w:val="32"/>
        </w:rPr>
        <w:t>一、主要职能</w:t>
      </w:r>
    </w:p>
    <w:p w14:paraId="5BC00C03">
      <w:pPr>
        <w:spacing w:line="580" w:lineRule="exact"/>
        <w:ind w:firstLine="640"/>
        <w:jc w:val="both"/>
      </w:pPr>
      <w:r>
        <w:rPr>
          <w:rFonts w:ascii="仿宋_GB2312" w:hAnsi="仿宋_GB2312" w:eastAsia="仿宋_GB2312"/>
          <w:sz w:val="32"/>
        </w:rPr>
        <w:t>依照《中华人民共和国统计法》负责管理全县的统计工作和协调指导县直各部门统计业务，并完成全县辖区内的国民经济核算工作。贯彻国家和自治区颁布实施的统计法规、统计工作规章制度，并监督检查全县各乡、镇，各部门，企事业单位和驻县各调管单位的统计法律、法规的执行情况。</w:t>
      </w:r>
    </w:p>
    <w:p w14:paraId="6036BB83">
      <w:pPr>
        <w:spacing w:line="640" w:lineRule="exact"/>
        <w:ind w:firstLine="640"/>
        <w:jc w:val="both"/>
        <w:outlineLvl w:val="2"/>
      </w:pPr>
      <w:r>
        <w:rPr>
          <w:rFonts w:ascii="黑体" w:hAnsi="黑体" w:eastAsia="黑体"/>
          <w:sz w:val="32"/>
        </w:rPr>
        <w:t>二、机构设置及人员情况</w:t>
      </w:r>
    </w:p>
    <w:p w14:paraId="0462C1EE">
      <w:pPr>
        <w:spacing w:line="580" w:lineRule="exact"/>
        <w:ind w:firstLine="640"/>
        <w:jc w:val="both"/>
      </w:pPr>
      <w:r>
        <w:rPr>
          <w:rFonts w:ascii="仿宋_GB2312" w:hAnsi="仿宋_GB2312" w:eastAsia="仿宋_GB2312"/>
          <w:sz w:val="32"/>
        </w:rPr>
        <w:t>霍城县统计局2024年度，实有人数17人，其中：在职人员11人，增加0人；离休人员0人，增加0人；退休人员6人,增加0人。</w:t>
      </w:r>
    </w:p>
    <w:p w14:paraId="0F442A29">
      <w:pPr>
        <w:spacing w:line="580" w:lineRule="exact"/>
        <w:ind w:firstLine="640"/>
        <w:jc w:val="both"/>
      </w:pPr>
      <w:r>
        <w:rPr>
          <w:rFonts w:ascii="仿宋_GB2312" w:hAnsi="仿宋_GB2312" w:eastAsia="仿宋_GB2312"/>
          <w:sz w:val="32"/>
        </w:rPr>
        <w:t>霍城县统计局无下属预算单位，下设2个科室，分别是：财务室、综合办公室。</w:t>
      </w:r>
    </w:p>
    <w:p w14:paraId="465F035C">
      <w:r>
        <w:br w:type="page"/>
      </w:r>
    </w:p>
    <w:p w14:paraId="3B61A2CE">
      <w:pPr>
        <w:spacing w:line="240" w:lineRule="auto"/>
        <w:jc w:val="center"/>
        <w:outlineLvl w:val="1"/>
      </w:pPr>
      <w:r>
        <w:rPr>
          <w:rFonts w:ascii="黑体" w:hAnsi="黑体" w:eastAsia="黑体"/>
          <w:sz w:val="32"/>
        </w:rPr>
        <w:t>第二部分 部门决算情况说明</w:t>
      </w:r>
    </w:p>
    <w:p w14:paraId="52312A32">
      <w:pPr>
        <w:spacing w:line="640" w:lineRule="exact"/>
        <w:ind w:firstLine="640"/>
        <w:jc w:val="both"/>
        <w:outlineLvl w:val="2"/>
      </w:pPr>
      <w:r>
        <w:rPr>
          <w:rFonts w:ascii="黑体" w:hAnsi="黑体" w:eastAsia="黑体"/>
          <w:sz w:val="32"/>
        </w:rPr>
        <w:t>一、收入支出决算总体情况说明</w:t>
      </w:r>
    </w:p>
    <w:p w14:paraId="53C94BC6">
      <w:pPr>
        <w:spacing w:line="580" w:lineRule="exact"/>
        <w:ind w:firstLine="640"/>
        <w:jc w:val="both"/>
      </w:pPr>
      <w:r>
        <w:rPr>
          <w:rFonts w:ascii="仿宋_GB2312" w:hAnsi="仿宋_GB2312" w:eastAsia="仿宋_GB2312"/>
          <w:b/>
          <w:sz w:val="32"/>
        </w:rPr>
        <w:t>2024年度收入总计298.02万元，</w:t>
      </w:r>
      <w:r>
        <w:rPr>
          <w:rFonts w:ascii="仿宋_GB2312" w:hAnsi="仿宋_GB2312" w:eastAsia="仿宋_GB2312"/>
          <w:b w:val="0"/>
          <w:sz w:val="32"/>
        </w:rPr>
        <w:t>其中：本年收入合计298.02万元，使用非财政拨款结余（含专用结余）0.00万元，年初结转和结余0.00万元。</w:t>
      </w:r>
    </w:p>
    <w:p w14:paraId="0E5077CB">
      <w:pPr>
        <w:spacing w:line="580" w:lineRule="exact"/>
        <w:ind w:firstLine="640"/>
        <w:jc w:val="both"/>
      </w:pPr>
      <w:r>
        <w:rPr>
          <w:rFonts w:ascii="仿宋_GB2312" w:hAnsi="仿宋_GB2312" w:eastAsia="仿宋_GB2312"/>
          <w:b/>
          <w:sz w:val="32"/>
        </w:rPr>
        <w:t>2024年度支出总计298.02万元，</w:t>
      </w:r>
      <w:r>
        <w:rPr>
          <w:rFonts w:ascii="仿宋_GB2312" w:hAnsi="仿宋_GB2312" w:eastAsia="仿宋_GB2312"/>
          <w:b w:val="0"/>
          <w:sz w:val="32"/>
        </w:rPr>
        <w:t>其中：本年支出合计298.02万元，结余分配0.00万元，年末结转和结余0.00万元。</w:t>
      </w:r>
    </w:p>
    <w:p w14:paraId="71598014">
      <w:pPr>
        <w:spacing w:line="580" w:lineRule="exact"/>
        <w:ind w:firstLine="640"/>
        <w:jc w:val="both"/>
      </w:pPr>
      <w:r>
        <w:rPr>
          <w:rFonts w:ascii="仿宋_GB2312" w:hAnsi="仿宋_GB2312" w:eastAsia="仿宋_GB2312"/>
          <w:b w:val="0"/>
          <w:sz w:val="32"/>
        </w:rPr>
        <w:t>收入支出总体与上年相比，增加57.95万元，增长24.14%，主要原因是：1、本年增加经济工作奖励金；2、本年增加第五次经济普查普查员补助经费；3、本年城乡住户调查补助经费增加；4、在职人员工资调整，社保、公积金增加，人员经费增加。</w:t>
      </w:r>
    </w:p>
    <w:p w14:paraId="0F6C47B9">
      <w:pPr>
        <w:spacing w:line="640" w:lineRule="exact"/>
        <w:ind w:firstLine="640"/>
        <w:jc w:val="both"/>
        <w:outlineLvl w:val="2"/>
      </w:pPr>
      <w:r>
        <w:rPr>
          <w:rFonts w:ascii="黑体" w:hAnsi="黑体" w:eastAsia="黑体"/>
          <w:sz w:val="32"/>
        </w:rPr>
        <w:t>二、收入决算情况说明</w:t>
      </w:r>
    </w:p>
    <w:p w14:paraId="08EF86DB">
      <w:pPr>
        <w:spacing w:line="580" w:lineRule="exact"/>
        <w:ind w:firstLine="640"/>
        <w:jc w:val="both"/>
      </w:pPr>
      <w:r>
        <w:rPr>
          <w:rFonts w:ascii="仿宋_GB2312" w:hAnsi="仿宋_GB2312" w:eastAsia="仿宋_GB2312"/>
          <w:b/>
          <w:sz w:val="32"/>
        </w:rPr>
        <w:t>本年收入298.02万元，</w:t>
      </w:r>
      <w:r>
        <w:rPr>
          <w:rFonts w:ascii="仿宋_GB2312" w:hAnsi="仿宋_GB2312" w:eastAsia="仿宋_GB2312"/>
          <w:b w:val="0"/>
          <w:sz w:val="32"/>
        </w:rPr>
        <w:t>其中：财政拨款收入277.32万元，占93.05%；上级补助收入0.00万元，占0.00%；事业收入0.00万元，占0.00%；经营收入0.00万元，占0.00%；附属单位上缴收入0.00万元，占0.00%；其他收入20.70万元，占6.95%。</w:t>
      </w:r>
    </w:p>
    <w:p w14:paraId="6FECF822">
      <w:pPr>
        <w:spacing w:line="640" w:lineRule="exact"/>
        <w:ind w:firstLine="640"/>
        <w:jc w:val="both"/>
        <w:outlineLvl w:val="2"/>
      </w:pPr>
      <w:r>
        <w:rPr>
          <w:rFonts w:ascii="黑体" w:hAnsi="黑体" w:eastAsia="黑体"/>
          <w:sz w:val="32"/>
        </w:rPr>
        <w:t>三、支出决算情况说明</w:t>
      </w:r>
    </w:p>
    <w:p w14:paraId="7EFCDAEF">
      <w:pPr>
        <w:spacing w:line="580" w:lineRule="exact"/>
        <w:ind w:firstLine="640"/>
        <w:jc w:val="both"/>
      </w:pPr>
      <w:r>
        <w:rPr>
          <w:rFonts w:ascii="仿宋_GB2312" w:hAnsi="仿宋_GB2312" w:eastAsia="仿宋_GB2312"/>
          <w:b/>
          <w:sz w:val="32"/>
        </w:rPr>
        <w:t>本年支出298.02万元，</w:t>
      </w:r>
      <w:r>
        <w:rPr>
          <w:rFonts w:ascii="仿宋_GB2312" w:hAnsi="仿宋_GB2312" w:eastAsia="仿宋_GB2312"/>
          <w:b w:val="0"/>
          <w:sz w:val="32"/>
        </w:rPr>
        <w:t>其中：基本支出217.02万元，占72.82%；项目支出81.00万元，占27.18%；上缴上级支出0.00万元，占0.00%；经营支出0.00万元，占0.00%；对附属单位补助支出0.00万元，占0.00%。</w:t>
      </w:r>
    </w:p>
    <w:p w14:paraId="2247109E">
      <w:pPr>
        <w:spacing w:line="640" w:lineRule="exact"/>
        <w:ind w:firstLine="640"/>
        <w:jc w:val="both"/>
        <w:outlineLvl w:val="2"/>
      </w:pPr>
      <w:r>
        <w:rPr>
          <w:rFonts w:ascii="黑体" w:hAnsi="黑体" w:eastAsia="黑体"/>
          <w:sz w:val="32"/>
        </w:rPr>
        <w:t>四、财政拨款收入支出决算总体情况说明</w:t>
      </w:r>
    </w:p>
    <w:p w14:paraId="58B745ED">
      <w:pPr>
        <w:spacing w:line="580" w:lineRule="exact"/>
        <w:ind w:firstLine="640"/>
        <w:jc w:val="both"/>
      </w:pPr>
      <w:r>
        <w:rPr>
          <w:rFonts w:ascii="仿宋_GB2312" w:hAnsi="仿宋_GB2312" w:eastAsia="仿宋_GB2312"/>
          <w:b/>
          <w:sz w:val="32"/>
        </w:rPr>
        <w:t>2024年度财政拨款收入总计277.32万元，</w:t>
      </w:r>
      <w:r>
        <w:rPr>
          <w:rFonts w:ascii="仿宋_GB2312" w:hAnsi="仿宋_GB2312" w:eastAsia="仿宋_GB2312"/>
          <w:b w:val="0"/>
          <w:sz w:val="32"/>
        </w:rPr>
        <w:t>其中：年初财政拨款结转和结余0.00万元，本年财政拨款收入277.32万元。</w:t>
      </w:r>
      <w:r>
        <w:rPr>
          <w:rFonts w:ascii="仿宋_GB2312" w:hAnsi="仿宋_GB2312" w:eastAsia="仿宋_GB2312"/>
          <w:b/>
          <w:sz w:val="32"/>
        </w:rPr>
        <w:t>财政拨款支出总计277.32万元，</w:t>
      </w:r>
      <w:r>
        <w:rPr>
          <w:rFonts w:ascii="仿宋_GB2312" w:hAnsi="仿宋_GB2312" w:eastAsia="仿宋_GB2312"/>
          <w:b w:val="0"/>
          <w:sz w:val="32"/>
        </w:rPr>
        <w:t>其中：年末财政拨款结转和结余0.00万元，本年财政拨款支出277.32万元。</w:t>
      </w:r>
    </w:p>
    <w:p w14:paraId="747F9D6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44.14万元，增长18.93%，主要原因是：1、本年增加经济工作奖励金；2、本年增加第五次经济普查普查员补助经费；3、本年城乡住户调查补助经费增加；4、在职人员工资调整，社保、公积金增加，人员经费增加。</w:t>
      </w:r>
      <w:r>
        <w:rPr>
          <w:rFonts w:ascii="仿宋_GB2312" w:hAnsi="仿宋_GB2312" w:eastAsia="仿宋_GB2312"/>
          <w:b/>
          <w:sz w:val="32"/>
        </w:rPr>
        <w:t>与年初预算相比，</w:t>
      </w:r>
      <w:r>
        <w:rPr>
          <w:rFonts w:ascii="仿宋_GB2312" w:hAnsi="仿宋_GB2312" w:eastAsia="仿宋_GB2312"/>
          <w:b w:val="0"/>
          <w:sz w:val="32"/>
        </w:rPr>
        <w:t>年初预算数180.30万元，决算数277.32万元，预决算差异率53.81%，主要原因是：年中追加经济工作奖励、第五次经济普查普查员补助经费、城乡住户调查补助经费；年中追加人员工资、社保、公积金基数调增部分资金，导致预决算存在差异。</w:t>
      </w:r>
    </w:p>
    <w:p w14:paraId="10921E8B">
      <w:pPr>
        <w:spacing w:line="640" w:lineRule="exact"/>
        <w:ind w:firstLine="640"/>
        <w:jc w:val="both"/>
        <w:outlineLvl w:val="2"/>
      </w:pPr>
      <w:r>
        <w:rPr>
          <w:rFonts w:ascii="黑体" w:hAnsi="黑体" w:eastAsia="黑体"/>
          <w:sz w:val="32"/>
        </w:rPr>
        <w:t>五、一般公共预算财政拨款支出决算情况说明</w:t>
      </w:r>
    </w:p>
    <w:p w14:paraId="59293728">
      <w:pPr>
        <w:spacing w:line="640" w:lineRule="exact"/>
        <w:ind w:firstLine="640"/>
        <w:jc w:val="both"/>
        <w:outlineLvl w:val="3"/>
      </w:pPr>
      <w:r>
        <w:rPr>
          <w:rFonts w:ascii="楷体_GB2312" w:hAnsi="楷体_GB2312" w:eastAsia="楷体_GB2312"/>
          <w:b/>
          <w:sz w:val="32"/>
        </w:rPr>
        <w:t>（一）一般公共预算财政拨款支出决算总体情况</w:t>
      </w:r>
    </w:p>
    <w:p w14:paraId="1D2B9B61">
      <w:pPr>
        <w:spacing w:line="580" w:lineRule="exact"/>
        <w:ind w:firstLine="640"/>
        <w:jc w:val="both"/>
      </w:pPr>
      <w:r>
        <w:rPr>
          <w:rFonts w:ascii="仿宋_GB2312" w:hAnsi="仿宋_GB2312" w:eastAsia="仿宋_GB2312"/>
          <w:b/>
          <w:sz w:val="32"/>
        </w:rPr>
        <w:t>2024年度一般公共预算财政拨款支出277.32万元，</w:t>
      </w:r>
      <w:r>
        <w:rPr>
          <w:rFonts w:ascii="仿宋_GB2312" w:hAnsi="仿宋_GB2312" w:eastAsia="仿宋_GB2312"/>
          <w:b w:val="0"/>
          <w:sz w:val="32"/>
        </w:rPr>
        <w:t>占本年支出合计的93.05%。</w:t>
      </w:r>
      <w:r>
        <w:rPr>
          <w:rFonts w:ascii="仿宋_GB2312" w:hAnsi="仿宋_GB2312" w:eastAsia="仿宋_GB2312"/>
          <w:b/>
          <w:sz w:val="32"/>
        </w:rPr>
        <w:t>与上年相比，</w:t>
      </w:r>
      <w:r>
        <w:rPr>
          <w:rFonts w:ascii="仿宋_GB2312" w:hAnsi="仿宋_GB2312" w:eastAsia="仿宋_GB2312"/>
          <w:b w:val="0"/>
          <w:sz w:val="32"/>
        </w:rPr>
        <w:t>增加44.14万元，增长18.93%，主要原因是：1、本年增加经济工作奖励金；2、本年增加第五次经济普查普查员补助经费；3、本年城乡住户调查补助经费增加；4、在职人员工资调整，社保、公积金增加，人员经费增加。</w:t>
      </w:r>
      <w:r>
        <w:rPr>
          <w:rFonts w:ascii="仿宋_GB2312" w:hAnsi="仿宋_GB2312" w:eastAsia="仿宋_GB2312"/>
          <w:b/>
          <w:sz w:val="32"/>
        </w:rPr>
        <w:t>与年初预算相比,</w:t>
      </w:r>
      <w:r>
        <w:rPr>
          <w:rFonts w:ascii="仿宋_GB2312" w:hAnsi="仿宋_GB2312" w:eastAsia="仿宋_GB2312"/>
          <w:b w:val="0"/>
          <w:sz w:val="32"/>
        </w:rPr>
        <w:t>年初预算数180.30万元，决算数277.32万元，预决算差异率53.81%，主要原因是：年中追加经济工作奖励、第五次经济普查普查员补助经费、城乡住户调查补助经费；年中追加人员工资、社保、公积金基数调增部分资金，导致预决算存在差异。</w:t>
      </w:r>
    </w:p>
    <w:p w14:paraId="5AE096C9">
      <w:pPr>
        <w:spacing w:line="640" w:lineRule="exact"/>
        <w:ind w:firstLine="640"/>
        <w:jc w:val="both"/>
        <w:outlineLvl w:val="3"/>
      </w:pPr>
      <w:r>
        <w:rPr>
          <w:rFonts w:ascii="楷体_GB2312" w:hAnsi="楷体_GB2312" w:eastAsia="楷体_GB2312"/>
          <w:b/>
          <w:sz w:val="32"/>
        </w:rPr>
        <w:t>（二）一般公共预算财政拨款支出决算结构情况</w:t>
      </w:r>
    </w:p>
    <w:p w14:paraId="592F15DE">
      <w:pPr>
        <w:spacing w:line="580" w:lineRule="exact"/>
        <w:ind w:firstLine="640"/>
        <w:jc w:val="both"/>
      </w:pPr>
      <w:r>
        <w:rPr>
          <w:rFonts w:ascii="仿宋_GB2312" w:hAnsi="仿宋_GB2312" w:eastAsia="仿宋_GB2312"/>
          <w:b w:val="0"/>
          <w:sz w:val="32"/>
        </w:rPr>
        <w:t>1.一般公共服务支出(类)228.47万元,占82.38%。</w:t>
      </w:r>
    </w:p>
    <w:p w14:paraId="15AD4F15">
      <w:pPr>
        <w:spacing w:line="580" w:lineRule="exact"/>
        <w:ind w:firstLine="640"/>
        <w:jc w:val="both"/>
      </w:pPr>
      <w:r>
        <w:rPr>
          <w:rFonts w:ascii="仿宋_GB2312" w:hAnsi="仿宋_GB2312" w:eastAsia="仿宋_GB2312"/>
          <w:b w:val="0"/>
          <w:sz w:val="32"/>
        </w:rPr>
        <w:t>2.社会保障和就业支出(类)23.52万元,占8.48%。</w:t>
      </w:r>
    </w:p>
    <w:p w14:paraId="768846FC">
      <w:pPr>
        <w:spacing w:line="580" w:lineRule="exact"/>
        <w:ind w:firstLine="640"/>
        <w:jc w:val="both"/>
      </w:pPr>
      <w:r>
        <w:rPr>
          <w:rFonts w:ascii="仿宋_GB2312" w:hAnsi="仿宋_GB2312" w:eastAsia="仿宋_GB2312"/>
          <w:b w:val="0"/>
          <w:sz w:val="32"/>
        </w:rPr>
        <w:t>3.卫生健康支出(类)9.83万元,占3.54%。</w:t>
      </w:r>
    </w:p>
    <w:p w14:paraId="675DE85F">
      <w:pPr>
        <w:spacing w:line="580" w:lineRule="exact"/>
        <w:ind w:firstLine="640"/>
        <w:jc w:val="both"/>
      </w:pPr>
      <w:r>
        <w:rPr>
          <w:rFonts w:ascii="仿宋_GB2312" w:hAnsi="仿宋_GB2312" w:eastAsia="仿宋_GB2312"/>
          <w:b w:val="0"/>
          <w:sz w:val="32"/>
        </w:rPr>
        <w:t>4.住房保障支出(类)15.50万元,占5.59%。</w:t>
      </w:r>
    </w:p>
    <w:p w14:paraId="6408DF03">
      <w:pPr>
        <w:spacing w:line="640" w:lineRule="exact"/>
        <w:ind w:firstLine="640"/>
        <w:jc w:val="both"/>
        <w:outlineLvl w:val="3"/>
      </w:pPr>
      <w:r>
        <w:rPr>
          <w:rFonts w:ascii="楷体_GB2312" w:hAnsi="楷体_GB2312" w:eastAsia="楷体_GB2312"/>
          <w:b/>
          <w:sz w:val="32"/>
        </w:rPr>
        <w:t>（三）一般公共预算财政拨款支出决算具体情况</w:t>
      </w:r>
    </w:p>
    <w:p w14:paraId="6DBADC61">
      <w:pPr>
        <w:spacing w:line="580" w:lineRule="exact"/>
        <w:ind w:firstLine="640"/>
        <w:jc w:val="both"/>
      </w:pPr>
      <w:r>
        <w:rPr>
          <w:rFonts w:ascii="仿宋_GB2312" w:hAnsi="仿宋_GB2312" w:eastAsia="仿宋_GB2312"/>
          <w:b w:val="0"/>
          <w:sz w:val="32"/>
        </w:rPr>
        <w:t>1.一般公共服务支出(类)统计信息事务(款)行政运行(项):支出决算数为153.17万元，比上年决算增加15.36万元，增长11.15%,主要原因是：本年增加经济工作奖励金；在职人员工资调整，社保、公积金，人员经费增加。</w:t>
      </w:r>
    </w:p>
    <w:p w14:paraId="743EB081">
      <w:pPr>
        <w:spacing w:line="580" w:lineRule="exact"/>
        <w:ind w:firstLine="640"/>
        <w:jc w:val="both"/>
      </w:pPr>
      <w:r>
        <w:rPr>
          <w:rFonts w:ascii="仿宋_GB2312" w:hAnsi="仿宋_GB2312" w:eastAsia="仿宋_GB2312"/>
          <w:b w:val="0"/>
          <w:sz w:val="32"/>
        </w:rPr>
        <w:t>2.一般公共服务支出(类)统计信息事务(款)专项统计业务(项):支出决算数为0.00万元，比上年决算减少35.04万元，下降100.00%,主要原因是：本年未安排专项经费支出。</w:t>
      </w:r>
    </w:p>
    <w:p w14:paraId="4BB23986">
      <w:pPr>
        <w:spacing w:line="580" w:lineRule="exact"/>
        <w:ind w:firstLine="640"/>
        <w:jc w:val="both"/>
      </w:pPr>
      <w:r>
        <w:rPr>
          <w:rFonts w:ascii="仿宋_GB2312" w:hAnsi="仿宋_GB2312" w:eastAsia="仿宋_GB2312"/>
          <w:b w:val="0"/>
          <w:sz w:val="32"/>
        </w:rPr>
        <w:t>3.一般公共服务支出(类)统计信息事务(款)专项普查活动(项):支出决算数为39.13万元，比上年决算增加34.48万元，增长741.51%,主要原因是：本年增加第五次全国经济普查补助经费。</w:t>
      </w:r>
    </w:p>
    <w:p w14:paraId="02DA744F">
      <w:pPr>
        <w:spacing w:line="580" w:lineRule="exact"/>
        <w:ind w:firstLine="640"/>
        <w:jc w:val="both"/>
      </w:pPr>
      <w:r>
        <w:rPr>
          <w:rFonts w:ascii="仿宋_GB2312" w:hAnsi="仿宋_GB2312" w:eastAsia="仿宋_GB2312"/>
          <w:b w:val="0"/>
          <w:sz w:val="32"/>
        </w:rPr>
        <w:t>4.一般公共服务支出(类)统计信息事务(款)统计抽样调查(项):支出决算数为36.17万元，比上年决算增加30.96万元，增长594.24%,主要原因是：本年增加城乡住户调查补助经费。</w:t>
      </w:r>
    </w:p>
    <w:p w14:paraId="3E63A342">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5.社会保障和就业支出(类)行政事业单位养老支出(款)行政单位离退休(项):支出决算数为4.35万元，比上年决算增加2.76万元，增长173.58%,主要原因是：本年退休人员绩效奖增加。</w:t>
      </w:r>
    </w:p>
    <w:p w14:paraId="508FFAE8">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19.17万元，比上年决算增加2.63万元，增长15.90%,主要原因是：本年在职人员工资基数调增，养老缴费基数上涨，相应支出增加。</w:t>
      </w:r>
    </w:p>
    <w:p w14:paraId="510CBC7B">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0.00万元，比上年决算减少6.96万元，下降100.00%,主要原因是：本年无新增退休人员，职业年金缴费较上年减少。</w:t>
      </w:r>
    </w:p>
    <w:p w14:paraId="671C76DB">
      <w:pPr>
        <w:spacing w:line="580" w:lineRule="exact"/>
        <w:ind w:firstLine="640"/>
        <w:jc w:val="both"/>
      </w:pPr>
      <w:r>
        <w:rPr>
          <w:rFonts w:ascii="仿宋_GB2312" w:hAnsi="仿宋_GB2312" w:eastAsia="仿宋_GB2312"/>
          <w:b w:val="0"/>
          <w:sz w:val="32"/>
        </w:rPr>
        <w:t>8.卫生健康支出(类)行政事业单位医疗(款)行政单位医疗(项):支出决算数为9.59万元，比上年决算减少1.68万元，下降14.91%,主要原因是：因退休人员医疗保险制度改革，退休人员基本医疗不再由单位缴纳，导致经费较上年减少。</w:t>
      </w:r>
    </w:p>
    <w:p w14:paraId="020EAD9A">
      <w:pPr>
        <w:spacing w:line="580" w:lineRule="exact"/>
        <w:ind w:firstLine="640"/>
        <w:jc w:val="both"/>
      </w:pPr>
      <w:r>
        <w:rPr>
          <w:rFonts w:ascii="仿宋_GB2312" w:hAnsi="仿宋_GB2312" w:eastAsia="仿宋_GB2312"/>
          <w:b w:val="0"/>
          <w:sz w:val="32"/>
        </w:rPr>
        <w:t>9.卫生健康支出(类)行政事业单位医疗(款)公务员医疗补助(项):支出决算数为0.24万元，比上年决算减少0.32万元，下降57.14%,主要原因是：因退休人员医疗保险制度改革，退休人员基本医疗不再由单位缴纳，导致经费较上年减少。</w:t>
      </w:r>
    </w:p>
    <w:p w14:paraId="0A641064">
      <w:pPr>
        <w:spacing w:line="580" w:lineRule="exact"/>
        <w:ind w:firstLine="640"/>
        <w:jc w:val="both"/>
      </w:pPr>
      <w:r>
        <w:rPr>
          <w:rFonts w:ascii="仿宋_GB2312" w:hAnsi="仿宋_GB2312" w:eastAsia="仿宋_GB2312"/>
          <w:b w:val="0"/>
          <w:sz w:val="32"/>
        </w:rPr>
        <w:t>10.住房保障支出(类)住房改革支出(款)住房公积金(项):支出决算数为15.50万元，比上年决算增加1.95万元，增长14.39%,主要原因是：本年在职人员工资基数调增，公积金缴费基数上涨，相应支出增加。</w:t>
      </w:r>
    </w:p>
    <w:p w14:paraId="337C3CBC">
      <w:pPr>
        <w:spacing w:line="640" w:lineRule="exact"/>
        <w:ind w:firstLine="640"/>
        <w:jc w:val="both"/>
        <w:outlineLvl w:val="2"/>
      </w:pPr>
      <w:r>
        <w:rPr>
          <w:rFonts w:ascii="黑体" w:hAnsi="黑体" w:eastAsia="黑体"/>
          <w:sz w:val="32"/>
        </w:rPr>
        <w:t>六、一般公共预算财政拨款基本支出决算情况说明</w:t>
      </w:r>
    </w:p>
    <w:p w14:paraId="26E09612">
      <w:pPr>
        <w:spacing w:line="580" w:lineRule="exact"/>
        <w:ind w:firstLine="640"/>
        <w:jc w:val="both"/>
      </w:pPr>
      <w:r>
        <w:rPr>
          <w:rFonts w:ascii="仿宋_GB2312" w:hAnsi="仿宋_GB2312" w:eastAsia="仿宋_GB2312"/>
          <w:b w:val="0"/>
          <w:sz w:val="32"/>
        </w:rPr>
        <w:t>2024年度一般公共预算财政拨款基本支出202.02万元，其中：</w:t>
      </w:r>
      <w:r>
        <w:rPr>
          <w:rFonts w:ascii="仿宋_GB2312" w:hAnsi="仿宋_GB2312" w:eastAsia="仿宋_GB2312"/>
          <w:b/>
          <w:sz w:val="32"/>
        </w:rPr>
        <w:t>人员经费186.96万元，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包括：基本工资、津贴补贴、奖金、机关事业单位基本养老保险缴费、职工基本医疗保险缴费、公务员医疗补助缴费、其他社会保障缴费、住房公积金、其他工资福利支出、退休费、生活补助。</w:t>
      </w:r>
    </w:p>
    <w:p w14:paraId="589FCC0D">
      <w:pPr>
        <w:spacing w:line="580" w:lineRule="exact"/>
        <w:ind w:firstLine="640"/>
        <w:jc w:val="both"/>
      </w:pPr>
      <w:r>
        <w:rPr>
          <w:rFonts w:ascii="仿宋_GB2312" w:hAnsi="仿宋_GB2312" w:eastAsia="仿宋_GB2312"/>
          <w:b/>
          <w:sz w:val="32"/>
        </w:rPr>
        <w:t>公用经费15.06万元，</w:t>
      </w:r>
      <w:r>
        <w:rPr>
          <w:rFonts w:ascii="仿宋_GB2312" w:hAnsi="仿宋_GB2312" w:eastAsia="仿宋_GB2312"/>
          <w:b w:val="0"/>
          <w:sz w:val="32"/>
        </w:rPr>
        <w:t>包括：办公费、邮电费、差旅费、培训费、劳务费、工会经费、公务用车运行维护费、办公设备购置。</w:t>
      </w:r>
    </w:p>
    <w:p w14:paraId="450AF737">
      <w:pPr>
        <w:spacing w:line="640" w:lineRule="exact"/>
        <w:ind w:firstLine="640"/>
        <w:jc w:val="both"/>
        <w:outlineLvl w:val="2"/>
      </w:pPr>
      <w:r>
        <w:rPr>
          <w:rFonts w:ascii="黑体" w:hAnsi="黑体" w:eastAsia="黑体"/>
          <w:sz w:val="32"/>
        </w:rPr>
        <w:t>七、政府性基金预算财政拨款收入支出决算情况说明</w:t>
      </w:r>
    </w:p>
    <w:p w14:paraId="41F4FF55">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466EAE6">
      <w:pPr>
        <w:spacing w:line="640" w:lineRule="exact"/>
        <w:ind w:firstLine="640"/>
        <w:jc w:val="both"/>
        <w:outlineLvl w:val="2"/>
      </w:pPr>
      <w:r>
        <w:rPr>
          <w:rFonts w:ascii="黑体" w:hAnsi="黑体" w:eastAsia="黑体"/>
          <w:sz w:val="32"/>
        </w:rPr>
        <w:t>八、国有资本经营预算财政拨款收入支出决算情况说明</w:t>
      </w:r>
    </w:p>
    <w:p w14:paraId="19FFC87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2F5C915">
      <w:pPr>
        <w:spacing w:line="640" w:lineRule="exact"/>
        <w:ind w:firstLine="640"/>
        <w:jc w:val="both"/>
        <w:outlineLvl w:val="2"/>
      </w:pPr>
      <w:r>
        <w:rPr>
          <w:rFonts w:ascii="黑体" w:hAnsi="黑体" w:eastAsia="黑体"/>
          <w:sz w:val="32"/>
        </w:rPr>
        <w:t>九、财政拨款“三公”经费支出决算情况说明</w:t>
      </w:r>
    </w:p>
    <w:p w14:paraId="220A335F">
      <w:pPr>
        <w:spacing w:line="580" w:lineRule="exact"/>
        <w:ind w:firstLine="640"/>
        <w:jc w:val="both"/>
      </w:pPr>
      <w:r>
        <w:rPr>
          <w:rFonts w:ascii="仿宋_GB2312" w:hAnsi="仿宋_GB2312" w:eastAsia="仿宋_GB2312"/>
          <w:b/>
          <w:sz w:val="32"/>
        </w:rPr>
        <w:t>2024年度财政拨款“三公”经费支出2.34万元，</w:t>
      </w:r>
      <w:r>
        <w:rPr>
          <w:rFonts w:ascii="仿宋_GB2312" w:hAnsi="仿宋_GB2312" w:eastAsia="仿宋_GB2312"/>
          <w:b w:val="0"/>
          <w:sz w:val="32"/>
        </w:rPr>
        <w:t>比上年增加1.54万元，增长192.50%，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2.34万元，占100.00%，比上年增加1.54万元，增长192.50%，主要原因是：本年因业务需求，用车次数增加，燃油费增加，导致公务用车运行维护费较上年增加。公务接待费支出0.00万元，占0.00%，比上年增加0.00万元，增长0.00%，主要原因是：2023年与2024年均未安排公务接待费支出。</w:t>
      </w:r>
    </w:p>
    <w:p w14:paraId="6B66614E">
      <w:pPr>
        <w:spacing w:line="580" w:lineRule="exact"/>
        <w:ind w:firstLine="640"/>
        <w:jc w:val="both"/>
      </w:pPr>
      <w:r>
        <w:rPr>
          <w:rFonts w:ascii="仿宋_GB2312" w:hAnsi="仿宋_GB2312" w:eastAsia="仿宋_GB2312"/>
          <w:b/>
          <w:sz w:val="32"/>
        </w:rPr>
        <w:t>具体情况如下：</w:t>
      </w:r>
    </w:p>
    <w:p w14:paraId="386D8581">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86CB380">
      <w:pPr>
        <w:spacing w:line="580" w:lineRule="exact"/>
        <w:ind w:firstLine="640"/>
        <w:jc w:val="both"/>
      </w:pPr>
      <w:r>
        <w:rPr>
          <w:rFonts w:ascii="仿宋_GB2312" w:hAnsi="仿宋_GB2312" w:eastAsia="仿宋_GB2312"/>
          <w:b w:val="0"/>
          <w:sz w:val="32"/>
        </w:rPr>
        <w:t>公务用车购置及运行维护费2.34万元，其中：公务用车购置费0.00万元，公务用车运行维护费2.34万元。公务用车运行维护费开支内容包括车辆加油费、维修费、保险费、过路费。公务用车购置数0辆，公务用车保有量1辆。国有资产占用情况中固定资产车辆1辆，与公务用车保有量差异原因是：本单位固定资产车辆与公务用车保有量一致无差异。</w:t>
      </w:r>
    </w:p>
    <w:p w14:paraId="569B2B36">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30E62AA">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2.34万元，决算数2.34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2.34万元，决算数2.34万元，预决算差异率0.00%，主要原因是：严格按照预算执行，预决算无差异。公务接待费全年预算数0.00万元，决算数0.00万元，预决算差异率0.00%，主要原因是：本单位无公务接待费。</w:t>
      </w:r>
    </w:p>
    <w:p w14:paraId="6AD2A356">
      <w:pPr>
        <w:spacing w:line="640" w:lineRule="exact"/>
        <w:ind w:firstLine="640"/>
        <w:jc w:val="both"/>
        <w:outlineLvl w:val="2"/>
      </w:pPr>
      <w:r>
        <w:rPr>
          <w:rFonts w:ascii="黑体" w:hAnsi="黑体" w:eastAsia="黑体"/>
          <w:sz w:val="32"/>
        </w:rPr>
        <w:t>十、其他重要事项的情况说明</w:t>
      </w:r>
    </w:p>
    <w:p w14:paraId="69F093A6">
      <w:pPr>
        <w:spacing w:line="640" w:lineRule="exact"/>
        <w:ind w:firstLine="640"/>
        <w:jc w:val="both"/>
        <w:outlineLvl w:val="3"/>
      </w:pPr>
      <w:r>
        <w:rPr>
          <w:rFonts w:ascii="楷体_GB2312" w:hAnsi="楷体_GB2312" w:eastAsia="楷体_GB2312"/>
          <w:b/>
          <w:sz w:val="32"/>
        </w:rPr>
        <w:t>（一）机关运行经费及公用经费支出情况</w:t>
      </w:r>
    </w:p>
    <w:p w14:paraId="4CB45E30">
      <w:pPr>
        <w:spacing w:line="580" w:lineRule="exact"/>
        <w:ind w:firstLine="640"/>
        <w:jc w:val="both"/>
      </w:pPr>
      <w:r>
        <w:rPr>
          <w:rFonts w:ascii="仿宋_GB2312" w:hAnsi="仿宋_GB2312" w:eastAsia="仿宋_GB2312"/>
          <w:b w:val="0"/>
          <w:sz w:val="32"/>
        </w:rPr>
        <w:t>2024年度霍城县统计局（行政单位和参照公务员法管理事业单位）机关运行经费支出15.06万元，比上年减少27.82万元，下降64.88%，主要原因是：本年五经普专项经费由项目支出，导致机关运行经费支出减少。</w:t>
      </w:r>
    </w:p>
    <w:p w14:paraId="5E00D6ED">
      <w:pPr>
        <w:spacing w:line="640" w:lineRule="exact"/>
        <w:ind w:firstLine="640"/>
        <w:jc w:val="both"/>
        <w:outlineLvl w:val="3"/>
      </w:pPr>
      <w:r>
        <w:rPr>
          <w:rFonts w:ascii="楷体_GB2312" w:hAnsi="楷体_GB2312" w:eastAsia="楷体_GB2312"/>
          <w:b/>
          <w:sz w:val="32"/>
        </w:rPr>
        <w:t>（二）政府采购情况</w:t>
      </w:r>
    </w:p>
    <w:p w14:paraId="6E3C33A2">
      <w:pPr>
        <w:spacing w:line="580" w:lineRule="exact"/>
        <w:ind w:firstLine="640"/>
        <w:jc w:val="both"/>
      </w:pPr>
      <w:r>
        <w:rPr>
          <w:rFonts w:ascii="仿宋_GB2312" w:hAnsi="仿宋_GB2312" w:eastAsia="仿宋_GB2312"/>
          <w:b w:val="0"/>
          <w:sz w:val="32"/>
        </w:rPr>
        <w:t>2024年度政府采购支出总额6.64万元，其中：政府采购货物支出6.29万元、政府采购工程支出0.00万元、政府采购服务支出0.35万元。</w:t>
      </w:r>
    </w:p>
    <w:p w14:paraId="7FDB65FD">
      <w:pPr>
        <w:spacing w:line="580" w:lineRule="exact"/>
        <w:ind w:firstLine="640"/>
        <w:jc w:val="both"/>
      </w:pPr>
      <w:r>
        <w:rPr>
          <w:rFonts w:ascii="仿宋_GB2312" w:hAnsi="仿宋_GB2312" w:eastAsia="仿宋_GB2312"/>
          <w:b w:val="0"/>
          <w:sz w:val="32"/>
        </w:rPr>
        <w:t>授予中小企业合同金额6.64万元，占政府采购支出总额的100.00%，其中：授予小微企业合同金额6.64万元，占政府采购支出总额的100.00%。</w:t>
      </w:r>
    </w:p>
    <w:p w14:paraId="76891B71">
      <w:pPr>
        <w:spacing w:line="640" w:lineRule="exact"/>
        <w:ind w:firstLine="640"/>
        <w:jc w:val="both"/>
        <w:outlineLvl w:val="3"/>
      </w:pPr>
      <w:r>
        <w:rPr>
          <w:rFonts w:ascii="楷体_GB2312" w:hAnsi="楷体_GB2312" w:eastAsia="楷体_GB2312"/>
          <w:b/>
          <w:sz w:val="32"/>
        </w:rPr>
        <w:t>（三）国有资产占用情况说明</w:t>
      </w:r>
    </w:p>
    <w:p w14:paraId="39A1102A">
      <w:pPr>
        <w:spacing w:line="580" w:lineRule="exact"/>
        <w:ind w:firstLine="640"/>
        <w:jc w:val="both"/>
      </w:pPr>
      <w:r>
        <w:rPr>
          <w:rFonts w:ascii="仿宋_GB2312" w:hAnsi="仿宋_GB2312" w:eastAsia="仿宋_GB2312"/>
          <w:b w:val="0"/>
          <w:sz w:val="32"/>
        </w:rPr>
        <w:t>截至2024年12月31日，房屋0.00平方米，价值0.00万元。车辆1辆，价值21.71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4DDB5F82">
      <w:pPr>
        <w:spacing w:line="640" w:lineRule="exact"/>
        <w:ind w:firstLine="640"/>
        <w:jc w:val="both"/>
        <w:outlineLvl w:val="2"/>
      </w:pPr>
      <w:r>
        <w:rPr>
          <w:rFonts w:ascii="黑体" w:hAnsi="黑体" w:eastAsia="黑体"/>
          <w:sz w:val="32"/>
        </w:rPr>
        <w:t>十一、预算绩效的情况说明</w:t>
      </w:r>
    </w:p>
    <w:p w14:paraId="1BC47BD8">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298.02万元，实际执行总额298.02万元；预算绩效评价项目3个，全年预算数75.30万元，全年执行数75.30万元。预算绩效管理取得的成效：一是在项目实施过程中做好定期监督检查，严格按照项目管理规范进行，在项目资金使用过程中，严格落实把关，按照项目资金使用范围做好审核工作，让项目资金落于实处；二是在项目完成后，做好受益群众民意调查及项目防范工作。发现的问题及原因：一是相关绩效管理方面专业知识的系统性学习有待加强；二是各项指标的设置要进一步优化、完善，主要在细化、量化上改进；三是在绩效自评过程中，</w:t>
      </w:r>
      <w:r>
        <w:rPr>
          <w:rFonts w:hint="eastAsia" w:ascii="仿宋_GB2312" w:hAnsi="仿宋_GB2312" w:eastAsia="仿宋_GB2312"/>
          <w:b w:val="0"/>
          <w:sz w:val="32"/>
          <w:lang w:eastAsia="zh-CN"/>
        </w:rPr>
        <w:t>由</w:t>
      </w:r>
      <w:bookmarkStart w:id="0" w:name="_GoBack"/>
      <w:r>
        <w:rPr>
          <w:rFonts w:hint="eastAsia" w:ascii="仿宋_GB2312" w:hAnsi="仿宋_GB2312" w:eastAsia="仿宋_GB2312"/>
          <w:b w:val="0"/>
          <w:sz w:val="32"/>
          <w:lang w:eastAsia="zh-CN"/>
        </w:rPr>
        <w:t>于</w:t>
      </w:r>
      <w:r>
        <w:rPr>
          <w:rFonts w:ascii="仿宋_GB2312" w:hAnsi="仿宋_GB2312" w:eastAsia="仿宋_GB2312"/>
          <w:b w:val="0"/>
          <w:sz w:val="32"/>
        </w:rPr>
        <w:t>部</w:t>
      </w:r>
      <w:bookmarkEnd w:id="0"/>
      <w:r>
        <w:rPr>
          <w:rFonts w:ascii="仿宋_GB2312" w:hAnsi="仿宋_GB2312" w:eastAsia="仿宋_GB2312"/>
          <w:b w:val="0"/>
          <w:sz w:val="32"/>
        </w:rPr>
        <w:t>分人员缺乏相关绩效管理专业知识，自评价工作还存在自我审定的局限性，影响评价质量。下一步改进措施：一是进一步完善项目评价过程中有关数据和资料的收集、整理、审核及分析；二是项目启动时同步做好档案的归纳与整理，及时整理、收集、汇总，健全档案资料；二是项目后续管理有待进一步加强和跟踪。具体附整体支出绩效自评表，项目支出绩效自评表和评价报告。</w:t>
      </w:r>
    </w:p>
    <w:p w14:paraId="4B672EA4">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337E8FCC">
        <w:tblPrEx>
          <w:tblCellMar>
            <w:top w:w="0" w:type="dxa"/>
            <w:left w:w="108" w:type="dxa"/>
            <w:bottom w:w="0" w:type="dxa"/>
            <w:right w:w="108" w:type="dxa"/>
          </w:tblCellMar>
        </w:tblPrEx>
        <w:tc>
          <w:tcPr>
            <w:tcW w:w="8840" w:type="dxa"/>
            <w:gridSpan w:val="8"/>
            <w:vAlign w:val="center"/>
          </w:tcPr>
          <w:p w14:paraId="52A30078">
            <w:pPr>
              <w:jc w:val="center"/>
            </w:pPr>
            <w:r>
              <w:rPr>
                <w:rFonts w:ascii="宋体" w:hAnsi="宋体" w:eastAsia="宋体"/>
                <w:sz w:val="24"/>
              </w:rPr>
              <w:t>单位整体支出绩效自评表</w:t>
            </w:r>
          </w:p>
        </w:tc>
      </w:tr>
      <w:tr w14:paraId="719FEE10">
        <w:tblPrEx>
          <w:tblCellMar>
            <w:top w:w="0" w:type="dxa"/>
            <w:left w:w="108" w:type="dxa"/>
            <w:bottom w:w="0" w:type="dxa"/>
            <w:right w:w="108" w:type="dxa"/>
          </w:tblCellMar>
        </w:tblPrEx>
        <w:tc>
          <w:tcPr>
            <w:tcW w:w="8840" w:type="dxa"/>
            <w:gridSpan w:val="8"/>
            <w:vAlign w:val="center"/>
          </w:tcPr>
          <w:p w14:paraId="16826AE5">
            <w:pPr>
              <w:jc w:val="center"/>
            </w:pPr>
            <w:r>
              <w:rPr>
                <w:rFonts w:ascii="宋体" w:hAnsi="宋体" w:eastAsia="宋体"/>
                <w:sz w:val="24"/>
              </w:rPr>
              <w:t>（2024年度）</w:t>
            </w:r>
          </w:p>
        </w:tc>
      </w:tr>
      <w:tr w14:paraId="55C833C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53D725">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6980D7">
            <w:pPr>
              <w:jc w:val="center"/>
            </w:pPr>
            <w:r>
              <w:rPr>
                <w:rFonts w:ascii="宋体" w:hAnsi="宋体" w:eastAsia="宋体"/>
                <w:sz w:val="16"/>
              </w:rPr>
              <w:t>霍城县统计局</w:t>
            </w:r>
          </w:p>
        </w:tc>
      </w:tr>
      <w:tr w14:paraId="02E5D14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E3976C">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DF1F34">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122D00">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64E40E">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1EE7B1">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C0FEB0">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C386C8">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F5CFBD">
            <w:pPr>
              <w:jc w:val="center"/>
            </w:pPr>
            <w:r>
              <w:rPr>
                <w:rFonts w:ascii="宋体" w:hAnsi="宋体" w:eastAsia="宋体"/>
                <w:sz w:val="16"/>
              </w:rPr>
              <w:t>得分</w:t>
            </w:r>
          </w:p>
        </w:tc>
      </w:tr>
      <w:tr w14:paraId="1C6C3D3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ABEC52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2AA0C0">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C84109">
            <w:pPr>
              <w:jc w:val="center"/>
            </w:pPr>
            <w:r>
              <w:rPr>
                <w:rFonts w:ascii="宋体" w:hAnsi="宋体" w:eastAsia="宋体"/>
                <w:sz w:val="16"/>
              </w:rPr>
              <w:t>180.30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09D594">
            <w:pPr>
              <w:jc w:val="center"/>
            </w:pPr>
            <w:r>
              <w:rPr>
                <w:rFonts w:ascii="宋体" w:hAnsi="宋体" w:eastAsia="宋体"/>
                <w:sz w:val="16"/>
              </w:rPr>
              <w:t>298.02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FA21D8">
            <w:pPr>
              <w:jc w:val="center"/>
            </w:pPr>
            <w:r>
              <w:rPr>
                <w:rFonts w:ascii="宋体" w:hAnsi="宋体" w:eastAsia="宋体"/>
                <w:sz w:val="16"/>
              </w:rPr>
              <w:t>298.02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B3AA2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DAB55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DA3629">
            <w:pPr>
              <w:jc w:val="center"/>
            </w:pPr>
            <w:r>
              <w:rPr>
                <w:rFonts w:ascii="宋体" w:hAnsi="宋体" w:eastAsia="宋体"/>
                <w:sz w:val="16"/>
              </w:rPr>
              <w:t>10</w:t>
            </w:r>
          </w:p>
        </w:tc>
      </w:tr>
      <w:tr w14:paraId="160380A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A7E631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43AB5D">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E0813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187CC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5BDA7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0038F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FF7DA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5B0B6D">
            <w:pPr>
              <w:jc w:val="center"/>
            </w:pPr>
            <w:r>
              <w:rPr>
                <w:rFonts w:ascii="宋体" w:hAnsi="宋体" w:eastAsia="宋体"/>
                <w:sz w:val="16"/>
              </w:rPr>
              <w:t>-</w:t>
            </w:r>
          </w:p>
        </w:tc>
      </w:tr>
      <w:tr w14:paraId="1E97685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2987EC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B81D86">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6C328D">
            <w:pPr>
              <w:jc w:val="center"/>
            </w:pPr>
            <w:r>
              <w:rPr>
                <w:rFonts w:ascii="宋体" w:hAnsi="宋体" w:eastAsia="宋体"/>
                <w:sz w:val="16"/>
              </w:rPr>
              <w:t>180.30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9E52FC">
            <w:pPr>
              <w:jc w:val="center"/>
            </w:pPr>
            <w:r>
              <w:rPr>
                <w:rFonts w:ascii="宋体" w:hAnsi="宋体" w:eastAsia="宋体"/>
                <w:sz w:val="16"/>
              </w:rPr>
              <w:t>277.32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902FD6">
            <w:pPr>
              <w:jc w:val="center"/>
            </w:pPr>
            <w:r>
              <w:rPr>
                <w:rFonts w:ascii="宋体" w:hAnsi="宋体" w:eastAsia="宋体"/>
                <w:sz w:val="16"/>
              </w:rPr>
              <w:t>277.32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DE7E9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AECA8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974A34">
            <w:pPr>
              <w:jc w:val="center"/>
            </w:pPr>
            <w:r>
              <w:rPr>
                <w:rFonts w:ascii="宋体" w:hAnsi="宋体" w:eastAsia="宋体"/>
                <w:sz w:val="16"/>
              </w:rPr>
              <w:t>-</w:t>
            </w:r>
          </w:p>
        </w:tc>
      </w:tr>
      <w:tr w14:paraId="609031B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39ACAF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3AF70E">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5B0D5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96F841">
            <w:pPr>
              <w:jc w:val="center"/>
            </w:pPr>
            <w:r>
              <w:rPr>
                <w:rFonts w:ascii="宋体" w:hAnsi="宋体" w:eastAsia="宋体"/>
                <w:sz w:val="16"/>
              </w:rPr>
              <w:t>20.70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4C72BD">
            <w:pPr>
              <w:jc w:val="center"/>
            </w:pPr>
            <w:r>
              <w:rPr>
                <w:rFonts w:ascii="宋体" w:hAnsi="宋体" w:eastAsia="宋体"/>
                <w:sz w:val="16"/>
              </w:rPr>
              <w:t>20.70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E5C65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4569F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39515E">
            <w:pPr>
              <w:jc w:val="center"/>
            </w:pPr>
            <w:r>
              <w:rPr>
                <w:rFonts w:ascii="宋体" w:hAnsi="宋体" w:eastAsia="宋体"/>
                <w:sz w:val="16"/>
              </w:rPr>
              <w:t>-</w:t>
            </w:r>
          </w:p>
        </w:tc>
      </w:tr>
      <w:tr w14:paraId="62DE6C6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F42C85">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7A7C012">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A86D8B4">
            <w:pPr>
              <w:jc w:val="center"/>
            </w:pPr>
            <w:r>
              <w:rPr>
                <w:rFonts w:ascii="宋体" w:hAnsi="宋体" w:eastAsia="宋体"/>
                <w:sz w:val="16"/>
              </w:rPr>
              <w:t>实际完成情况</w:t>
            </w:r>
          </w:p>
        </w:tc>
      </w:tr>
      <w:tr w14:paraId="275CF2A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DA1F709"/>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A8AE77F">
            <w:pPr>
              <w:jc w:val="both"/>
            </w:pPr>
            <w:r>
              <w:rPr>
                <w:rFonts w:ascii="宋体" w:hAnsi="宋体" w:eastAsia="宋体"/>
                <w:sz w:val="16"/>
              </w:rPr>
              <w:t>霍城县统计</w:t>
            </w:r>
            <w:r>
              <w:rPr>
                <w:rFonts w:hint="eastAsia" w:ascii="宋体" w:hAnsi="宋体"/>
                <w:sz w:val="16"/>
                <w:lang w:eastAsia="zh-CN"/>
              </w:rPr>
              <w:t>局以</w:t>
            </w:r>
            <w:r>
              <w:rPr>
                <w:rFonts w:ascii="宋体" w:hAnsi="宋体" w:eastAsia="宋体"/>
                <w:sz w:val="16"/>
              </w:rPr>
              <w:t>贯彻落实党的二十大精神为主线，坚决落实好中央和自治区、自治州</w:t>
            </w:r>
            <w:r>
              <w:rPr>
                <w:rFonts w:hint="eastAsia" w:ascii="宋体" w:hAnsi="宋体"/>
                <w:sz w:val="16"/>
                <w:lang w:eastAsia="zh-CN"/>
              </w:rPr>
              <w:t>党委、政府</w:t>
            </w:r>
            <w:r>
              <w:rPr>
                <w:rFonts w:ascii="宋体" w:hAnsi="宋体" w:eastAsia="宋体"/>
                <w:sz w:val="16"/>
              </w:rPr>
              <w:t>决策部署，立足统计职能，加强经济形势分析研判，高质量做好年度统计工作。一是撰写统计分析报告，提升统计服务水平，为县委、县政府科学决策提供参考依据；二是编纂印发《统计月报》，为县委、县政府和各部门、社会公众提供优质高效的统计数据服务，进一步凸显“数库”作用；三是对40家企业开展数据核查，严肃查处各类统计违纪违法行为，有效发挥统计法治监督职能；四是第五次全国经济普查登记调查单位2288个，摸清“家底”，准确把握全县经济运行、社会发展的具体情况。</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FB799F5">
            <w:pPr>
              <w:jc w:val="both"/>
            </w:pPr>
            <w:r>
              <w:rPr>
                <w:rFonts w:ascii="宋体" w:hAnsi="宋体" w:eastAsia="宋体"/>
                <w:sz w:val="16"/>
              </w:rPr>
              <w:t>霍城县统计局立足统计职能，加强经济形势分析研判，圆满完成了2024年各项统计工作。一是撰写统计分析报告11篇，为县委、县政府科学决策提供参考依据；二是编纂印发《统计月报》275本，为县委、县政府和各部门、社会公众提供了优质高效的统计数据服务，进一步凸显“数库”作用；三是对60家企业开展了数据核查，严肃查处各类统计违纪违法行为，有效发挥统计法治监督职能；四是第五次全国经济普查完成登记调查单位2288个，摸清了“家底”，较准确</w:t>
            </w:r>
            <w:r>
              <w:rPr>
                <w:rFonts w:hint="eastAsia" w:ascii="宋体" w:hAnsi="宋体"/>
                <w:sz w:val="16"/>
                <w:lang w:eastAsia="zh-CN"/>
              </w:rPr>
              <w:t>地</w:t>
            </w:r>
            <w:r>
              <w:rPr>
                <w:rFonts w:ascii="宋体" w:hAnsi="宋体" w:eastAsia="宋体"/>
                <w:sz w:val="16"/>
              </w:rPr>
              <w:t>把握了全县经济运行、社会发展的具体情况。</w:t>
            </w:r>
          </w:p>
        </w:tc>
      </w:tr>
      <w:tr w14:paraId="4AF2B55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02FFAA">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11716A">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ECABD6">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DB261C">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4D9962">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03C9D9">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7FF135">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1A5AB9">
            <w:pPr>
              <w:jc w:val="center"/>
            </w:pPr>
            <w:r>
              <w:rPr>
                <w:rFonts w:ascii="宋体" w:hAnsi="宋体" w:eastAsia="宋体"/>
                <w:sz w:val="16"/>
              </w:rPr>
              <w:t>得分</w:t>
            </w:r>
          </w:p>
        </w:tc>
      </w:tr>
      <w:tr w14:paraId="7B77E2A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FBCE54">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847D88">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0CBDD1">
            <w:pPr>
              <w:jc w:val="center"/>
            </w:pPr>
            <w:r>
              <w:rPr>
                <w:rFonts w:ascii="宋体" w:hAnsi="宋体" w:eastAsia="宋体"/>
                <w:sz w:val="16"/>
              </w:rPr>
              <w:t>撰写统计分析报告数量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34E707">
            <w:pPr>
              <w:jc w:val="center"/>
            </w:pPr>
            <w:r>
              <w:rPr>
                <w:rFonts w:ascii="宋体" w:hAnsi="宋体" w:eastAsia="宋体"/>
                <w:sz w:val="16"/>
              </w:rPr>
              <w:t>&gt;=11篇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D38216">
            <w:pPr>
              <w:jc w:val="center"/>
            </w:pPr>
            <w:r>
              <w:rPr>
                <w:rFonts w:ascii="宋体" w:hAnsi="宋体" w:eastAsia="宋体"/>
                <w:sz w:val="16"/>
              </w:rPr>
              <w:t>霍城县统计局2024年工作思路汇报</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09966F">
            <w:pPr>
              <w:jc w:val="center"/>
            </w:pPr>
            <w:r>
              <w:rPr>
                <w:rFonts w:ascii="宋体" w:hAnsi="宋体" w:eastAsia="宋体"/>
                <w:sz w:val="16"/>
              </w:rPr>
              <w:t>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A667C7">
            <w:pPr>
              <w:jc w:val="center"/>
            </w:pPr>
            <w:r>
              <w:rPr>
                <w:rFonts w:ascii="宋体" w:hAnsi="宋体" w:eastAsia="宋体"/>
                <w:sz w:val="16"/>
              </w:rPr>
              <w:t>11篇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052BCB">
            <w:pPr>
              <w:jc w:val="center"/>
            </w:pPr>
            <w:r>
              <w:rPr>
                <w:rFonts w:ascii="宋体" w:hAnsi="宋体" w:eastAsia="宋体"/>
                <w:sz w:val="16"/>
              </w:rPr>
              <w:t>23</w:t>
            </w:r>
          </w:p>
        </w:tc>
      </w:tr>
      <w:tr w14:paraId="5A79D18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16D733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65224B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54DF4A">
            <w:pPr>
              <w:jc w:val="center"/>
            </w:pPr>
            <w:r>
              <w:rPr>
                <w:rFonts w:ascii="宋体" w:hAnsi="宋体" w:eastAsia="宋体"/>
                <w:sz w:val="16"/>
              </w:rPr>
              <w:t>编纂统计月报</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5E1E66">
            <w:pPr>
              <w:jc w:val="center"/>
            </w:pPr>
            <w:r>
              <w:rPr>
                <w:rFonts w:ascii="宋体" w:hAnsi="宋体" w:eastAsia="宋体"/>
                <w:sz w:val="16"/>
              </w:rPr>
              <w:t>&gt;=275本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DC40B1">
            <w:pPr>
              <w:jc w:val="center"/>
            </w:pPr>
            <w:r>
              <w:rPr>
                <w:rFonts w:ascii="宋体" w:hAnsi="宋体" w:eastAsia="宋体"/>
                <w:sz w:val="16"/>
              </w:rPr>
              <w:t>霍城县统计局2024年工作思路汇报</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99EF71">
            <w:pPr>
              <w:jc w:val="center"/>
            </w:pPr>
            <w:r>
              <w:rPr>
                <w:rFonts w:ascii="宋体" w:hAnsi="宋体" w:eastAsia="宋体"/>
                <w:sz w:val="16"/>
              </w:rPr>
              <w:t>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7672D0">
            <w:pPr>
              <w:jc w:val="center"/>
            </w:pPr>
            <w:r>
              <w:rPr>
                <w:rFonts w:ascii="宋体" w:hAnsi="宋体" w:eastAsia="宋体"/>
                <w:sz w:val="16"/>
              </w:rPr>
              <w:t>275本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FFB9B2">
            <w:pPr>
              <w:jc w:val="center"/>
            </w:pPr>
            <w:r>
              <w:rPr>
                <w:rFonts w:ascii="宋体" w:hAnsi="宋体" w:eastAsia="宋体"/>
                <w:sz w:val="16"/>
              </w:rPr>
              <w:t>23</w:t>
            </w:r>
          </w:p>
        </w:tc>
      </w:tr>
      <w:tr w14:paraId="14E9466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85F73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FB033C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43F188">
            <w:pPr>
              <w:jc w:val="center"/>
            </w:pPr>
            <w:r>
              <w:rPr>
                <w:rFonts w:ascii="宋体" w:hAnsi="宋体" w:eastAsia="宋体"/>
                <w:sz w:val="16"/>
              </w:rPr>
              <w:t>统计数据核查企业数量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CD2F62">
            <w:pPr>
              <w:jc w:val="center"/>
            </w:pPr>
            <w:r>
              <w:rPr>
                <w:rFonts w:ascii="宋体" w:hAnsi="宋体" w:eastAsia="宋体"/>
                <w:sz w:val="16"/>
              </w:rPr>
              <w:t>&gt;=40家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B4920D">
            <w:pPr>
              <w:jc w:val="center"/>
            </w:pPr>
            <w:r>
              <w:rPr>
                <w:rFonts w:ascii="宋体" w:hAnsi="宋体" w:eastAsia="宋体"/>
                <w:sz w:val="16"/>
              </w:rPr>
              <w:t>霍城县统计局2024年工作思路汇报</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20E613">
            <w:pPr>
              <w:jc w:val="center"/>
            </w:pPr>
            <w:r>
              <w:rPr>
                <w:rFonts w:ascii="宋体" w:hAnsi="宋体" w:eastAsia="宋体"/>
                <w:sz w:val="16"/>
              </w:rPr>
              <w:t>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A09252">
            <w:pPr>
              <w:jc w:val="center"/>
            </w:pPr>
            <w:r>
              <w:rPr>
                <w:rFonts w:ascii="宋体" w:hAnsi="宋体" w:eastAsia="宋体"/>
                <w:sz w:val="16"/>
              </w:rPr>
              <w:t>42家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CACBFD">
            <w:pPr>
              <w:jc w:val="center"/>
            </w:pPr>
            <w:r>
              <w:rPr>
                <w:rFonts w:ascii="宋体" w:hAnsi="宋体" w:eastAsia="宋体"/>
                <w:sz w:val="16"/>
              </w:rPr>
              <w:t>22</w:t>
            </w:r>
          </w:p>
        </w:tc>
      </w:tr>
      <w:tr w14:paraId="65F29BD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863643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3274B7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7BA77E">
            <w:pPr>
              <w:jc w:val="center"/>
            </w:pPr>
            <w:r>
              <w:rPr>
                <w:rFonts w:ascii="宋体" w:hAnsi="宋体" w:eastAsia="宋体"/>
                <w:sz w:val="16"/>
              </w:rPr>
              <w:t>经济普查登记单位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37C825">
            <w:pPr>
              <w:jc w:val="center"/>
            </w:pPr>
            <w:r>
              <w:rPr>
                <w:rFonts w:ascii="宋体" w:hAnsi="宋体" w:eastAsia="宋体"/>
                <w:sz w:val="16"/>
              </w:rPr>
              <w:t>&gt;=2288个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15809D">
            <w:pPr>
              <w:jc w:val="center"/>
            </w:pPr>
            <w:r>
              <w:rPr>
                <w:rFonts w:ascii="宋体" w:hAnsi="宋体" w:eastAsia="宋体"/>
                <w:sz w:val="16"/>
              </w:rPr>
              <w:t>霍城县统计局2024年工作思路汇报</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C767CC">
            <w:pPr>
              <w:jc w:val="center"/>
            </w:pPr>
            <w:r>
              <w:rPr>
                <w:rFonts w:ascii="宋体" w:hAnsi="宋体" w:eastAsia="宋体"/>
                <w:sz w:val="16"/>
              </w:rPr>
              <w:t>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F60D8B">
            <w:pPr>
              <w:jc w:val="center"/>
            </w:pPr>
            <w:r>
              <w:rPr>
                <w:rFonts w:ascii="宋体" w:hAnsi="宋体" w:eastAsia="宋体"/>
                <w:sz w:val="16"/>
              </w:rPr>
              <w:t>2497个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AEAF5C">
            <w:pPr>
              <w:jc w:val="center"/>
            </w:pPr>
            <w:r>
              <w:rPr>
                <w:rFonts w:ascii="宋体" w:hAnsi="宋体" w:eastAsia="宋体"/>
                <w:sz w:val="16"/>
              </w:rPr>
              <w:t>22</w:t>
            </w:r>
          </w:p>
        </w:tc>
      </w:tr>
    </w:tbl>
    <w:p w14:paraId="69CE7DE0">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875"/>
        <w:gridCol w:w="389"/>
        <w:gridCol w:w="696"/>
        <w:gridCol w:w="632"/>
        <w:gridCol w:w="776"/>
        <w:gridCol w:w="632"/>
        <w:gridCol w:w="632"/>
        <w:gridCol w:w="632"/>
        <w:gridCol w:w="632"/>
        <w:gridCol w:w="632"/>
        <w:gridCol w:w="632"/>
      </w:tblGrid>
      <w:tr w14:paraId="7A615B7C">
        <w:tblPrEx>
          <w:tblCellMar>
            <w:top w:w="0" w:type="dxa"/>
            <w:left w:w="108" w:type="dxa"/>
            <w:bottom w:w="0" w:type="dxa"/>
            <w:right w:w="108" w:type="dxa"/>
          </w:tblCellMar>
        </w:tblPrEx>
        <w:tc>
          <w:tcPr>
            <w:tcW w:w="9056" w:type="dxa"/>
            <w:gridSpan w:val="14"/>
            <w:vAlign w:val="center"/>
          </w:tcPr>
          <w:p w14:paraId="75F313A4">
            <w:pPr>
              <w:jc w:val="center"/>
            </w:pPr>
            <w:r>
              <w:rPr>
                <w:rFonts w:ascii="宋体" w:hAnsi="宋体" w:eastAsia="宋体"/>
                <w:sz w:val="24"/>
              </w:rPr>
              <w:t>项目支出绩效自评表</w:t>
            </w:r>
          </w:p>
        </w:tc>
      </w:tr>
      <w:tr w14:paraId="7B1C9323">
        <w:tblPrEx>
          <w:tblCellMar>
            <w:top w:w="0" w:type="dxa"/>
            <w:left w:w="108" w:type="dxa"/>
            <w:bottom w:w="0" w:type="dxa"/>
            <w:right w:w="108" w:type="dxa"/>
          </w:tblCellMar>
        </w:tblPrEx>
        <w:tc>
          <w:tcPr>
            <w:tcW w:w="9056" w:type="dxa"/>
            <w:gridSpan w:val="14"/>
            <w:vAlign w:val="center"/>
          </w:tcPr>
          <w:p w14:paraId="6CC3CF55">
            <w:pPr>
              <w:jc w:val="center"/>
            </w:pPr>
            <w:r>
              <w:rPr>
                <w:rFonts w:ascii="宋体" w:hAnsi="宋体" w:eastAsia="宋体"/>
                <w:sz w:val="24"/>
              </w:rPr>
              <w:t>(2024年度)</w:t>
            </w:r>
          </w:p>
        </w:tc>
      </w:tr>
      <w:tr w14:paraId="16ADCC3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DBE59">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B0B77D0">
            <w:pPr>
              <w:jc w:val="center"/>
            </w:pPr>
            <w:r>
              <w:rPr>
                <w:rFonts w:ascii="宋体" w:hAnsi="宋体" w:eastAsia="宋体"/>
                <w:sz w:val="16"/>
              </w:rPr>
              <w:t>2024年人口变动情况抽样调查经费</w:t>
            </w:r>
          </w:p>
        </w:tc>
      </w:tr>
      <w:tr w14:paraId="6948A92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98178">
            <w:pPr>
              <w:jc w:val="center"/>
            </w:pPr>
            <w:r>
              <w:rPr>
                <w:rFonts w:ascii="宋体" w:hAnsi="宋体" w:eastAsia="宋体"/>
                <w:sz w:val="16"/>
              </w:rPr>
              <w:t>主管部门</w:t>
            </w:r>
          </w:p>
        </w:tc>
        <w:tc>
          <w:tcPr>
            <w:tcW w:w="463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F7EDD9">
            <w:pPr>
              <w:jc w:val="center"/>
            </w:pPr>
            <w:r>
              <w:rPr>
                <w:rFonts w:ascii="宋体" w:hAnsi="宋体" w:eastAsia="宋体"/>
                <w:sz w:val="16"/>
              </w:rPr>
              <w:t>霍城县统计局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1628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3FE8BBB">
            <w:pPr>
              <w:jc w:val="center"/>
            </w:pPr>
            <w:r>
              <w:rPr>
                <w:rFonts w:ascii="宋体" w:hAnsi="宋体" w:eastAsia="宋体"/>
                <w:sz w:val="16"/>
              </w:rPr>
              <w:t>霍城县统计局</w:t>
            </w:r>
          </w:p>
        </w:tc>
      </w:tr>
      <w:tr w14:paraId="06EE86E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FC4719">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2D95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E48D6">
            <w:pPr>
              <w:jc w:val="center"/>
            </w:pPr>
            <w:r>
              <w:rPr>
                <w:rFonts w:ascii="宋体" w:hAnsi="宋体" w:eastAsia="宋体"/>
                <w:sz w:val="16"/>
              </w:rPr>
              <w:t>年初预算数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FFF1E">
            <w:pPr>
              <w:jc w:val="center"/>
            </w:pPr>
            <w:r>
              <w:rPr>
                <w:rFonts w:ascii="宋体" w:hAnsi="宋体" w:eastAsia="宋体"/>
                <w:sz w:val="16"/>
              </w:rPr>
              <w:t>全年预算数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8883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85AB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95641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81A93">
            <w:pPr>
              <w:jc w:val="center"/>
            </w:pPr>
            <w:r>
              <w:rPr>
                <w:rFonts w:ascii="宋体" w:hAnsi="宋体" w:eastAsia="宋体"/>
                <w:sz w:val="16"/>
              </w:rPr>
              <w:t>得分</w:t>
            </w:r>
          </w:p>
        </w:tc>
      </w:tr>
      <w:tr w14:paraId="2414BC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E7B9E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D7D1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72023">
            <w:pPr>
              <w:jc w:val="center"/>
            </w:pPr>
            <w:r>
              <w:rPr>
                <w:rFonts w:ascii="宋体" w:hAnsi="宋体" w:eastAsia="宋体"/>
                <w:sz w:val="16"/>
              </w:rPr>
              <w:t>2.51</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FDB99D">
            <w:pPr>
              <w:jc w:val="center"/>
            </w:pPr>
            <w:r>
              <w:rPr>
                <w:rFonts w:ascii="宋体" w:hAnsi="宋体" w:eastAsia="宋体"/>
                <w:sz w:val="16"/>
              </w:rPr>
              <w:t>2.51</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749CF">
            <w:pPr>
              <w:jc w:val="center"/>
            </w:pPr>
            <w:r>
              <w:rPr>
                <w:rFonts w:ascii="宋体" w:hAnsi="宋体" w:eastAsia="宋体"/>
                <w:sz w:val="16"/>
              </w:rPr>
              <w:t>2.51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3D28F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9E2CB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8DE12">
            <w:pPr>
              <w:jc w:val="center"/>
            </w:pPr>
            <w:r>
              <w:rPr>
                <w:rFonts w:ascii="宋体" w:hAnsi="宋体" w:eastAsia="宋体"/>
                <w:sz w:val="16"/>
              </w:rPr>
              <w:t>10.00</w:t>
            </w:r>
          </w:p>
        </w:tc>
      </w:tr>
      <w:tr w14:paraId="6A393A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B79DA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2D0F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EEF0D">
            <w:pPr>
              <w:jc w:val="center"/>
            </w:pPr>
            <w:r>
              <w:rPr>
                <w:rFonts w:ascii="宋体" w:hAnsi="宋体" w:eastAsia="宋体"/>
                <w:sz w:val="16"/>
              </w:rPr>
              <w:t>2.51</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1517B">
            <w:pPr>
              <w:jc w:val="center"/>
            </w:pPr>
            <w:r>
              <w:rPr>
                <w:rFonts w:ascii="宋体" w:hAnsi="宋体" w:eastAsia="宋体"/>
                <w:sz w:val="16"/>
              </w:rPr>
              <w:t>2.51</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3A4BA">
            <w:pPr>
              <w:jc w:val="center"/>
            </w:pPr>
            <w:r>
              <w:rPr>
                <w:rFonts w:ascii="宋体" w:hAnsi="宋体" w:eastAsia="宋体"/>
                <w:sz w:val="16"/>
              </w:rPr>
              <w:t>2.51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7F5E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9A3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BA3F7">
            <w:pPr>
              <w:jc w:val="center"/>
            </w:pPr>
            <w:r>
              <w:rPr>
                <w:rFonts w:ascii="宋体" w:hAnsi="宋体" w:eastAsia="宋体"/>
                <w:sz w:val="16"/>
              </w:rPr>
              <w:t>—</w:t>
            </w:r>
          </w:p>
        </w:tc>
      </w:tr>
      <w:tr w14:paraId="1AF4C1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6FE5E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4E74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C261C6">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9DBAF">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4513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8A27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C406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BDF0E">
            <w:pPr>
              <w:jc w:val="center"/>
            </w:pPr>
            <w:r>
              <w:rPr>
                <w:rFonts w:ascii="宋体" w:hAnsi="宋体" w:eastAsia="宋体"/>
                <w:sz w:val="16"/>
              </w:rPr>
              <w:t>—</w:t>
            </w:r>
          </w:p>
        </w:tc>
      </w:tr>
      <w:tr w14:paraId="6C8EC8D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74124F">
            <w:pPr>
              <w:jc w:val="center"/>
            </w:pPr>
            <w:r>
              <w:rPr>
                <w:rFonts w:ascii="宋体" w:hAnsi="宋体" w:eastAsia="宋体"/>
                <w:sz w:val="16"/>
              </w:rPr>
              <w:t>年度总体目标</w:t>
            </w:r>
          </w:p>
        </w:tc>
        <w:tc>
          <w:tcPr>
            <w:tcW w:w="463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D5C1E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2B61FF">
            <w:pPr>
              <w:jc w:val="center"/>
            </w:pPr>
            <w:r>
              <w:rPr>
                <w:rFonts w:ascii="宋体" w:hAnsi="宋体" w:eastAsia="宋体"/>
                <w:sz w:val="16"/>
              </w:rPr>
              <w:t>实际完成情况</w:t>
            </w:r>
          </w:p>
        </w:tc>
      </w:tr>
      <w:tr w14:paraId="0A83D4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235109"/>
        </w:tc>
        <w:tc>
          <w:tcPr>
            <w:tcW w:w="463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6108AC">
            <w:pPr>
              <w:jc w:val="both"/>
            </w:pPr>
            <w:r>
              <w:rPr>
                <w:rFonts w:ascii="宋体" w:hAnsi="宋体" w:eastAsia="宋体"/>
                <w:sz w:val="16"/>
              </w:rPr>
              <w:t>在自治区统计局统一安排下，县统计局开展人口抽样调查的宣传工作、调查指导员、调查员的选聘、培训工作、调查登记与复查工作，县级统计机构按时发放调查员补贴及为调查员购买人身意外险。</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104AFB">
            <w:pPr>
              <w:jc w:val="both"/>
            </w:pPr>
            <w:r>
              <w:rPr>
                <w:rFonts w:ascii="宋体" w:hAnsi="宋体" w:eastAsia="宋体"/>
                <w:sz w:val="16"/>
              </w:rPr>
              <w:t>自2024年11月，我县人口变动抽样调查工作开展以来。抽取了水定镇、清水河镇、芦草沟镇等8个乡镇19个普查小区，</w:t>
            </w:r>
            <w:r>
              <w:rPr>
                <w:rFonts w:hint="eastAsia" w:ascii="宋体" w:hAnsi="宋体"/>
                <w:sz w:val="16"/>
                <w:lang w:eastAsia="zh-CN"/>
              </w:rPr>
              <w:t>截至11月</w:t>
            </w:r>
            <w:r>
              <w:rPr>
                <w:rFonts w:ascii="宋体" w:hAnsi="宋体" w:eastAsia="宋体"/>
                <w:sz w:val="16"/>
              </w:rPr>
              <w:t>10日前，完成核查建筑物13960个、核查住房单元7607个，核查住户760户，出生人口、死亡人口指标差错率均为0。并发放了两员补贴24000元整，购买两员人身意外险1100元整，圆满完成人口抽样调查工作。</w:t>
            </w:r>
          </w:p>
        </w:tc>
      </w:tr>
      <w:tr w14:paraId="4D54AD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5984E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C1FD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1E71C">
            <w:pPr>
              <w:jc w:val="center"/>
            </w:pPr>
            <w:r>
              <w:rPr>
                <w:rFonts w:ascii="宋体" w:hAnsi="宋体" w:eastAsia="宋体"/>
                <w:sz w:val="16"/>
              </w:rPr>
              <w:t>二级指标</w:t>
            </w:r>
          </w:p>
        </w:tc>
        <w:tc>
          <w:tcPr>
            <w:tcW w:w="875" w:type="dxa"/>
            <w:tcBorders>
              <w:top w:val="single" w:color="auto" w:sz="10" w:space="0"/>
              <w:left w:val="single" w:color="auto" w:sz="10" w:space="0"/>
              <w:bottom w:val="single" w:color="auto" w:sz="10" w:space="0"/>
              <w:right w:val="single" w:color="auto" w:sz="10" w:space="0"/>
              <w:insideV w:val="single" w:sz="10" w:space="0"/>
            </w:tcBorders>
            <w:vAlign w:val="center"/>
          </w:tcPr>
          <w:p w14:paraId="51E52447">
            <w:pPr>
              <w:jc w:val="center"/>
            </w:pPr>
            <w:r>
              <w:rPr>
                <w:rFonts w:ascii="宋体" w:hAnsi="宋体" w:eastAsia="宋体"/>
                <w:sz w:val="16"/>
              </w:rPr>
              <w:t>三级指标</w:t>
            </w:r>
          </w:p>
        </w:tc>
        <w:tc>
          <w:tcPr>
            <w:tcW w:w="389" w:type="dxa"/>
            <w:tcBorders>
              <w:top w:val="single" w:color="auto" w:sz="10" w:space="0"/>
              <w:left w:val="single" w:color="auto" w:sz="10" w:space="0"/>
              <w:bottom w:val="single" w:color="auto" w:sz="10" w:space="0"/>
              <w:right w:val="single" w:color="auto" w:sz="10" w:space="0"/>
              <w:insideV w:val="single" w:sz="10" w:space="0"/>
            </w:tcBorders>
            <w:vAlign w:val="center"/>
          </w:tcPr>
          <w:p w14:paraId="25918BDA">
            <w:pPr>
              <w:jc w:val="center"/>
            </w:pPr>
            <w:r>
              <w:rPr>
                <w:rFonts w:ascii="宋体" w:hAnsi="宋体" w:eastAsia="宋体"/>
                <w:sz w:val="16"/>
              </w:rPr>
              <w:t>权重</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35BB771">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99E80">
            <w:pPr>
              <w:jc w:val="center"/>
            </w:pPr>
            <w:r>
              <w:rPr>
                <w:rFonts w:ascii="宋体" w:hAnsi="宋体" w:eastAsia="宋体"/>
                <w:sz w:val="16"/>
              </w:rPr>
              <w:t>业绩值</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2E846D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088F7">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469C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3E1E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D6D6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518E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AFD18">
            <w:pPr>
              <w:jc w:val="center"/>
            </w:pPr>
            <w:r>
              <w:rPr>
                <w:rFonts w:ascii="宋体" w:hAnsi="宋体" w:eastAsia="宋体"/>
                <w:sz w:val="16"/>
              </w:rPr>
              <w:t>偏差原因分析及改进措施</w:t>
            </w:r>
          </w:p>
        </w:tc>
      </w:tr>
      <w:tr w14:paraId="439910C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139A8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36970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4E88F0">
            <w:pPr>
              <w:jc w:val="center"/>
            </w:pPr>
            <w:r>
              <w:rPr>
                <w:rFonts w:ascii="宋体" w:hAnsi="宋体" w:eastAsia="宋体"/>
                <w:sz w:val="16"/>
              </w:rPr>
              <w:t>数量指标</w:t>
            </w:r>
          </w:p>
        </w:tc>
        <w:tc>
          <w:tcPr>
            <w:tcW w:w="875" w:type="dxa"/>
            <w:tcBorders>
              <w:top w:val="single" w:color="auto" w:sz="10" w:space="0"/>
              <w:left w:val="single" w:color="auto" w:sz="10" w:space="0"/>
              <w:bottom w:val="single" w:color="auto" w:sz="10" w:space="0"/>
              <w:right w:val="single" w:color="auto" w:sz="10" w:space="0"/>
              <w:insideV w:val="single" w:sz="10" w:space="0"/>
            </w:tcBorders>
            <w:vAlign w:val="center"/>
          </w:tcPr>
          <w:p w14:paraId="50129ADB">
            <w:pPr>
              <w:jc w:val="center"/>
            </w:pPr>
            <w:r>
              <w:rPr>
                <w:rFonts w:ascii="宋体" w:hAnsi="宋体" w:eastAsia="宋体"/>
                <w:sz w:val="16"/>
              </w:rPr>
              <w:t>登记自治区调查点调查户任务数</w:t>
            </w:r>
          </w:p>
        </w:tc>
        <w:tc>
          <w:tcPr>
            <w:tcW w:w="389" w:type="dxa"/>
            <w:tcBorders>
              <w:top w:val="single" w:color="auto" w:sz="10" w:space="0"/>
              <w:left w:val="single" w:color="auto" w:sz="10" w:space="0"/>
              <w:bottom w:val="single" w:color="auto" w:sz="10" w:space="0"/>
              <w:right w:val="single" w:color="auto" w:sz="10" w:space="0"/>
              <w:insideV w:val="single" w:sz="10" w:space="0"/>
            </w:tcBorders>
            <w:vAlign w:val="center"/>
          </w:tcPr>
          <w:p w14:paraId="5C35CBD7">
            <w:pPr>
              <w:jc w:val="center"/>
            </w:pPr>
            <w:r>
              <w:rPr>
                <w:rFonts w:ascii="宋体" w:hAnsi="宋体" w:eastAsia="宋体"/>
                <w:sz w:val="16"/>
              </w:rPr>
              <w:t>5</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7BB1AE2">
            <w:pPr>
              <w:jc w:val="center"/>
            </w:pPr>
            <w:r>
              <w:rPr>
                <w:rFonts w:ascii="宋体" w:hAnsi="宋体" w:eastAsia="宋体"/>
                <w:sz w:val="16"/>
              </w:rPr>
              <w:t>&gt;=698户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4EE5E">
            <w:pPr>
              <w:jc w:val="center"/>
            </w:pPr>
            <w:r>
              <w:rPr>
                <w:rFonts w:ascii="宋体" w:hAnsi="宋体" w:eastAsia="宋体"/>
                <w:sz w:val="16"/>
              </w:rPr>
              <w:t>760户</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4A9100C">
            <w:pPr>
              <w:jc w:val="center"/>
            </w:pPr>
            <w:r>
              <w:rPr>
                <w:rFonts w:ascii="宋体" w:hAnsi="宋体" w:eastAsia="宋体"/>
                <w:sz w:val="16"/>
              </w:rPr>
              <w:t>108.88%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E6CA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10C0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32627">
            <w:pPr>
              <w:jc w:val="center"/>
            </w:pPr>
            <w:r>
              <w:rPr>
                <w:rFonts w:ascii="宋体" w:hAnsi="宋体" w:eastAsia="宋体"/>
                <w:sz w:val="16"/>
              </w:rPr>
              <w:t>840户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1E3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027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F6A00">
            <w:pPr>
              <w:jc w:val="center"/>
            </w:pPr>
            <w:r>
              <w:rPr>
                <w:rFonts w:ascii="宋体" w:hAnsi="宋体" w:eastAsia="宋体"/>
                <w:sz w:val="16"/>
              </w:rPr>
              <w:t>偏差原因:登记调查户任务数设置指标时是按照自治区的初步任务制定的，登记时按照所抽取样本</w:t>
            </w:r>
            <w:r>
              <w:rPr>
                <w:rFonts w:hint="eastAsia" w:ascii="宋体" w:hAnsi="宋体"/>
                <w:sz w:val="16"/>
                <w:lang w:eastAsia="zh-CN"/>
              </w:rPr>
              <w:t>小区</w:t>
            </w:r>
            <w:r>
              <w:rPr>
                <w:rFonts w:ascii="宋体" w:hAnsi="宋体" w:eastAsia="宋体"/>
                <w:sz w:val="16"/>
              </w:rPr>
              <w:t>实际登记户数来登记，因此完成值与目标值会有差异，属于正常情况。改进措施：下年度从严从高设置指标目标值。</w:t>
            </w:r>
          </w:p>
        </w:tc>
      </w:tr>
      <w:tr w14:paraId="655AEE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F4DC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847D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737447"/>
        </w:tc>
        <w:tc>
          <w:tcPr>
            <w:tcW w:w="875" w:type="dxa"/>
            <w:tcBorders>
              <w:top w:val="single" w:color="auto" w:sz="10" w:space="0"/>
              <w:left w:val="single" w:color="auto" w:sz="10" w:space="0"/>
              <w:bottom w:val="single" w:color="auto" w:sz="10" w:space="0"/>
              <w:right w:val="single" w:color="auto" w:sz="10" w:space="0"/>
              <w:insideV w:val="single" w:sz="10" w:space="0"/>
            </w:tcBorders>
            <w:vAlign w:val="center"/>
          </w:tcPr>
          <w:p w14:paraId="3A47EEB6">
            <w:pPr>
              <w:jc w:val="center"/>
            </w:pPr>
            <w:r>
              <w:rPr>
                <w:rFonts w:ascii="宋体" w:hAnsi="宋体" w:eastAsia="宋体"/>
                <w:sz w:val="16"/>
              </w:rPr>
              <w:t>两员人数</w:t>
            </w:r>
          </w:p>
        </w:tc>
        <w:tc>
          <w:tcPr>
            <w:tcW w:w="389" w:type="dxa"/>
            <w:tcBorders>
              <w:top w:val="single" w:color="auto" w:sz="10" w:space="0"/>
              <w:left w:val="single" w:color="auto" w:sz="10" w:space="0"/>
              <w:bottom w:val="single" w:color="auto" w:sz="10" w:space="0"/>
              <w:right w:val="single" w:color="auto" w:sz="10" w:space="0"/>
              <w:insideV w:val="single" w:sz="10" w:space="0"/>
            </w:tcBorders>
            <w:vAlign w:val="center"/>
          </w:tcPr>
          <w:p w14:paraId="406DF01E">
            <w:pPr>
              <w:jc w:val="center"/>
            </w:pPr>
            <w:r>
              <w:rPr>
                <w:rFonts w:ascii="宋体" w:hAnsi="宋体" w:eastAsia="宋体"/>
                <w:sz w:val="16"/>
              </w:rPr>
              <w:t>5</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C638740">
            <w:pPr>
              <w:jc w:val="center"/>
            </w:pPr>
            <w:r>
              <w:rPr>
                <w:rFonts w:ascii="宋体" w:hAnsi="宋体" w:eastAsia="宋体"/>
                <w:sz w:val="16"/>
              </w:rPr>
              <w:t>&gt;=16人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F0ADE">
            <w:pPr>
              <w:jc w:val="center"/>
            </w:pPr>
            <w:r>
              <w:rPr>
                <w:rFonts w:ascii="宋体" w:hAnsi="宋体" w:eastAsia="宋体"/>
                <w:sz w:val="16"/>
              </w:rPr>
              <w:t>27人</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7649246">
            <w:pPr>
              <w:jc w:val="center"/>
            </w:pPr>
            <w:r>
              <w:rPr>
                <w:rFonts w:ascii="宋体" w:hAnsi="宋体" w:eastAsia="宋体"/>
                <w:sz w:val="16"/>
              </w:rPr>
              <w:t>168.75%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9842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C1D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A4904">
            <w:pPr>
              <w:jc w:val="center"/>
            </w:pPr>
            <w:r>
              <w:rPr>
                <w:rFonts w:ascii="宋体" w:hAnsi="宋体" w:eastAsia="宋体"/>
                <w:sz w:val="16"/>
              </w:rPr>
              <w: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AA2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E30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3815B">
            <w:pPr>
              <w:jc w:val="center"/>
            </w:pPr>
            <w:r>
              <w:rPr>
                <w:rFonts w:ascii="宋体" w:hAnsi="宋体" w:eastAsia="宋体"/>
                <w:sz w:val="16"/>
              </w:rPr>
              <w:t>偏差原因：两员人数实际选聘时按照抽中乡镇样本村的大小进行分配，与计划人数有差异。改进措施：下年度从严从高设置指标目标值。</w:t>
            </w:r>
          </w:p>
        </w:tc>
      </w:tr>
      <w:tr w14:paraId="2E99F2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35DE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1EBD6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CBE8BD">
            <w:pPr>
              <w:jc w:val="center"/>
            </w:pPr>
            <w:r>
              <w:rPr>
                <w:rFonts w:ascii="宋体" w:hAnsi="宋体" w:eastAsia="宋体"/>
                <w:sz w:val="16"/>
              </w:rPr>
              <w:t>质量指标</w:t>
            </w:r>
          </w:p>
        </w:tc>
        <w:tc>
          <w:tcPr>
            <w:tcW w:w="875" w:type="dxa"/>
            <w:tcBorders>
              <w:top w:val="single" w:color="auto" w:sz="10" w:space="0"/>
              <w:left w:val="single" w:color="auto" w:sz="10" w:space="0"/>
              <w:bottom w:val="single" w:color="auto" w:sz="10" w:space="0"/>
              <w:right w:val="single" w:color="auto" w:sz="10" w:space="0"/>
              <w:insideV w:val="single" w:sz="10" w:space="0"/>
            </w:tcBorders>
            <w:vAlign w:val="center"/>
          </w:tcPr>
          <w:p w14:paraId="53D8F946">
            <w:pPr>
              <w:jc w:val="center"/>
            </w:pPr>
            <w:r>
              <w:rPr>
                <w:rFonts w:ascii="宋体" w:hAnsi="宋体" w:eastAsia="宋体"/>
                <w:sz w:val="16"/>
              </w:rPr>
              <w:t>“登记人数”与“户籍人数”指标差错率</w:t>
            </w:r>
          </w:p>
        </w:tc>
        <w:tc>
          <w:tcPr>
            <w:tcW w:w="389" w:type="dxa"/>
            <w:tcBorders>
              <w:top w:val="single" w:color="auto" w:sz="10" w:space="0"/>
              <w:left w:val="single" w:color="auto" w:sz="10" w:space="0"/>
              <w:bottom w:val="single" w:color="auto" w:sz="10" w:space="0"/>
              <w:right w:val="single" w:color="auto" w:sz="10" w:space="0"/>
              <w:insideV w:val="single" w:sz="10" w:space="0"/>
            </w:tcBorders>
            <w:vAlign w:val="center"/>
          </w:tcPr>
          <w:p w14:paraId="3832FFA3">
            <w:pPr>
              <w:jc w:val="center"/>
            </w:pPr>
            <w:r>
              <w:rPr>
                <w:rFonts w:ascii="宋体" w:hAnsi="宋体" w:eastAsia="宋体"/>
                <w:sz w:val="16"/>
              </w:rPr>
              <w:t>5</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0CE456E">
            <w:pPr>
              <w:jc w:val="center"/>
            </w:pPr>
            <w:r>
              <w:rPr>
                <w:rFonts w:ascii="宋体" w:hAnsi="宋体" w:eastAsia="宋体"/>
                <w:sz w:val="16"/>
              </w:rPr>
              <w:t>&lt;=5‰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DE4E6">
            <w:pPr>
              <w:jc w:val="center"/>
            </w:pPr>
            <w:r>
              <w:rPr>
                <w:rFonts w:ascii="宋体" w:hAnsi="宋体" w:eastAsia="宋体"/>
                <w:sz w:val="16"/>
              </w:rPr>
              <w:t>4.8‰</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03A39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187E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CA6A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4B0F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251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339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98096">
            <w:pPr>
              <w:jc w:val="center"/>
            </w:pPr>
            <w:r>
              <w:rPr>
                <w:rFonts w:ascii="宋体" w:hAnsi="宋体" w:eastAsia="宋体"/>
                <w:sz w:val="16"/>
              </w:rPr>
              <w:t>登记人数与户籍人数在实际登记时，由于人员流动的原因，导致差错率与计划值不一致。</w:t>
            </w:r>
          </w:p>
        </w:tc>
      </w:tr>
      <w:tr w14:paraId="6CA8AD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3471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06B0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CCA642"/>
        </w:tc>
        <w:tc>
          <w:tcPr>
            <w:tcW w:w="875" w:type="dxa"/>
            <w:tcBorders>
              <w:top w:val="single" w:color="auto" w:sz="10" w:space="0"/>
              <w:left w:val="single" w:color="auto" w:sz="10" w:space="0"/>
              <w:bottom w:val="single" w:color="auto" w:sz="10" w:space="0"/>
              <w:right w:val="single" w:color="auto" w:sz="10" w:space="0"/>
              <w:insideV w:val="single" w:sz="10" w:space="0"/>
            </w:tcBorders>
            <w:vAlign w:val="center"/>
          </w:tcPr>
          <w:p w14:paraId="2ECBDE50">
            <w:pPr>
              <w:jc w:val="center"/>
            </w:pPr>
            <w:r>
              <w:rPr>
                <w:rFonts w:ascii="宋体" w:hAnsi="宋体" w:eastAsia="宋体"/>
                <w:sz w:val="16"/>
              </w:rPr>
              <w:t>“出生人口”与“死亡人口”指标差错率</w:t>
            </w:r>
          </w:p>
        </w:tc>
        <w:tc>
          <w:tcPr>
            <w:tcW w:w="389" w:type="dxa"/>
            <w:tcBorders>
              <w:top w:val="single" w:color="auto" w:sz="10" w:space="0"/>
              <w:left w:val="single" w:color="auto" w:sz="10" w:space="0"/>
              <w:bottom w:val="single" w:color="auto" w:sz="10" w:space="0"/>
              <w:right w:val="single" w:color="auto" w:sz="10" w:space="0"/>
              <w:insideV w:val="single" w:sz="10" w:space="0"/>
            </w:tcBorders>
            <w:vAlign w:val="center"/>
          </w:tcPr>
          <w:p w14:paraId="24CE3A2F">
            <w:pPr>
              <w:jc w:val="center"/>
            </w:pPr>
            <w:r>
              <w:rPr>
                <w:rFonts w:ascii="宋体" w:hAnsi="宋体" w:eastAsia="宋体"/>
                <w:sz w:val="16"/>
              </w:rPr>
              <w:t>5</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32D9AB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53C86">
            <w:pPr>
              <w:jc w:val="center"/>
            </w:pPr>
            <w:r>
              <w:rPr>
                <w:rFonts w:ascii="宋体" w:hAnsi="宋体" w:eastAsia="宋体"/>
                <w:sz w:val="16"/>
              </w:rPr>
              <w:t>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3A3F8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EFD0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53F5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BF18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818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061F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FE3CE">
            <w:pPr>
              <w:jc w:val="center"/>
            </w:pPr>
          </w:p>
        </w:tc>
      </w:tr>
      <w:tr w14:paraId="5F7113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F89F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A84A4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909AD7">
            <w:pPr>
              <w:jc w:val="center"/>
            </w:pPr>
            <w:r>
              <w:rPr>
                <w:rFonts w:ascii="宋体" w:hAnsi="宋体" w:eastAsia="宋体"/>
                <w:sz w:val="16"/>
              </w:rPr>
              <w:t>时效指标</w:t>
            </w:r>
          </w:p>
        </w:tc>
        <w:tc>
          <w:tcPr>
            <w:tcW w:w="875" w:type="dxa"/>
            <w:tcBorders>
              <w:top w:val="single" w:color="auto" w:sz="10" w:space="0"/>
              <w:left w:val="single" w:color="auto" w:sz="10" w:space="0"/>
              <w:bottom w:val="single" w:color="auto" w:sz="10" w:space="0"/>
              <w:right w:val="single" w:color="auto" w:sz="10" w:space="0"/>
              <w:insideV w:val="single" w:sz="10" w:space="0"/>
            </w:tcBorders>
            <w:vAlign w:val="center"/>
          </w:tcPr>
          <w:p w14:paraId="7553DB16">
            <w:pPr>
              <w:jc w:val="center"/>
            </w:pPr>
            <w:r>
              <w:rPr>
                <w:rFonts w:ascii="宋体" w:hAnsi="宋体" w:eastAsia="宋体"/>
                <w:sz w:val="16"/>
              </w:rPr>
              <w:t>入户登记工作完成及时性</w:t>
            </w:r>
          </w:p>
        </w:tc>
        <w:tc>
          <w:tcPr>
            <w:tcW w:w="389" w:type="dxa"/>
            <w:tcBorders>
              <w:top w:val="single" w:color="auto" w:sz="10" w:space="0"/>
              <w:left w:val="single" w:color="auto" w:sz="10" w:space="0"/>
              <w:bottom w:val="single" w:color="auto" w:sz="10" w:space="0"/>
              <w:right w:val="single" w:color="auto" w:sz="10" w:space="0"/>
              <w:insideV w:val="single" w:sz="10" w:space="0"/>
            </w:tcBorders>
            <w:vAlign w:val="center"/>
          </w:tcPr>
          <w:p w14:paraId="315D62C3">
            <w:pPr>
              <w:jc w:val="center"/>
            </w:pPr>
            <w:r>
              <w:rPr>
                <w:rFonts w:ascii="宋体" w:hAnsi="宋体" w:eastAsia="宋体"/>
                <w:sz w:val="16"/>
              </w:rPr>
              <w:t>10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F1C3D75">
            <w:pPr>
              <w:jc w:val="center"/>
            </w:pPr>
            <w:r>
              <w:rPr>
                <w:rFonts w:ascii="宋体" w:hAnsi="宋体" w:eastAsia="宋体"/>
                <w:sz w:val="16"/>
              </w:rPr>
              <w:t>11月15日前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080DA">
            <w:pPr>
              <w:jc w:val="center"/>
            </w:pPr>
            <w:r>
              <w:rPr>
                <w:rFonts w:ascii="宋体" w:hAnsi="宋体" w:eastAsia="宋体"/>
                <w:sz w:val="16"/>
              </w:rPr>
              <w:t>11月10日前</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EAF57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D10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6A54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D8B2A">
            <w:pPr>
              <w:jc w:val="center"/>
            </w:pPr>
            <w:r>
              <w:rPr>
                <w:rFonts w:ascii="宋体" w:hAnsi="宋体" w:eastAsia="宋体"/>
                <w:sz w:val="16"/>
              </w:rPr>
              <w:t>11月15日前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6CB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D82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F7F01">
            <w:pPr>
              <w:jc w:val="center"/>
            </w:pPr>
          </w:p>
        </w:tc>
      </w:tr>
      <w:tr w14:paraId="4BAD12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E1A7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C2B8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7A0F1C"/>
        </w:tc>
        <w:tc>
          <w:tcPr>
            <w:tcW w:w="875" w:type="dxa"/>
            <w:tcBorders>
              <w:top w:val="single" w:color="auto" w:sz="10" w:space="0"/>
              <w:left w:val="single" w:color="auto" w:sz="10" w:space="0"/>
              <w:bottom w:val="single" w:color="auto" w:sz="10" w:space="0"/>
              <w:right w:val="single" w:color="auto" w:sz="10" w:space="0"/>
              <w:insideV w:val="single" w:sz="10" w:space="0"/>
            </w:tcBorders>
            <w:vAlign w:val="center"/>
          </w:tcPr>
          <w:p w14:paraId="6C0E57ED">
            <w:pPr>
              <w:jc w:val="center"/>
            </w:pPr>
            <w:r>
              <w:rPr>
                <w:rFonts w:ascii="宋体" w:hAnsi="宋体" w:eastAsia="宋体"/>
                <w:sz w:val="16"/>
              </w:rPr>
              <w:t>两员补助资金发放及时性</w:t>
            </w:r>
          </w:p>
        </w:tc>
        <w:tc>
          <w:tcPr>
            <w:tcW w:w="389" w:type="dxa"/>
            <w:tcBorders>
              <w:top w:val="single" w:color="auto" w:sz="10" w:space="0"/>
              <w:left w:val="single" w:color="auto" w:sz="10" w:space="0"/>
              <w:bottom w:val="single" w:color="auto" w:sz="10" w:space="0"/>
              <w:right w:val="single" w:color="auto" w:sz="10" w:space="0"/>
              <w:insideV w:val="single" w:sz="10" w:space="0"/>
            </w:tcBorders>
            <w:vAlign w:val="center"/>
          </w:tcPr>
          <w:p w14:paraId="3CD35CAB">
            <w:pPr>
              <w:jc w:val="center"/>
            </w:pPr>
            <w:r>
              <w:rPr>
                <w:rFonts w:ascii="宋体" w:hAnsi="宋体" w:eastAsia="宋体"/>
                <w:sz w:val="16"/>
              </w:rPr>
              <w:t>10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ED5701A">
            <w:pPr>
              <w:jc w:val="center"/>
            </w:pPr>
            <w:r>
              <w:rPr>
                <w:rFonts w:ascii="宋体" w:hAnsi="宋体" w:eastAsia="宋体"/>
                <w:sz w:val="16"/>
              </w:rPr>
              <w:t>11月15日前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8389E">
            <w:pPr>
              <w:jc w:val="center"/>
            </w:pPr>
            <w:r>
              <w:rPr>
                <w:rFonts w:ascii="宋体" w:hAnsi="宋体" w:eastAsia="宋体"/>
                <w:sz w:val="16"/>
              </w:rPr>
              <w:t>11月10日前</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ED26E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E2D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4AA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3CEFC">
            <w:pPr>
              <w:jc w:val="center"/>
            </w:pPr>
            <w:r>
              <w:rPr>
                <w:rFonts w:ascii="宋体" w:hAnsi="宋体" w:eastAsia="宋体"/>
                <w:sz w:val="16"/>
              </w:rPr>
              <w:t>2023年11月17日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279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635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5D319">
            <w:pPr>
              <w:jc w:val="center"/>
            </w:pPr>
          </w:p>
        </w:tc>
      </w:tr>
      <w:tr w14:paraId="7B80A7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35AFA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0B9F0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8E6310">
            <w:pPr>
              <w:jc w:val="center"/>
            </w:pPr>
            <w:r>
              <w:rPr>
                <w:rFonts w:ascii="宋体" w:hAnsi="宋体" w:eastAsia="宋体"/>
                <w:sz w:val="16"/>
              </w:rPr>
              <w:t>经济成本指标</w:t>
            </w:r>
          </w:p>
        </w:tc>
        <w:tc>
          <w:tcPr>
            <w:tcW w:w="875" w:type="dxa"/>
            <w:tcBorders>
              <w:top w:val="single" w:color="auto" w:sz="10" w:space="0"/>
              <w:left w:val="single" w:color="auto" w:sz="10" w:space="0"/>
              <w:bottom w:val="single" w:color="auto" w:sz="10" w:space="0"/>
              <w:right w:val="single" w:color="auto" w:sz="10" w:space="0"/>
              <w:insideV w:val="single" w:sz="10" w:space="0"/>
            </w:tcBorders>
            <w:vAlign w:val="center"/>
          </w:tcPr>
          <w:p w14:paraId="74750D8B">
            <w:pPr>
              <w:jc w:val="center"/>
            </w:pPr>
            <w:r>
              <w:rPr>
                <w:rFonts w:ascii="宋体" w:hAnsi="宋体" w:eastAsia="宋体"/>
                <w:sz w:val="16"/>
              </w:rPr>
              <w:t>支出控制在年度预算内</w:t>
            </w:r>
          </w:p>
        </w:tc>
        <w:tc>
          <w:tcPr>
            <w:tcW w:w="389" w:type="dxa"/>
            <w:tcBorders>
              <w:top w:val="single" w:color="auto" w:sz="10" w:space="0"/>
              <w:left w:val="single" w:color="auto" w:sz="10" w:space="0"/>
              <w:bottom w:val="single" w:color="auto" w:sz="10" w:space="0"/>
              <w:right w:val="single" w:color="auto" w:sz="10" w:space="0"/>
              <w:insideV w:val="single" w:sz="10" w:space="0"/>
            </w:tcBorders>
            <w:vAlign w:val="center"/>
          </w:tcPr>
          <w:p w14:paraId="20DB867A">
            <w:pPr>
              <w:jc w:val="center"/>
            </w:pPr>
            <w:r>
              <w:rPr>
                <w:rFonts w:ascii="宋体" w:hAnsi="宋体" w:eastAsia="宋体"/>
                <w:sz w:val="16"/>
              </w:rPr>
              <w:t>10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1DFC4BA">
            <w:pPr>
              <w:jc w:val="center"/>
            </w:pPr>
            <w:r>
              <w:rPr>
                <w:rFonts w:ascii="宋体" w:hAnsi="宋体" w:eastAsia="宋体"/>
                <w:sz w:val="16"/>
              </w:rPr>
              <w:t>=2.51万元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85D6F">
            <w:pPr>
              <w:jc w:val="center"/>
            </w:pPr>
            <w:r>
              <w:rPr>
                <w:rFonts w:ascii="宋体" w:hAnsi="宋体" w:eastAsia="宋体"/>
                <w:sz w:val="16"/>
              </w:rPr>
              <w:t>2.51万元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1E067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4C8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5CB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773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A56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EF1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6C005">
            <w:pPr>
              <w:jc w:val="center"/>
            </w:pPr>
          </w:p>
        </w:tc>
      </w:tr>
      <w:tr w14:paraId="01365E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1E0A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53FD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706A8C"/>
        </w:tc>
        <w:tc>
          <w:tcPr>
            <w:tcW w:w="875" w:type="dxa"/>
            <w:tcBorders>
              <w:top w:val="single" w:color="auto" w:sz="10" w:space="0"/>
              <w:left w:val="single" w:color="auto" w:sz="10" w:space="0"/>
              <w:bottom w:val="single" w:color="auto" w:sz="10" w:space="0"/>
              <w:right w:val="single" w:color="auto" w:sz="10" w:space="0"/>
              <w:insideV w:val="single" w:sz="10" w:space="0"/>
            </w:tcBorders>
            <w:vAlign w:val="center"/>
          </w:tcPr>
          <w:p w14:paraId="5655382B">
            <w:pPr>
              <w:jc w:val="center"/>
            </w:pPr>
            <w:r>
              <w:rPr>
                <w:rFonts w:ascii="宋体" w:hAnsi="宋体" w:eastAsia="宋体"/>
                <w:sz w:val="16"/>
              </w:rPr>
              <w:t>两员补贴</w:t>
            </w:r>
          </w:p>
        </w:tc>
        <w:tc>
          <w:tcPr>
            <w:tcW w:w="389" w:type="dxa"/>
            <w:tcBorders>
              <w:top w:val="single" w:color="auto" w:sz="10" w:space="0"/>
              <w:left w:val="single" w:color="auto" w:sz="10" w:space="0"/>
              <w:bottom w:val="single" w:color="auto" w:sz="10" w:space="0"/>
              <w:right w:val="single" w:color="auto" w:sz="10" w:space="0"/>
              <w:insideV w:val="single" w:sz="10" w:space="0"/>
            </w:tcBorders>
            <w:vAlign w:val="center"/>
          </w:tcPr>
          <w:p w14:paraId="7A91D85D">
            <w:pPr>
              <w:jc w:val="center"/>
            </w:pPr>
            <w:r>
              <w:rPr>
                <w:rFonts w:ascii="宋体" w:hAnsi="宋体" w:eastAsia="宋体"/>
                <w:sz w:val="16"/>
              </w:rPr>
              <w:t>10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F21380E">
            <w:pPr>
              <w:jc w:val="center"/>
            </w:pPr>
            <w:r>
              <w:rPr>
                <w:rFonts w:ascii="宋体" w:hAnsi="宋体" w:eastAsia="宋体"/>
                <w:sz w:val="16"/>
              </w:rPr>
              <w:t>&lt;=2.40万元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D8ACF">
            <w:pPr>
              <w:jc w:val="center"/>
            </w:pPr>
            <w:r>
              <w:rPr>
                <w:rFonts w:ascii="宋体" w:hAnsi="宋体" w:eastAsia="宋体"/>
                <w:sz w:val="16"/>
              </w:rPr>
              <w:t>2.4万元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AB99C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DD4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1B5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7B53E">
            <w:pPr>
              <w:jc w:val="center"/>
            </w:pPr>
            <w:r>
              <w:rPr>
                <w:rFonts w:ascii="宋体" w:hAnsi="宋体" w:eastAsia="宋体"/>
                <w:sz w:val="16"/>
              </w:rPr>
              <w: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648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1EDB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0DD08">
            <w:pPr>
              <w:jc w:val="center"/>
            </w:pPr>
          </w:p>
        </w:tc>
      </w:tr>
      <w:tr w14:paraId="7776E2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2F42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D833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3A0ECE"/>
        </w:tc>
        <w:tc>
          <w:tcPr>
            <w:tcW w:w="875" w:type="dxa"/>
            <w:tcBorders>
              <w:top w:val="single" w:color="auto" w:sz="10" w:space="0"/>
              <w:left w:val="single" w:color="auto" w:sz="10" w:space="0"/>
              <w:bottom w:val="single" w:color="auto" w:sz="10" w:space="0"/>
              <w:right w:val="single" w:color="auto" w:sz="10" w:space="0"/>
              <w:insideV w:val="single" w:sz="10" w:space="0"/>
            </w:tcBorders>
            <w:vAlign w:val="center"/>
          </w:tcPr>
          <w:p w14:paraId="2D4C9A55">
            <w:pPr>
              <w:jc w:val="center"/>
            </w:pPr>
            <w:r>
              <w:rPr>
                <w:rFonts w:ascii="宋体" w:hAnsi="宋体" w:eastAsia="宋体"/>
                <w:sz w:val="16"/>
              </w:rPr>
              <w:t>两员人身意外伤害保险</w:t>
            </w:r>
          </w:p>
        </w:tc>
        <w:tc>
          <w:tcPr>
            <w:tcW w:w="389" w:type="dxa"/>
            <w:tcBorders>
              <w:top w:val="single" w:color="auto" w:sz="10" w:space="0"/>
              <w:left w:val="single" w:color="auto" w:sz="10" w:space="0"/>
              <w:bottom w:val="single" w:color="auto" w:sz="10" w:space="0"/>
              <w:right w:val="single" w:color="auto" w:sz="10" w:space="0"/>
              <w:insideV w:val="single" w:sz="10" w:space="0"/>
            </w:tcBorders>
            <w:vAlign w:val="center"/>
          </w:tcPr>
          <w:p w14:paraId="67B62F44">
            <w:pPr>
              <w:jc w:val="center"/>
            </w:pPr>
            <w:r>
              <w:rPr>
                <w:rFonts w:ascii="宋体" w:hAnsi="宋体" w:eastAsia="宋体"/>
                <w:sz w:val="16"/>
              </w:rPr>
              <w:t>10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D7D78B5">
            <w:pPr>
              <w:jc w:val="center"/>
            </w:pPr>
            <w:r>
              <w:rPr>
                <w:rFonts w:ascii="宋体" w:hAnsi="宋体" w:eastAsia="宋体"/>
                <w:sz w:val="16"/>
              </w:rPr>
              <w:t>&lt;=0.11万元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43B7B">
            <w:pPr>
              <w:jc w:val="center"/>
            </w:pPr>
            <w:r>
              <w:rPr>
                <w:rFonts w:ascii="宋体" w:hAnsi="宋体" w:eastAsia="宋体"/>
                <w:sz w:val="16"/>
              </w:rPr>
              <w:t>0.11万元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3A233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1485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AD2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CA1D6">
            <w:pPr>
              <w:jc w:val="center"/>
            </w:pPr>
            <w:r>
              <w:rPr>
                <w:rFonts w:ascii="宋体" w:hAnsi="宋体" w:eastAsia="宋体"/>
                <w:sz w:val="16"/>
              </w:rPr>
              <w:t>0.11万元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510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88E5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F7D42">
            <w:pPr>
              <w:jc w:val="center"/>
            </w:pPr>
          </w:p>
        </w:tc>
      </w:tr>
      <w:tr w14:paraId="4AE095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EC1B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E3DB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8FA92">
            <w:pPr>
              <w:jc w:val="center"/>
            </w:pPr>
            <w:r>
              <w:rPr>
                <w:rFonts w:ascii="宋体" w:hAnsi="宋体" w:eastAsia="宋体"/>
                <w:sz w:val="16"/>
              </w:rPr>
              <w:t>社会效益指标</w:t>
            </w:r>
          </w:p>
        </w:tc>
        <w:tc>
          <w:tcPr>
            <w:tcW w:w="875" w:type="dxa"/>
            <w:tcBorders>
              <w:top w:val="single" w:color="auto" w:sz="10" w:space="0"/>
              <w:left w:val="single" w:color="auto" w:sz="10" w:space="0"/>
              <w:bottom w:val="single" w:color="auto" w:sz="10" w:space="0"/>
              <w:right w:val="single" w:color="auto" w:sz="10" w:space="0"/>
              <w:insideV w:val="single" w:sz="10" w:space="0"/>
            </w:tcBorders>
            <w:vAlign w:val="center"/>
          </w:tcPr>
          <w:p w14:paraId="257128D5">
            <w:pPr>
              <w:jc w:val="center"/>
            </w:pPr>
            <w:r>
              <w:rPr>
                <w:rFonts w:ascii="宋体" w:hAnsi="宋体" w:eastAsia="宋体"/>
                <w:sz w:val="16"/>
              </w:rPr>
              <w:t>为</w:t>
            </w:r>
            <w:r>
              <w:rPr>
                <w:rFonts w:hint="eastAsia" w:ascii="宋体" w:hAnsi="宋体"/>
                <w:sz w:val="16"/>
                <w:lang w:eastAsia="zh-CN"/>
              </w:rPr>
              <w:t>县委、县政府</w:t>
            </w:r>
            <w:r>
              <w:rPr>
                <w:rFonts w:ascii="宋体" w:hAnsi="宋体" w:eastAsia="宋体"/>
                <w:sz w:val="16"/>
              </w:rPr>
              <w:t>决策及相关部门制定工作规划提供参考的影响程度</w:t>
            </w:r>
          </w:p>
        </w:tc>
        <w:tc>
          <w:tcPr>
            <w:tcW w:w="389" w:type="dxa"/>
            <w:tcBorders>
              <w:top w:val="single" w:color="auto" w:sz="10" w:space="0"/>
              <w:left w:val="single" w:color="auto" w:sz="10" w:space="0"/>
              <w:bottom w:val="single" w:color="auto" w:sz="10" w:space="0"/>
              <w:right w:val="single" w:color="auto" w:sz="10" w:space="0"/>
              <w:insideV w:val="single" w:sz="10" w:space="0"/>
            </w:tcBorders>
            <w:vAlign w:val="center"/>
          </w:tcPr>
          <w:p w14:paraId="28269DE7">
            <w:pPr>
              <w:jc w:val="center"/>
            </w:pPr>
            <w:r>
              <w:rPr>
                <w:rFonts w:ascii="宋体" w:hAnsi="宋体" w:eastAsia="宋体"/>
                <w:sz w:val="16"/>
              </w:rPr>
              <w:t>20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5017D32">
            <w:pPr>
              <w:jc w:val="center"/>
            </w:pPr>
            <w:r>
              <w:rPr>
                <w:rFonts w:ascii="宋体" w:hAnsi="宋体" w:eastAsia="宋体"/>
                <w:sz w:val="16"/>
              </w:rPr>
              <w:t>较高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80EC8">
            <w:pPr>
              <w:jc w:val="center"/>
            </w:pPr>
            <w:r>
              <w:rPr>
                <w:rFonts w:ascii="宋体" w:hAnsi="宋体" w:eastAsia="宋体"/>
                <w:sz w:val="16"/>
              </w:rPr>
              <w:t>较高</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8488D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29FF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342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E9ECC">
            <w:pPr>
              <w:jc w:val="center"/>
            </w:pPr>
            <w:r>
              <w:rPr>
                <w:rFonts w:ascii="宋体" w:hAnsi="宋体" w:eastAsia="宋体"/>
                <w:sz w:val="16"/>
              </w:rPr>
              <w:t>较高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FA11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5E8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1EA4E">
            <w:pPr>
              <w:jc w:val="center"/>
            </w:pPr>
          </w:p>
        </w:tc>
      </w:tr>
      <w:tr w14:paraId="2F6D12DD">
        <w:tblPrEx>
          <w:tblCellMar>
            <w:top w:w="0" w:type="dxa"/>
            <w:left w:w="108" w:type="dxa"/>
            <w:bottom w:w="0" w:type="dxa"/>
            <w:right w:w="108" w:type="dxa"/>
          </w:tblCellMar>
        </w:tblPrEx>
        <w:tc>
          <w:tcPr>
            <w:tcW w:w="2771"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AD8DAAE">
            <w:pPr>
              <w:jc w:val="center"/>
            </w:pPr>
            <w:r>
              <w:rPr>
                <w:rFonts w:ascii="宋体" w:hAnsi="宋体" w:eastAsia="宋体"/>
                <w:sz w:val="16"/>
              </w:rPr>
              <w:t>总分</w:t>
            </w:r>
          </w:p>
        </w:tc>
        <w:tc>
          <w:tcPr>
            <w:tcW w:w="389" w:type="dxa"/>
            <w:tcBorders>
              <w:top w:val="single" w:color="auto" w:sz="10" w:space="0"/>
              <w:left w:val="single" w:color="auto" w:sz="10" w:space="0"/>
              <w:bottom w:val="single" w:color="auto" w:sz="10" w:space="0"/>
              <w:right w:val="single" w:color="auto" w:sz="10" w:space="0"/>
              <w:insideV w:val="single" w:sz="10" w:space="0"/>
            </w:tcBorders>
            <w:vAlign w:val="center"/>
          </w:tcPr>
          <w:p w14:paraId="623FBDFF">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tcPr>
          <w:p w14:paraId="61EF908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43DD2D"/>
        </w:tc>
        <w:tc>
          <w:tcPr>
            <w:tcW w:w="776" w:type="dxa"/>
            <w:tcBorders>
              <w:top w:val="single" w:color="auto" w:sz="10" w:space="0"/>
              <w:left w:val="single" w:color="auto" w:sz="10" w:space="0"/>
              <w:bottom w:val="single" w:color="auto" w:sz="10" w:space="0"/>
              <w:right w:val="single" w:color="auto" w:sz="10" w:space="0"/>
              <w:insideV w:val="single" w:sz="10" w:space="0"/>
            </w:tcBorders>
          </w:tcPr>
          <w:p w14:paraId="745FE4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F9F8E">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03CC5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6F937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02DFD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B2A68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F6F258"/>
        </w:tc>
      </w:tr>
    </w:tbl>
    <w:p w14:paraId="5B23412C">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5"/>
        <w:gridCol w:w="625"/>
        <w:gridCol w:w="627"/>
        <w:gridCol w:w="632"/>
        <w:gridCol w:w="629"/>
        <w:gridCol w:w="776"/>
        <w:gridCol w:w="627"/>
        <w:gridCol w:w="625"/>
        <w:gridCol w:w="696"/>
        <w:gridCol w:w="625"/>
        <w:gridCol w:w="625"/>
        <w:gridCol w:w="696"/>
      </w:tblGrid>
      <w:tr w14:paraId="0A3711FC">
        <w:tblPrEx>
          <w:tblCellMar>
            <w:top w:w="0" w:type="dxa"/>
            <w:left w:w="108" w:type="dxa"/>
            <w:bottom w:w="0" w:type="dxa"/>
            <w:right w:w="108" w:type="dxa"/>
          </w:tblCellMar>
        </w:tblPrEx>
        <w:tc>
          <w:tcPr>
            <w:tcW w:w="8848" w:type="dxa"/>
            <w:gridSpan w:val="14"/>
            <w:vAlign w:val="center"/>
          </w:tcPr>
          <w:p w14:paraId="7D87FE9F">
            <w:pPr>
              <w:jc w:val="center"/>
            </w:pPr>
            <w:r>
              <w:rPr>
                <w:rFonts w:ascii="宋体" w:hAnsi="宋体" w:eastAsia="宋体"/>
                <w:sz w:val="24"/>
              </w:rPr>
              <w:t>项目支出绩效自评表</w:t>
            </w:r>
          </w:p>
        </w:tc>
      </w:tr>
      <w:tr w14:paraId="2988165B">
        <w:tblPrEx>
          <w:tblCellMar>
            <w:top w:w="0" w:type="dxa"/>
            <w:left w:w="108" w:type="dxa"/>
            <w:bottom w:w="0" w:type="dxa"/>
            <w:right w:w="108" w:type="dxa"/>
          </w:tblCellMar>
        </w:tblPrEx>
        <w:tc>
          <w:tcPr>
            <w:tcW w:w="8848" w:type="dxa"/>
            <w:gridSpan w:val="14"/>
            <w:vAlign w:val="center"/>
          </w:tcPr>
          <w:p w14:paraId="36AFAED3">
            <w:pPr>
              <w:jc w:val="center"/>
            </w:pPr>
            <w:r>
              <w:rPr>
                <w:rFonts w:ascii="宋体" w:hAnsi="宋体" w:eastAsia="宋体"/>
                <w:sz w:val="24"/>
              </w:rPr>
              <w:t>(2024年度)</w:t>
            </w:r>
          </w:p>
        </w:tc>
      </w:tr>
      <w:tr w14:paraId="5BF4CD8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1D45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7E28B26">
            <w:pPr>
              <w:jc w:val="center"/>
            </w:pPr>
            <w:r>
              <w:rPr>
                <w:rFonts w:ascii="宋体" w:hAnsi="宋体" w:eastAsia="宋体"/>
                <w:sz w:val="16"/>
              </w:rPr>
              <w:t>城乡居民收支调查记账补贴项目</w:t>
            </w:r>
          </w:p>
        </w:tc>
      </w:tr>
      <w:tr w14:paraId="34B8B17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FADB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7729D8">
            <w:pPr>
              <w:jc w:val="center"/>
            </w:pPr>
            <w:r>
              <w:rPr>
                <w:rFonts w:ascii="宋体" w:hAnsi="宋体" w:eastAsia="宋体"/>
                <w:sz w:val="16"/>
              </w:rPr>
              <w:t>霍城县统计局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FA69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5C11D3">
            <w:pPr>
              <w:jc w:val="center"/>
            </w:pPr>
            <w:r>
              <w:rPr>
                <w:rFonts w:ascii="宋体" w:hAnsi="宋体" w:eastAsia="宋体"/>
                <w:sz w:val="16"/>
              </w:rPr>
              <w:t>霍城县统计局</w:t>
            </w:r>
          </w:p>
        </w:tc>
      </w:tr>
      <w:tr w14:paraId="1AC15E6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9FEE37">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F28F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D018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C5E6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9A8A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C477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E89E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51798">
            <w:pPr>
              <w:jc w:val="center"/>
            </w:pPr>
            <w:r>
              <w:rPr>
                <w:rFonts w:ascii="宋体" w:hAnsi="宋体" w:eastAsia="宋体"/>
                <w:sz w:val="16"/>
              </w:rPr>
              <w:t>得分</w:t>
            </w:r>
          </w:p>
        </w:tc>
      </w:tr>
      <w:tr w14:paraId="792D76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9DCB4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8CFD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ADF4B5">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D6538">
            <w:pPr>
              <w:jc w:val="center"/>
            </w:pPr>
            <w:r>
              <w:rPr>
                <w:rFonts w:ascii="宋体" w:hAnsi="宋体" w:eastAsia="宋体"/>
                <w:sz w:val="16"/>
              </w:rPr>
              <w:t>33.66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8A536">
            <w:pPr>
              <w:jc w:val="center"/>
            </w:pPr>
            <w:r>
              <w:rPr>
                <w:rFonts w:ascii="宋体" w:hAnsi="宋体" w:eastAsia="宋体"/>
                <w:sz w:val="16"/>
              </w:rPr>
              <w:t>33.66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BC9E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D7D4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E2DB9">
            <w:pPr>
              <w:jc w:val="center"/>
            </w:pPr>
            <w:r>
              <w:rPr>
                <w:rFonts w:ascii="宋体" w:hAnsi="宋体" w:eastAsia="宋体"/>
                <w:sz w:val="16"/>
              </w:rPr>
              <w:t>10.00</w:t>
            </w:r>
          </w:p>
        </w:tc>
      </w:tr>
      <w:tr w14:paraId="1369C3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C5C0E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AE85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7F0503">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42B7D">
            <w:pPr>
              <w:jc w:val="center"/>
            </w:pPr>
            <w:r>
              <w:rPr>
                <w:rFonts w:ascii="宋体" w:hAnsi="宋体" w:eastAsia="宋体"/>
                <w:sz w:val="16"/>
              </w:rPr>
              <w:t>33.66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C35700">
            <w:pPr>
              <w:jc w:val="center"/>
            </w:pPr>
            <w:r>
              <w:rPr>
                <w:rFonts w:ascii="宋体" w:hAnsi="宋体" w:eastAsia="宋体"/>
                <w:sz w:val="16"/>
              </w:rPr>
              <w:t>33.66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B301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055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85B61">
            <w:pPr>
              <w:jc w:val="center"/>
            </w:pPr>
            <w:r>
              <w:rPr>
                <w:rFonts w:ascii="宋体" w:hAnsi="宋体" w:eastAsia="宋体"/>
                <w:sz w:val="16"/>
              </w:rPr>
              <w:t>—</w:t>
            </w:r>
          </w:p>
        </w:tc>
      </w:tr>
      <w:tr w14:paraId="69A432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0F62D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CF90B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C6ED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BAF4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8CD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49E4F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D7C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8A1AA">
            <w:pPr>
              <w:jc w:val="center"/>
            </w:pPr>
            <w:r>
              <w:rPr>
                <w:rFonts w:ascii="宋体" w:hAnsi="宋体" w:eastAsia="宋体"/>
                <w:sz w:val="16"/>
              </w:rPr>
              <w:t>—</w:t>
            </w:r>
          </w:p>
        </w:tc>
      </w:tr>
      <w:tr w14:paraId="7220913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118C1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F4499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1CAE565">
            <w:pPr>
              <w:jc w:val="center"/>
            </w:pPr>
            <w:r>
              <w:rPr>
                <w:rFonts w:ascii="宋体" w:hAnsi="宋体" w:eastAsia="宋体"/>
                <w:sz w:val="16"/>
              </w:rPr>
              <w:t>实际完成情况</w:t>
            </w:r>
          </w:p>
        </w:tc>
      </w:tr>
      <w:tr w14:paraId="588690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92F1D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4A419B">
            <w:pPr>
              <w:jc w:val="both"/>
            </w:pPr>
            <w:r>
              <w:rPr>
                <w:rFonts w:ascii="宋体" w:hAnsi="宋体" w:eastAsia="宋体"/>
                <w:sz w:val="16"/>
              </w:rPr>
              <w:t>加快推进落实将各项国家调查所需经费列入统计地方财政预算予以保障，确保及时拨付到位的要求，霍城县共抽取11个村的110户记账户和11名辅调员每月按时开展记账工作。为政府决策提供科学、准确、详细的居民生活状况资料，客观了解人民群众日益增长的生活需求，为国民经济核算提供基础数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A91DB7">
            <w:pPr>
              <w:jc w:val="both"/>
            </w:pPr>
            <w:r>
              <w:rPr>
                <w:rFonts w:ascii="宋体" w:hAnsi="宋体" w:eastAsia="宋体"/>
                <w:sz w:val="16"/>
              </w:rPr>
              <w:t>霍城县共抽取11个村的110户记账户和11名辅调员每月按时开展记账工作,为政府决策提供科学、准确、详细的居民生活状况资料，客观了解人民群众日益增长的生活需求，为国民经济核算提供基础数据。并按季度发放记账户补贴及辅调员补贴全年共计33.66万元。</w:t>
            </w:r>
          </w:p>
        </w:tc>
      </w:tr>
      <w:tr w14:paraId="60D81F6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EF000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687F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6514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5DE4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7DDA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15A38">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3DCC9">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AB64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47476">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0D39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0683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9F17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09BD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1B6EC">
            <w:pPr>
              <w:jc w:val="center"/>
            </w:pPr>
            <w:r>
              <w:rPr>
                <w:rFonts w:ascii="宋体" w:hAnsi="宋体" w:eastAsia="宋体"/>
                <w:sz w:val="16"/>
              </w:rPr>
              <w:t>偏差原因分析及改进措施</w:t>
            </w:r>
          </w:p>
        </w:tc>
      </w:tr>
      <w:tr w14:paraId="1081FAD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6B330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A364F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D77BF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97BED">
            <w:pPr>
              <w:jc w:val="center"/>
            </w:pPr>
            <w:r>
              <w:rPr>
                <w:rFonts w:ascii="宋体" w:hAnsi="宋体" w:eastAsia="宋体"/>
                <w:sz w:val="16"/>
              </w:rPr>
              <w:t>记账户户数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19D6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C38EB">
            <w:pPr>
              <w:jc w:val="center"/>
            </w:pPr>
            <w:r>
              <w:rPr>
                <w:rFonts w:ascii="宋体" w:hAnsi="宋体" w:eastAsia="宋体"/>
                <w:sz w:val="16"/>
              </w:rPr>
              <w:t>=110户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DF8D1">
            <w:pPr>
              <w:jc w:val="center"/>
            </w:pPr>
            <w:r>
              <w:rPr>
                <w:rFonts w:ascii="宋体" w:hAnsi="宋体" w:eastAsia="宋体"/>
                <w:sz w:val="16"/>
              </w:rPr>
              <w:t>110户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737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B1C9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36E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93A11">
            <w:pPr>
              <w:jc w:val="center"/>
            </w:pPr>
            <w:r>
              <w:rPr>
                <w:rFonts w:ascii="宋体" w:hAnsi="宋体" w:eastAsia="宋体"/>
                <w:sz w:val="16"/>
              </w:rPr>
              <w:t>110户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D13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E00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49055">
            <w:pPr>
              <w:jc w:val="center"/>
            </w:pPr>
          </w:p>
        </w:tc>
      </w:tr>
      <w:tr w14:paraId="72B5F7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11C4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4A54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284A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F9EED">
            <w:pPr>
              <w:jc w:val="center"/>
            </w:pPr>
            <w:r>
              <w:rPr>
                <w:rFonts w:ascii="宋体" w:hAnsi="宋体" w:eastAsia="宋体"/>
                <w:sz w:val="16"/>
              </w:rPr>
              <w:t>辅调员人数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0D4C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979B3">
            <w:pPr>
              <w:jc w:val="center"/>
            </w:pPr>
            <w:r>
              <w:rPr>
                <w:rFonts w:ascii="宋体" w:hAnsi="宋体" w:eastAsia="宋体"/>
                <w:sz w:val="16"/>
              </w:rPr>
              <w: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CF207">
            <w:pPr>
              <w:jc w:val="center"/>
            </w:pPr>
            <w:r>
              <w:rPr>
                <w:rFonts w:ascii="宋体" w:hAnsi="宋体" w:eastAsia="宋体"/>
                <w:sz w:val="16"/>
              </w:rPr>
              <w: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52B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F56B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C03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8C89A">
            <w:pPr>
              <w:jc w:val="center"/>
            </w:pPr>
            <w:r>
              <w:rPr>
                <w:rFonts w:ascii="宋体" w:hAnsi="宋体" w:eastAsia="宋体"/>
                <w:sz w:val="16"/>
              </w:rPr>
              <w: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E03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BE2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EA28A">
            <w:pPr>
              <w:jc w:val="center"/>
            </w:pPr>
          </w:p>
        </w:tc>
      </w:tr>
      <w:tr w14:paraId="33396C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1734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AFEA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EF24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2B780">
            <w:pPr>
              <w:jc w:val="center"/>
            </w:pPr>
            <w:r>
              <w:rPr>
                <w:rFonts w:ascii="宋体" w:hAnsi="宋体" w:eastAsia="宋体"/>
                <w:sz w:val="16"/>
              </w:rPr>
              <w:t>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0196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53045">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96C01">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70F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5889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65E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2D1DC">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072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BF15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47D5E">
            <w:pPr>
              <w:jc w:val="center"/>
            </w:pPr>
          </w:p>
        </w:tc>
      </w:tr>
      <w:tr w14:paraId="0374DD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4618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22A4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A2DB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463AA">
            <w:pPr>
              <w:jc w:val="center"/>
            </w:pPr>
            <w:r>
              <w:rPr>
                <w:rFonts w:ascii="宋体" w:hAnsi="宋体" w:eastAsia="宋体"/>
                <w:sz w:val="16"/>
              </w:rPr>
              <w:t>补助正常发放率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D5FC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C53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08C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51D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3777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B94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6CE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3E5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DE8B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E2314">
            <w:pPr>
              <w:jc w:val="center"/>
            </w:pPr>
          </w:p>
        </w:tc>
      </w:tr>
      <w:tr w14:paraId="60A89A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CBD6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7B79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C8CB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74C24">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0486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7AC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458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6DA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A3E2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DBA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4AC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679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A70E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259ED">
            <w:pPr>
              <w:jc w:val="center"/>
            </w:pPr>
          </w:p>
        </w:tc>
      </w:tr>
      <w:tr w14:paraId="78197F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58528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C1995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B5D18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95881">
            <w:pPr>
              <w:jc w:val="center"/>
            </w:pPr>
            <w:r>
              <w:rPr>
                <w:rFonts w:ascii="宋体" w:hAnsi="宋体" w:eastAsia="宋体"/>
                <w:sz w:val="16"/>
              </w:rPr>
              <w:t>记账户人均补助资金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89A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1B9E4">
            <w:pPr>
              <w:jc w:val="center"/>
            </w:pPr>
            <w:r>
              <w:rPr>
                <w:rFonts w:ascii="宋体" w:hAnsi="宋体" w:eastAsia="宋体"/>
                <w:sz w:val="16"/>
              </w:rPr>
              <w:t>=600元/季/人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1B3F8">
            <w:pPr>
              <w:jc w:val="center"/>
            </w:pPr>
            <w:r>
              <w:rPr>
                <w:rFonts w:ascii="宋体" w:hAnsi="宋体" w:eastAsia="宋体"/>
                <w:sz w:val="16"/>
              </w:rPr>
              <w:t>600元/季/人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4D0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3E0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E41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1DC0B">
            <w:pPr>
              <w:jc w:val="center"/>
            </w:pPr>
            <w:r>
              <w:rPr>
                <w:rFonts w:ascii="宋体" w:hAnsi="宋体" w:eastAsia="宋体"/>
                <w:sz w:val="16"/>
              </w:rPr>
              <w:t>200元/人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B75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D405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39793">
            <w:pPr>
              <w:jc w:val="center"/>
            </w:pPr>
          </w:p>
        </w:tc>
      </w:tr>
      <w:tr w14:paraId="7A06C0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B4C6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6CD3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1DCB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93919">
            <w:pPr>
              <w:jc w:val="center"/>
            </w:pPr>
            <w:r>
              <w:rPr>
                <w:rFonts w:ascii="宋体" w:hAnsi="宋体" w:eastAsia="宋体"/>
                <w:sz w:val="16"/>
              </w:rPr>
              <w:t>辅调员人均补助资金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789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CA3E7">
            <w:pPr>
              <w:jc w:val="center"/>
            </w:pPr>
            <w:r>
              <w:rPr>
                <w:rFonts w:ascii="宋体" w:hAnsi="宋体" w:eastAsia="宋体"/>
                <w:sz w:val="16"/>
              </w:rPr>
              <w:t>=1650元/季/人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84076">
            <w:pPr>
              <w:jc w:val="center"/>
            </w:pPr>
            <w:r>
              <w:rPr>
                <w:rFonts w:ascii="宋体" w:hAnsi="宋体" w:eastAsia="宋体"/>
                <w:sz w:val="16"/>
              </w:rPr>
              <w:t>1650元/季/人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C72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BD9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75C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5B6D9">
            <w:pPr>
              <w:jc w:val="center"/>
            </w:pPr>
            <w:r>
              <w:rPr>
                <w:rFonts w:ascii="宋体" w:hAnsi="宋体" w:eastAsia="宋体"/>
                <w:sz w:val="16"/>
              </w:rPr>
              <w:t>550元/人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1DF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52DA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402B7">
            <w:pPr>
              <w:jc w:val="center"/>
            </w:pPr>
          </w:p>
        </w:tc>
      </w:tr>
      <w:tr w14:paraId="39534B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B9FC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D1A8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B262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394B5">
            <w:pPr>
              <w:jc w:val="center"/>
            </w:pPr>
            <w:r>
              <w:rPr>
                <w:rFonts w:ascii="宋体" w:hAnsi="宋体" w:eastAsia="宋体"/>
                <w:sz w:val="16"/>
              </w:rPr>
              <w:t>城乡居民收支调查工作有序开展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2ADD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6F9E8">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986F1">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ED7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7E26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E55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52FA4">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ACC6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6BA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7C85F">
            <w:pPr>
              <w:jc w:val="center"/>
            </w:pPr>
          </w:p>
        </w:tc>
      </w:tr>
      <w:tr w14:paraId="41F667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D1BA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543B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14CD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F3C4B">
            <w:pPr>
              <w:jc w:val="center"/>
            </w:pPr>
            <w:r>
              <w:rPr>
                <w:rFonts w:ascii="宋体" w:hAnsi="宋体" w:eastAsia="宋体"/>
                <w:sz w:val="16"/>
              </w:rPr>
              <w:t>辅调员满意度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2C8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A807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1C3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FEF93">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935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128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7AE7E">
            <w:pPr>
              <w:jc w:val="center"/>
            </w:pPr>
            <w:r>
              <w:rPr>
                <w:rFonts w:ascii="宋体" w:hAnsi="宋体" w:eastAsia="宋体"/>
                <w:sz w:val="16"/>
              </w:rPr>
              <w:t>98.75%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1F0D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C90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F5666">
            <w:pPr>
              <w:jc w:val="center"/>
            </w:pPr>
            <w:r>
              <w:rPr>
                <w:rFonts w:ascii="宋体" w:hAnsi="宋体" w:eastAsia="宋体"/>
                <w:sz w:val="16"/>
              </w:rPr>
              <w:t>发放的辅调员调查问卷结果满意度均是100%，因此有偏差。</w:t>
            </w:r>
          </w:p>
        </w:tc>
      </w:tr>
      <w:tr w14:paraId="6B308DB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16CE54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121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DB2C1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96E69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F2BD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C6384">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8FA6F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09601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614FB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7BB40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DC75A1"/>
        </w:tc>
      </w:tr>
    </w:tbl>
    <w:p w14:paraId="3DC92DB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632"/>
        <w:gridCol w:w="632"/>
        <w:gridCol w:w="632"/>
        <w:gridCol w:w="632"/>
        <w:gridCol w:w="632"/>
        <w:gridCol w:w="632"/>
        <w:gridCol w:w="632"/>
      </w:tblGrid>
      <w:tr w14:paraId="6C218F75">
        <w:tblPrEx>
          <w:tblCellMar>
            <w:top w:w="0" w:type="dxa"/>
            <w:left w:w="108" w:type="dxa"/>
            <w:bottom w:w="0" w:type="dxa"/>
            <w:right w:w="108" w:type="dxa"/>
          </w:tblCellMar>
        </w:tblPrEx>
        <w:tc>
          <w:tcPr>
            <w:tcW w:w="8848" w:type="dxa"/>
            <w:gridSpan w:val="14"/>
            <w:vAlign w:val="center"/>
          </w:tcPr>
          <w:p w14:paraId="4FC6F294">
            <w:pPr>
              <w:jc w:val="center"/>
            </w:pPr>
            <w:r>
              <w:rPr>
                <w:rFonts w:ascii="宋体" w:hAnsi="宋体" w:eastAsia="宋体"/>
                <w:sz w:val="24"/>
              </w:rPr>
              <w:t>项目支出绩效自评表</w:t>
            </w:r>
          </w:p>
        </w:tc>
      </w:tr>
      <w:tr w14:paraId="395604DB">
        <w:tblPrEx>
          <w:tblCellMar>
            <w:top w:w="0" w:type="dxa"/>
            <w:left w:w="108" w:type="dxa"/>
            <w:bottom w:w="0" w:type="dxa"/>
            <w:right w:w="108" w:type="dxa"/>
          </w:tblCellMar>
        </w:tblPrEx>
        <w:tc>
          <w:tcPr>
            <w:tcW w:w="8848" w:type="dxa"/>
            <w:gridSpan w:val="14"/>
            <w:vAlign w:val="center"/>
          </w:tcPr>
          <w:p w14:paraId="2E0A80E1">
            <w:pPr>
              <w:jc w:val="center"/>
            </w:pPr>
            <w:r>
              <w:rPr>
                <w:rFonts w:ascii="宋体" w:hAnsi="宋体" w:eastAsia="宋体"/>
                <w:sz w:val="24"/>
              </w:rPr>
              <w:t>(2024年度)</w:t>
            </w:r>
          </w:p>
        </w:tc>
      </w:tr>
      <w:tr w14:paraId="6A67A30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5663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893C68E">
            <w:pPr>
              <w:jc w:val="center"/>
            </w:pPr>
            <w:r>
              <w:rPr>
                <w:rFonts w:ascii="宋体" w:hAnsi="宋体" w:eastAsia="宋体"/>
                <w:sz w:val="16"/>
              </w:rPr>
              <w:t>自治区第五次全国经济普查项目</w:t>
            </w:r>
          </w:p>
        </w:tc>
      </w:tr>
      <w:tr w14:paraId="698B9D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A3DC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590AF3">
            <w:pPr>
              <w:jc w:val="center"/>
            </w:pPr>
            <w:r>
              <w:rPr>
                <w:rFonts w:ascii="宋体" w:hAnsi="宋体" w:eastAsia="宋体"/>
                <w:sz w:val="16"/>
              </w:rPr>
              <w:t>霍城县统计局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FFF4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5E08BD">
            <w:pPr>
              <w:jc w:val="center"/>
            </w:pPr>
            <w:r>
              <w:rPr>
                <w:rFonts w:ascii="宋体" w:hAnsi="宋体" w:eastAsia="宋体"/>
                <w:sz w:val="16"/>
              </w:rPr>
              <w:t>霍城县统计局</w:t>
            </w:r>
          </w:p>
        </w:tc>
      </w:tr>
      <w:tr w14:paraId="0B46100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9C45D9">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316D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2F73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ACC3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99A1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C319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703AE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BE0F1">
            <w:pPr>
              <w:jc w:val="center"/>
            </w:pPr>
            <w:r>
              <w:rPr>
                <w:rFonts w:ascii="宋体" w:hAnsi="宋体" w:eastAsia="宋体"/>
                <w:sz w:val="16"/>
              </w:rPr>
              <w:t>得分</w:t>
            </w:r>
          </w:p>
        </w:tc>
      </w:tr>
      <w:tr w14:paraId="5B9CE8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91EF1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0D9D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95C46">
            <w:pPr>
              <w:jc w:val="center"/>
            </w:pPr>
            <w:r>
              <w:rPr>
                <w:rFonts w:ascii="宋体" w:hAnsi="宋体" w:eastAsia="宋体"/>
                <w:sz w:val="16"/>
              </w:rPr>
              <w:t>39.13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5CFAC">
            <w:pPr>
              <w:jc w:val="center"/>
            </w:pPr>
            <w:r>
              <w:rPr>
                <w:rFonts w:ascii="宋体" w:hAnsi="宋体" w:eastAsia="宋体"/>
                <w:sz w:val="16"/>
              </w:rPr>
              <w:t>39.13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BF243">
            <w:pPr>
              <w:jc w:val="center"/>
            </w:pPr>
            <w:r>
              <w:rPr>
                <w:rFonts w:ascii="宋体" w:hAnsi="宋体" w:eastAsia="宋体"/>
                <w:sz w:val="16"/>
              </w:rPr>
              <w:t>39.13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8184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C868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47939">
            <w:pPr>
              <w:jc w:val="center"/>
            </w:pPr>
            <w:r>
              <w:rPr>
                <w:rFonts w:ascii="宋体" w:hAnsi="宋体" w:eastAsia="宋体"/>
                <w:sz w:val="16"/>
              </w:rPr>
              <w:t>10.00</w:t>
            </w:r>
          </w:p>
        </w:tc>
      </w:tr>
      <w:tr w14:paraId="4F244A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3A5C9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5D28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94DDE">
            <w:pPr>
              <w:jc w:val="center"/>
            </w:pPr>
            <w:r>
              <w:rPr>
                <w:rFonts w:ascii="宋体" w:hAnsi="宋体" w:eastAsia="宋体"/>
                <w:sz w:val="16"/>
              </w:rPr>
              <w:t>39.13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AF784">
            <w:pPr>
              <w:jc w:val="center"/>
            </w:pPr>
            <w:r>
              <w:rPr>
                <w:rFonts w:ascii="宋体" w:hAnsi="宋体" w:eastAsia="宋体"/>
                <w:sz w:val="16"/>
              </w:rPr>
              <w:t>39.13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A66BB">
            <w:pPr>
              <w:jc w:val="center"/>
            </w:pPr>
            <w:r>
              <w:rPr>
                <w:rFonts w:ascii="宋体" w:hAnsi="宋体" w:eastAsia="宋体"/>
                <w:sz w:val="16"/>
              </w:rPr>
              <w:t>39.13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AAA2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02AE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E5923">
            <w:pPr>
              <w:jc w:val="center"/>
            </w:pPr>
            <w:r>
              <w:rPr>
                <w:rFonts w:ascii="宋体" w:hAnsi="宋体" w:eastAsia="宋体"/>
                <w:sz w:val="16"/>
              </w:rPr>
              <w:t>—</w:t>
            </w:r>
          </w:p>
        </w:tc>
      </w:tr>
      <w:tr w14:paraId="4EFEEC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BC30A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2180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7713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6BB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E81A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D0B2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4053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91403">
            <w:pPr>
              <w:jc w:val="center"/>
            </w:pPr>
            <w:r>
              <w:rPr>
                <w:rFonts w:ascii="宋体" w:hAnsi="宋体" w:eastAsia="宋体"/>
                <w:sz w:val="16"/>
              </w:rPr>
              <w:t>—</w:t>
            </w:r>
          </w:p>
        </w:tc>
      </w:tr>
      <w:tr w14:paraId="6730215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CAEDB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B465E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762C4D">
            <w:pPr>
              <w:jc w:val="center"/>
            </w:pPr>
            <w:r>
              <w:rPr>
                <w:rFonts w:ascii="宋体" w:hAnsi="宋体" w:eastAsia="宋体"/>
                <w:sz w:val="16"/>
              </w:rPr>
              <w:t>实际完成情况</w:t>
            </w:r>
          </w:p>
        </w:tc>
      </w:tr>
      <w:tr w14:paraId="1FB6E9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5C4B3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C0E1FA">
            <w:pPr>
              <w:jc w:val="both"/>
            </w:pPr>
            <w:r>
              <w:rPr>
                <w:rFonts w:ascii="宋体" w:hAnsi="宋体" w:eastAsia="宋体"/>
                <w:sz w:val="16"/>
              </w:rPr>
              <w:t>2024年是第五次经济普查的正式登记</w:t>
            </w:r>
            <w:r>
              <w:rPr>
                <w:rFonts w:hint="eastAsia" w:ascii="宋体" w:hAnsi="宋体"/>
                <w:sz w:val="16"/>
                <w:lang w:eastAsia="zh-CN"/>
              </w:rPr>
              <w:t>阶段</w:t>
            </w:r>
            <w:r>
              <w:rPr>
                <w:rFonts w:ascii="宋体" w:hAnsi="宋体" w:eastAsia="宋体"/>
                <w:sz w:val="16"/>
              </w:rPr>
              <w:t>，主要目标是开展普查登记、数据审核验收，开展数据事后质量抽查和评估普查数据质量。按照自治区下发两员补助资金，按时发放两员补助。为县委、县政府加强和改善宏观经济治理、制定中长期发展规划、推进重大发展战略提供翔实的数据资料。</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9C3371">
            <w:pPr>
              <w:jc w:val="both"/>
            </w:pPr>
            <w:r>
              <w:rPr>
                <w:rFonts w:ascii="宋体" w:hAnsi="宋体" w:eastAsia="宋体"/>
                <w:sz w:val="16"/>
              </w:rPr>
              <w:t>第五次全国经济普查工作在2023年6月1日至2023年12月30日完成经济普查清查阶段全部工作，在2024年1月1日至2024年5月30日完成普查登记阶段全部工作。普查共选聘两员342名，发放两员补助39.13万元，圆满</w:t>
            </w:r>
            <w:r>
              <w:rPr>
                <w:rFonts w:hint="eastAsia" w:ascii="宋体" w:hAnsi="宋体"/>
                <w:sz w:val="16"/>
                <w:lang w:eastAsia="zh-CN"/>
              </w:rPr>
              <w:t>地</w:t>
            </w:r>
            <w:r>
              <w:rPr>
                <w:rFonts w:ascii="宋体" w:hAnsi="宋体" w:eastAsia="宋体"/>
                <w:sz w:val="16"/>
              </w:rPr>
              <w:t>完成了第五次经济普查各项工作。</w:t>
            </w:r>
          </w:p>
        </w:tc>
      </w:tr>
      <w:tr w14:paraId="09A61A3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434BB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EA57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406D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F381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A0F9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A427B">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C018F">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6F7C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24989">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B98B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FC4C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A6B1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9C61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AE233">
            <w:pPr>
              <w:jc w:val="center"/>
            </w:pPr>
            <w:r>
              <w:rPr>
                <w:rFonts w:ascii="宋体" w:hAnsi="宋体" w:eastAsia="宋体"/>
                <w:sz w:val="16"/>
              </w:rPr>
              <w:t>偏差原因分析及改进措施</w:t>
            </w:r>
          </w:p>
        </w:tc>
      </w:tr>
      <w:tr w14:paraId="6E930DE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17EF7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AF1D3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EBC46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370DB">
            <w:pPr>
              <w:jc w:val="center"/>
            </w:pPr>
            <w:r>
              <w:rPr>
                <w:rFonts w:ascii="宋体" w:hAnsi="宋体" w:eastAsia="宋体"/>
                <w:sz w:val="16"/>
              </w:rPr>
              <w:t>普查员及普查指导员数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F3A6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CFB94">
            <w:pPr>
              <w:jc w:val="center"/>
            </w:pPr>
            <w:r>
              <w:rPr>
                <w:rFonts w:ascii="宋体" w:hAnsi="宋体" w:eastAsia="宋体"/>
                <w:sz w:val="16"/>
              </w:rPr>
              <w:t>&gt;=342人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0CB12">
            <w:pPr>
              <w:jc w:val="center"/>
            </w:pPr>
            <w:r>
              <w:rPr>
                <w:rFonts w:ascii="宋体" w:hAnsi="宋体" w:eastAsia="宋体"/>
                <w:sz w:val="16"/>
              </w:rPr>
              <w:t>342人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419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B170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441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4B6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B59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5C6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05399">
            <w:pPr>
              <w:jc w:val="center"/>
            </w:pPr>
          </w:p>
        </w:tc>
      </w:tr>
      <w:tr w14:paraId="78A080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36EE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BB9E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91CC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382E7">
            <w:pPr>
              <w:jc w:val="center"/>
            </w:pPr>
            <w:r>
              <w:rPr>
                <w:rFonts w:ascii="宋体" w:hAnsi="宋体" w:eastAsia="宋体"/>
                <w:sz w:val="16"/>
              </w:rPr>
              <w:t>普查培训次数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2FB2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5DA49">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A9DC3">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20F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AEA1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DA5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150A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0D1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681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24FA3">
            <w:pPr>
              <w:jc w:val="center"/>
            </w:pPr>
          </w:p>
        </w:tc>
      </w:tr>
      <w:tr w14:paraId="7F67FF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38A4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474B3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7D160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80B15">
            <w:pPr>
              <w:jc w:val="center"/>
            </w:pPr>
            <w:r>
              <w:rPr>
                <w:rFonts w:ascii="宋体" w:hAnsi="宋体" w:eastAsia="宋体"/>
                <w:sz w:val="16"/>
              </w:rPr>
              <w:t>普查数据精确度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47AD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516D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B4AA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7C7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082E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385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5DB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9A0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D99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82A52">
            <w:pPr>
              <w:jc w:val="center"/>
            </w:pPr>
          </w:p>
        </w:tc>
      </w:tr>
      <w:tr w14:paraId="353A8B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DFC6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006C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4074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6A308">
            <w:pPr>
              <w:jc w:val="center"/>
            </w:pPr>
            <w:r>
              <w:rPr>
                <w:rFonts w:ascii="宋体" w:hAnsi="宋体" w:eastAsia="宋体"/>
                <w:sz w:val="16"/>
              </w:rPr>
              <w:t>普查员及普查指导员普查数据登记完成率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0EBB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B11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378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7D7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C6BE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2F0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F3C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A15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5F7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9E093">
            <w:pPr>
              <w:jc w:val="center"/>
            </w:pPr>
          </w:p>
        </w:tc>
      </w:tr>
      <w:tr w14:paraId="7DDEB7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694D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47D9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24D2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3D4AA">
            <w:pPr>
              <w:jc w:val="center"/>
            </w:pPr>
            <w:r>
              <w:rPr>
                <w:rFonts w:ascii="宋体" w:hAnsi="宋体" w:eastAsia="宋体"/>
                <w:sz w:val="16"/>
              </w:rPr>
              <w:t>普查员及指导员补助发放及时率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2372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BDF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E91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20B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CD39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C02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16F7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B4B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BD49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1827B">
            <w:pPr>
              <w:jc w:val="center"/>
            </w:pPr>
          </w:p>
        </w:tc>
      </w:tr>
      <w:tr w14:paraId="33A428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8B010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0584D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52748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F1EBD">
            <w:pPr>
              <w:jc w:val="center"/>
            </w:pPr>
            <w:r>
              <w:rPr>
                <w:rFonts w:ascii="宋体" w:hAnsi="宋体" w:eastAsia="宋体"/>
                <w:sz w:val="16"/>
              </w:rPr>
              <w:t>清查阶段“两员”补助发放资金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02D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B9E46">
            <w:pPr>
              <w:jc w:val="center"/>
            </w:pPr>
            <w:r>
              <w:rPr>
                <w:rFonts w:ascii="宋体" w:hAnsi="宋体" w:eastAsia="宋体"/>
                <w:sz w:val="16"/>
              </w:rPr>
              <w:t>=15.30万元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5D4C3">
            <w:pPr>
              <w:jc w:val="center"/>
            </w:pPr>
            <w:r>
              <w:rPr>
                <w:rFonts w:ascii="宋体" w:hAnsi="宋体" w:eastAsia="宋体"/>
                <w:sz w:val="16"/>
              </w:rPr>
              <w:t>15.3万元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0EE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329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31A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FD85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4E0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98E4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6F6A5">
            <w:pPr>
              <w:jc w:val="center"/>
            </w:pPr>
          </w:p>
        </w:tc>
      </w:tr>
      <w:tr w14:paraId="246849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D78C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4BC3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529D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FF8A5">
            <w:pPr>
              <w:jc w:val="center"/>
            </w:pPr>
            <w:r>
              <w:rPr>
                <w:rFonts w:ascii="宋体" w:hAnsi="宋体" w:eastAsia="宋体"/>
                <w:sz w:val="16"/>
              </w:rPr>
              <w:t>普查阶段“两员”补助发放资金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C36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873CD">
            <w:pPr>
              <w:jc w:val="center"/>
            </w:pPr>
            <w:r>
              <w:rPr>
                <w:rFonts w:ascii="宋体" w:hAnsi="宋体" w:eastAsia="宋体"/>
                <w:sz w:val="16"/>
              </w:rPr>
              <w:t>=23.83万元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8CD5B">
            <w:pPr>
              <w:jc w:val="center"/>
            </w:pPr>
            <w:r>
              <w:rPr>
                <w:rFonts w:ascii="宋体" w:hAnsi="宋体" w:eastAsia="宋体"/>
                <w:sz w:val="16"/>
              </w:rPr>
              <w:t>23.83万元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F85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37D5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C9D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BF0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BAE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430B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BBFEB">
            <w:pPr>
              <w:jc w:val="center"/>
            </w:pPr>
          </w:p>
        </w:tc>
      </w:tr>
      <w:tr w14:paraId="721EC4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475D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298A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5FFA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FF660">
            <w:pPr>
              <w:jc w:val="center"/>
            </w:pPr>
            <w:r>
              <w:rPr>
                <w:rFonts w:ascii="宋体" w:hAnsi="宋体" w:eastAsia="宋体"/>
                <w:sz w:val="16"/>
              </w:rPr>
              <w:t>普查数据提高政府统计公信力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B31E6">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31011">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0AE18">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154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C2F24">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0C639">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404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F470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3C2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2DFB9">
            <w:pPr>
              <w:jc w:val="center"/>
            </w:pPr>
          </w:p>
        </w:tc>
      </w:tr>
      <w:tr w14:paraId="14833EF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ABBCDB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122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B71B4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173F6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13EF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B9D24">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BF3C4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64567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9B481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489CF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620E2B"/>
        </w:tc>
      </w:tr>
    </w:tbl>
    <w:p w14:paraId="5CDDAB03">
      <w:r>
        <w:br w:type="page"/>
      </w:r>
    </w:p>
    <w:p w14:paraId="11140FBA">
      <w:pPr>
        <w:spacing w:line="640" w:lineRule="exact"/>
        <w:ind w:firstLine="640"/>
        <w:jc w:val="both"/>
        <w:outlineLvl w:val="2"/>
      </w:pPr>
      <w:r>
        <w:rPr>
          <w:rFonts w:ascii="黑体" w:hAnsi="黑体" w:eastAsia="黑体"/>
          <w:sz w:val="32"/>
        </w:rPr>
        <w:t>十二、其他需说明的事项</w:t>
      </w:r>
    </w:p>
    <w:p w14:paraId="0308F453">
      <w:pPr>
        <w:spacing w:line="580" w:lineRule="exact"/>
        <w:ind w:firstLine="640"/>
        <w:jc w:val="both"/>
      </w:pPr>
      <w:r>
        <w:rPr>
          <w:rFonts w:ascii="仿宋_GB2312" w:hAnsi="仿宋_GB2312" w:eastAsia="仿宋_GB2312"/>
          <w:b w:val="0"/>
          <w:sz w:val="32"/>
        </w:rPr>
        <w:t>本单位无其他需说明的事项。</w:t>
      </w:r>
    </w:p>
    <w:p w14:paraId="30A2D58B">
      <w:r>
        <w:br w:type="page"/>
      </w:r>
    </w:p>
    <w:p w14:paraId="47D08DBB">
      <w:pPr>
        <w:spacing w:line="240" w:lineRule="auto"/>
        <w:jc w:val="center"/>
        <w:outlineLvl w:val="1"/>
      </w:pPr>
      <w:r>
        <w:rPr>
          <w:rFonts w:ascii="黑体" w:hAnsi="黑体" w:eastAsia="黑体"/>
          <w:sz w:val="32"/>
        </w:rPr>
        <w:t>第三部分 专业名词解释</w:t>
      </w:r>
    </w:p>
    <w:p w14:paraId="24B5D79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7EB842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B866078">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3A3B3F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750621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276232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E85561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EF2C6FC">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0B04DF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185E18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28C7A1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B37D96C">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D8BA57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C4958C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1BEA071">
      <w:r>
        <w:br w:type="page"/>
      </w:r>
    </w:p>
    <w:p w14:paraId="0520B832">
      <w:pPr>
        <w:spacing w:line="240" w:lineRule="auto"/>
        <w:jc w:val="center"/>
        <w:outlineLvl w:val="1"/>
      </w:pPr>
      <w:r>
        <w:rPr>
          <w:rFonts w:ascii="黑体" w:hAnsi="黑体" w:eastAsia="黑体"/>
          <w:sz w:val="32"/>
        </w:rPr>
        <w:t>第四部分 部门决算报表（见附表）</w:t>
      </w:r>
    </w:p>
    <w:p w14:paraId="4CE6221F">
      <w:pPr>
        <w:spacing w:line="240" w:lineRule="auto"/>
        <w:ind w:firstLine="640"/>
        <w:jc w:val="both"/>
      </w:pPr>
      <w:r>
        <w:rPr>
          <w:rFonts w:ascii="仿宋_GB2312" w:hAnsi="仿宋_GB2312" w:eastAsia="仿宋_GB2312"/>
          <w:b w:val="0"/>
          <w:sz w:val="32"/>
        </w:rPr>
        <w:t>一、《收入支出决算总表》</w:t>
      </w:r>
    </w:p>
    <w:p w14:paraId="643B6AC1">
      <w:pPr>
        <w:spacing w:line="240" w:lineRule="auto"/>
        <w:ind w:firstLine="640"/>
        <w:jc w:val="both"/>
      </w:pPr>
      <w:r>
        <w:rPr>
          <w:rFonts w:ascii="仿宋_GB2312" w:hAnsi="仿宋_GB2312" w:eastAsia="仿宋_GB2312"/>
          <w:b w:val="0"/>
          <w:sz w:val="32"/>
        </w:rPr>
        <w:t>二、《收入决算表》</w:t>
      </w:r>
    </w:p>
    <w:p w14:paraId="44D643E7">
      <w:pPr>
        <w:spacing w:line="240" w:lineRule="auto"/>
        <w:ind w:firstLine="640"/>
        <w:jc w:val="both"/>
      </w:pPr>
      <w:r>
        <w:rPr>
          <w:rFonts w:ascii="仿宋_GB2312" w:hAnsi="仿宋_GB2312" w:eastAsia="仿宋_GB2312"/>
          <w:b w:val="0"/>
          <w:sz w:val="32"/>
        </w:rPr>
        <w:t>三、《支出决算表》</w:t>
      </w:r>
    </w:p>
    <w:p w14:paraId="70785276">
      <w:pPr>
        <w:spacing w:line="240" w:lineRule="auto"/>
        <w:ind w:firstLine="640"/>
        <w:jc w:val="both"/>
      </w:pPr>
      <w:r>
        <w:rPr>
          <w:rFonts w:ascii="仿宋_GB2312" w:hAnsi="仿宋_GB2312" w:eastAsia="仿宋_GB2312"/>
          <w:b w:val="0"/>
          <w:sz w:val="32"/>
        </w:rPr>
        <w:t>四、《财政拨款收入支出决算总表》</w:t>
      </w:r>
    </w:p>
    <w:p w14:paraId="71A3F953">
      <w:pPr>
        <w:spacing w:line="240" w:lineRule="auto"/>
        <w:ind w:firstLine="640"/>
        <w:jc w:val="both"/>
      </w:pPr>
      <w:r>
        <w:rPr>
          <w:rFonts w:ascii="仿宋_GB2312" w:hAnsi="仿宋_GB2312" w:eastAsia="仿宋_GB2312"/>
          <w:b w:val="0"/>
          <w:sz w:val="32"/>
        </w:rPr>
        <w:t>五、《一般公共预算财政拨款支出决算表》</w:t>
      </w:r>
    </w:p>
    <w:p w14:paraId="5D1D05DB">
      <w:pPr>
        <w:spacing w:line="240" w:lineRule="auto"/>
        <w:ind w:firstLine="640"/>
        <w:jc w:val="both"/>
      </w:pPr>
      <w:r>
        <w:rPr>
          <w:rFonts w:ascii="仿宋_GB2312" w:hAnsi="仿宋_GB2312" w:eastAsia="仿宋_GB2312"/>
          <w:b w:val="0"/>
          <w:sz w:val="32"/>
        </w:rPr>
        <w:t>六、《一般公共预算财政拨款基本支出决算表》</w:t>
      </w:r>
    </w:p>
    <w:p w14:paraId="7A4BA0DA">
      <w:pPr>
        <w:spacing w:line="240" w:lineRule="auto"/>
        <w:ind w:firstLine="640"/>
        <w:jc w:val="both"/>
      </w:pPr>
      <w:r>
        <w:rPr>
          <w:rFonts w:ascii="仿宋_GB2312" w:hAnsi="仿宋_GB2312" w:eastAsia="仿宋_GB2312"/>
          <w:b w:val="0"/>
          <w:sz w:val="32"/>
        </w:rPr>
        <w:t>七、《政府性基金预算财政拨款收入支出决算表》</w:t>
      </w:r>
    </w:p>
    <w:p w14:paraId="7F6CF07B">
      <w:pPr>
        <w:spacing w:line="240" w:lineRule="auto"/>
        <w:ind w:firstLine="640"/>
        <w:jc w:val="both"/>
      </w:pPr>
      <w:r>
        <w:rPr>
          <w:rFonts w:ascii="仿宋_GB2312" w:hAnsi="仿宋_GB2312" w:eastAsia="仿宋_GB2312"/>
          <w:b w:val="0"/>
          <w:sz w:val="32"/>
        </w:rPr>
        <w:t>八、《国有资本经营预算财政拨款收入支出决算表》</w:t>
      </w:r>
    </w:p>
    <w:p w14:paraId="625E5C33">
      <w:pPr>
        <w:spacing w:line="240" w:lineRule="auto"/>
        <w:ind w:firstLine="640"/>
        <w:jc w:val="both"/>
      </w:pPr>
      <w:r>
        <w:rPr>
          <w:rFonts w:ascii="仿宋_GB2312" w:hAnsi="仿宋_GB2312" w:eastAsia="仿宋_GB2312"/>
          <w:b w:val="0"/>
          <w:sz w:val="32"/>
        </w:rPr>
        <w:t>九、《财政拨款“三公”经费支出决算表》</w:t>
      </w:r>
    </w:p>
    <w:p w14:paraId="7CC18476">
      <w:pPr>
        <w:spacing w:line="240" w:lineRule="auto"/>
        <w:ind w:firstLine="640"/>
        <w:jc w:val="both"/>
      </w:pPr>
    </w:p>
    <w:p w14:paraId="6FC82ADB">
      <w:pPr>
        <w:spacing w:line="240" w:lineRule="auto"/>
        <w:ind w:firstLine="640"/>
        <w:jc w:val="both"/>
      </w:pPr>
    </w:p>
    <w:p w14:paraId="76468E91">
      <w:pPr>
        <w:spacing w:line="240" w:lineRule="auto"/>
        <w:ind w:firstLine="640"/>
        <w:jc w:val="both"/>
      </w:pPr>
    </w:p>
    <w:p w14:paraId="0FC307B2">
      <w:pPr>
        <w:spacing w:line="240" w:lineRule="auto"/>
        <w:ind w:firstLine="640"/>
        <w:jc w:val="both"/>
      </w:pPr>
    </w:p>
    <w:p w14:paraId="67EA965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755508"/>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063E7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5592</Words>
  <Characters>6390</Characters>
  <Lines>0</Lines>
  <Paragraphs>0</Paragraphs>
  <TotalTime>5</TotalTime>
  <ScaleCrop>false</ScaleCrop>
  <LinksUpToDate>false</LinksUpToDate>
  <CharactersWithSpaces>6398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2025-09-25T05:18:14Z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