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霍城县第二小学2024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9E7E0C7">
      <w:r>
        <w:br w:type="page"/>
      </w:r>
    </w:p>
    <w:p w14:paraId="1DAE9F6F">
      <w:pPr>
        <w:spacing w:line="640" w:lineRule="exact"/>
        <w:jc w:val="center"/>
        <w:outlineLvl w:val="1"/>
      </w:pPr>
      <w:r>
        <w:rPr>
          <w:rFonts w:ascii="黑体" w:hAnsi="黑体" w:eastAsia="黑体"/>
          <w:sz w:val="32"/>
        </w:rPr>
        <w:t>第一部分 单位概况</w:t>
      </w:r>
    </w:p>
    <w:p w14:paraId="258ADE09">
      <w:pPr>
        <w:spacing w:line="640" w:lineRule="exact"/>
        <w:ind w:firstLine="640"/>
        <w:jc w:val="both"/>
        <w:outlineLvl w:val="2"/>
      </w:pPr>
      <w:r>
        <w:rPr>
          <w:rFonts w:ascii="黑体" w:hAnsi="黑体" w:eastAsia="黑体"/>
          <w:sz w:val="32"/>
        </w:rPr>
        <w:t>一、主要职能</w:t>
      </w:r>
    </w:p>
    <w:p w14:paraId="14D9D5D1">
      <w:pPr>
        <w:spacing w:line="580" w:lineRule="exact"/>
        <w:ind w:firstLine="640"/>
        <w:jc w:val="both"/>
      </w:pPr>
      <w:r>
        <w:rPr>
          <w:rFonts w:ascii="仿宋_GB2312" w:hAnsi="仿宋_GB2312" w:eastAsia="仿宋_GB2312"/>
          <w:sz w:val="32"/>
        </w:rPr>
        <w:t>霍城县第二小学为促进基础教育发展。宣传贯彻执行党和国家的教育方针、政策、法律法规等，坚持依法治教、</w:t>
      </w:r>
      <w:r>
        <w:rPr>
          <w:rFonts w:hint="eastAsia" w:ascii="仿宋_GB2312" w:hAnsi="仿宋_GB2312" w:eastAsia="仿宋_GB2312"/>
          <w:sz w:val="32"/>
          <w:lang w:eastAsia="zh-CN"/>
        </w:rPr>
        <w:t>依法治学</w:t>
      </w:r>
      <w:r>
        <w:rPr>
          <w:rFonts w:ascii="仿宋_GB2312" w:hAnsi="仿宋_GB2312" w:eastAsia="仿宋_GB2312"/>
          <w:sz w:val="32"/>
        </w:rPr>
        <w:t>，贯彻执行县教育局的行政规章制度。负责对本校教育教学业务的具体管理，负责教育教学管理及教研教改工作，全力推进素质教育实施。指导、管理、检查、评价本校的教育教学工作，提高办学质量和办学效益。按照义务教育课程计划，开齐课程，开足课时，认真实施小学的教育教学管理，全面推进素质教育，全面提高教育教学质量。</w:t>
      </w:r>
    </w:p>
    <w:p w14:paraId="53355BE7">
      <w:pPr>
        <w:spacing w:line="640" w:lineRule="exact"/>
        <w:ind w:firstLine="640"/>
        <w:jc w:val="both"/>
        <w:outlineLvl w:val="2"/>
      </w:pPr>
      <w:r>
        <w:rPr>
          <w:rFonts w:ascii="黑体" w:hAnsi="黑体" w:eastAsia="黑体"/>
          <w:sz w:val="32"/>
        </w:rPr>
        <w:t>二、机构设置及人员情况</w:t>
      </w:r>
    </w:p>
    <w:p w14:paraId="034A7D65">
      <w:pPr>
        <w:spacing w:line="580" w:lineRule="exact"/>
        <w:ind w:firstLine="640"/>
        <w:jc w:val="both"/>
      </w:pPr>
      <w:r>
        <w:rPr>
          <w:rFonts w:ascii="仿宋_GB2312" w:hAnsi="仿宋_GB2312" w:eastAsia="仿宋_GB2312"/>
          <w:sz w:val="32"/>
        </w:rPr>
        <w:t>霍城县第二小学2024年度，实有人数211人，其中：在职人员116人，增加3人；离休人员0人，增加0人；退休人员95人,增加2人。</w:t>
      </w:r>
    </w:p>
    <w:p w14:paraId="0E7CBCF8">
      <w:pPr>
        <w:spacing w:line="580" w:lineRule="exact"/>
        <w:ind w:firstLine="640"/>
        <w:jc w:val="both"/>
      </w:pPr>
      <w:r>
        <w:rPr>
          <w:rFonts w:ascii="仿宋_GB2312" w:hAnsi="仿宋_GB2312" w:eastAsia="仿宋_GB2312"/>
          <w:sz w:val="32"/>
        </w:rPr>
        <w:t>霍城县第二小学无下属预算单位，下设</w:t>
      </w:r>
      <w:r>
        <w:rPr>
          <w:rFonts w:hint="eastAsia" w:ascii="仿宋_GB2312" w:hAnsi="仿宋_GB2312" w:eastAsia="仿宋_GB2312"/>
          <w:sz w:val="32"/>
          <w:lang w:val="en-US" w:eastAsia="zh-CN"/>
        </w:rPr>
        <w:t>7</w:t>
      </w:r>
      <w:r>
        <w:rPr>
          <w:rFonts w:ascii="仿宋_GB2312" w:hAnsi="仿宋_GB2312" w:eastAsia="仿宋_GB2312"/>
          <w:sz w:val="32"/>
        </w:rPr>
        <w:t>个科室，分别是：党建办、平安办</w:t>
      </w:r>
      <w:r>
        <w:rPr>
          <w:rFonts w:hint="eastAsia" w:ascii="仿宋_GB2312" w:hAnsi="仿宋_GB2312" w:eastAsia="仿宋_GB2312"/>
          <w:sz w:val="32"/>
          <w:lang w:eastAsia="zh-CN"/>
        </w:rPr>
        <w:t>、</w:t>
      </w:r>
      <w:r>
        <w:rPr>
          <w:rFonts w:ascii="仿宋_GB2312" w:hAnsi="仿宋_GB2312" w:eastAsia="仿宋_GB2312"/>
          <w:sz w:val="32"/>
        </w:rPr>
        <w:t>政教办、教务处、德育处、总务处、财务室。</w:t>
      </w:r>
    </w:p>
    <w:p w14:paraId="269D7DCD">
      <w:r>
        <w:br w:type="page"/>
      </w:r>
    </w:p>
    <w:p w14:paraId="268DED3D">
      <w:pPr>
        <w:spacing w:line="240" w:lineRule="auto"/>
        <w:jc w:val="center"/>
        <w:outlineLvl w:val="1"/>
      </w:pPr>
      <w:r>
        <w:rPr>
          <w:rFonts w:ascii="黑体" w:hAnsi="黑体" w:eastAsia="黑体"/>
          <w:sz w:val="32"/>
        </w:rPr>
        <w:t>第二部分 部门决算情况说明</w:t>
      </w:r>
    </w:p>
    <w:p w14:paraId="7BE3285A">
      <w:pPr>
        <w:spacing w:line="640" w:lineRule="exact"/>
        <w:ind w:firstLine="640"/>
        <w:jc w:val="both"/>
        <w:outlineLvl w:val="2"/>
      </w:pPr>
      <w:r>
        <w:rPr>
          <w:rFonts w:ascii="黑体" w:hAnsi="黑体" w:eastAsia="黑体"/>
          <w:sz w:val="32"/>
        </w:rPr>
        <w:t>一、收入支出决算总体情况说明</w:t>
      </w:r>
    </w:p>
    <w:p w14:paraId="5E0B30BD">
      <w:pPr>
        <w:spacing w:line="580" w:lineRule="exact"/>
        <w:ind w:firstLine="640"/>
        <w:jc w:val="both"/>
      </w:pPr>
      <w:r>
        <w:rPr>
          <w:rFonts w:ascii="仿宋_GB2312" w:hAnsi="仿宋_GB2312" w:eastAsia="仿宋_GB2312"/>
          <w:b/>
          <w:sz w:val="32"/>
        </w:rPr>
        <w:t>2024年度收入总计2,560.03万元，</w:t>
      </w:r>
      <w:r>
        <w:rPr>
          <w:rFonts w:ascii="仿宋_GB2312" w:hAnsi="仿宋_GB2312" w:eastAsia="仿宋_GB2312"/>
          <w:b w:val="0"/>
          <w:sz w:val="32"/>
        </w:rPr>
        <w:t>其中：本年收入合计2,560.03万元，使用非财政拨款结余（含专用结余）0.00万元，年初结转和结余0.00万元。</w:t>
      </w:r>
    </w:p>
    <w:p w14:paraId="68FFBC45">
      <w:pPr>
        <w:spacing w:line="580" w:lineRule="exact"/>
        <w:ind w:firstLine="640"/>
        <w:jc w:val="both"/>
      </w:pPr>
      <w:r>
        <w:rPr>
          <w:rFonts w:ascii="仿宋_GB2312" w:hAnsi="仿宋_GB2312" w:eastAsia="仿宋_GB2312"/>
          <w:b/>
          <w:sz w:val="32"/>
        </w:rPr>
        <w:t>2024年度支出总计2,560.03万元，</w:t>
      </w:r>
      <w:r>
        <w:rPr>
          <w:rFonts w:ascii="仿宋_GB2312" w:hAnsi="仿宋_GB2312" w:eastAsia="仿宋_GB2312"/>
          <w:b w:val="0"/>
          <w:sz w:val="32"/>
        </w:rPr>
        <w:t>其中：本年支出合计2,560.03万元，结余分配0.00万元，年末结转和结余0.00万元。</w:t>
      </w:r>
    </w:p>
    <w:p w14:paraId="0688F050">
      <w:pPr>
        <w:spacing w:line="580" w:lineRule="exact"/>
        <w:ind w:firstLine="640"/>
        <w:jc w:val="both"/>
      </w:pPr>
      <w:r>
        <w:rPr>
          <w:rFonts w:ascii="仿宋_GB2312" w:hAnsi="仿宋_GB2312" w:eastAsia="仿宋_GB2312"/>
          <w:b w:val="0"/>
          <w:sz w:val="32"/>
        </w:rPr>
        <w:t>收入支出总体与上年相比，减少78.08万元，下降2.96%，主要原因是：本年长聘人员减少，相关人员经费较上年减少。</w:t>
      </w:r>
    </w:p>
    <w:p w14:paraId="7D9B0FF1">
      <w:pPr>
        <w:spacing w:line="640" w:lineRule="exact"/>
        <w:ind w:firstLine="640"/>
        <w:jc w:val="both"/>
        <w:outlineLvl w:val="2"/>
      </w:pPr>
      <w:r>
        <w:rPr>
          <w:rFonts w:ascii="黑体" w:hAnsi="黑体" w:eastAsia="黑体"/>
          <w:sz w:val="32"/>
        </w:rPr>
        <w:t>二、收入决算情况说明</w:t>
      </w:r>
    </w:p>
    <w:p w14:paraId="43BC317C">
      <w:pPr>
        <w:spacing w:line="580" w:lineRule="exact"/>
        <w:ind w:firstLine="640"/>
        <w:jc w:val="both"/>
      </w:pPr>
      <w:r>
        <w:rPr>
          <w:rFonts w:ascii="仿宋_GB2312" w:hAnsi="仿宋_GB2312" w:eastAsia="仿宋_GB2312"/>
          <w:b/>
          <w:sz w:val="32"/>
        </w:rPr>
        <w:t>本年收入2,560.03万元，</w:t>
      </w:r>
      <w:r>
        <w:rPr>
          <w:rFonts w:ascii="仿宋_GB2312" w:hAnsi="仿宋_GB2312" w:eastAsia="仿宋_GB2312"/>
          <w:b w:val="0"/>
          <w:sz w:val="32"/>
        </w:rPr>
        <w:t>其中：财政拨款收入2,560.03万元，占100.00%；上级补助收入0.00万元，占0.00%；事业收入0.00万元，占0.00%；经营收入0.00万元，占0.00%；附属单位上缴收入0.00万元，占0.00%；其他收入0.00万元，占0.00%。</w:t>
      </w:r>
    </w:p>
    <w:p w14:paraId="0A0A06CA">
      <w:pPr>
        <w:spacing w:line="640" w:lineRule="exact"/>
        <w:ind w:firstLine="640"/>
        <w:jc w:val="both"/>
        <w:outlineLvl w:val="2"/>
      </w:pPr>
      <w:r>
        <w:rPr>
          <w:rFonts w:ascii="黑体" w:hAnsi="黑体" w:eastAsia="黑体"/>
          <w:sz w:val="32"/>
        </w:rPr>
        <w:t>三、支出决算情况说明</w:t>
      </w:r>
    </w:p>
    <w:p w14:paraId="4D10B043">
      <w:pPr>
        <w:spacing w:line="580" w:lineRule="exact"/>
        <w:ind w:firstLine="640"/>
        <w:jc w:val="both"/>
      </w:pPr>
      <w:r>
        <w:rPr>
          <w:rFonts w:ascii="仿宋_GB2312" w:hAnsi="仿宋_GB2312" w:eastAsia="仿宋_GB2312"/>
          <w:b/>
          <w:sz w:val="32"/>
        </w:rPr>
        <w:t>本年支出2,560.03万元，</w:t>
      </w:r>
      <w:r>
        <w:rPr>
          <w:rFonts w:ascii="仿宋_GB2312" w:hAnsi="仿宋_GB2312" w:eastAsia="仿宋_GB2312"/>
          <w:b w:val="0"/>
          <w:sz w:val="32"/>
        </w:rPr>
        <w:t>其中：基本支出2,560.03万元，占100.00%；项目支出0.00万元，占0.00%；上缴上级支出0.00万元，占0.00%；经营支出0.00万元，占0.00%；对附属单位补助支出0.00万元，占0.00%。</w:t>
      </w:r>
    </w:p>
    <w:p w14:paraId="676627EA">
      <w:pPr>
        <w:spacing w:line="640" w:lineRule="exact"/>
        <w:ind w:firstLine="640"/>
        <w:jc w:val="both"/>
        <w:outlineLvl w:val="2"/>
      </w:pPr>
      <w:r>
        <w:rPr>
          <w:rFonts w:ascii="黑体" w:hAnsi="黑体" w:eastAsia="黑体"/>
          <w:sz w:val="32"/>
        </w:rPr>
        <w:t>四、财政拨款收入支出决算总体情况说明</w:t>
      </w:r>
    </w:p>
    <w:p w14:paraId="2D142DA9">
      <w:pPr>
        <w:spacing w:line="580" w:lineRule="exact"/>
        <w:ind w:firstLine="640"/>
        <w:jc w:val="both"/>
      </w:pPr>
      <w:r>
        <w:rPr>
          <w:rFonts w:ascii="仿宋_GB2312" w:hAnsi="仿宋_GB2312" w:eastAsia="仿宋_GB2312"/>
          <w:b/>
          <w:sz w:val="32"/>
        </w:rPr>
        <w:t>2024年度财政拨款收入总计2,560.03万元，</w:t>
      </w:r>
      <w:r>
        <w:rPr>
          <w:rFonts w:ascii="仿宋_GB2312" w:hAnsi="仿宋_GB2312" w:eastAsia="仿宋_GB2312"/>
          <w:b w:val="0"/>
          <w:sz w:val="32"/>
        </w:rPr>
        <w:t>其中：年初财政拨款结转和结余0.00万元，本年财政拨款收入2,560.03万元。</w:t>
      </w:r>
      <w:r>
        <w:rPr>
          <w:rFonts w:ascii="仿宋_GB2312" w:hAnsi="仿宋_GB2312" w:eastAsia="仿宋_GB2312"/>
          <w:b/>
          <w:sz w:val="32"/>
        </w:rPr>
        <w:t>财政拨款支出总计2,560.03万元，</w:t>
      </w:r>
      <w:r>
        <w:rPr>
          <w:rFonts w:ascii="仿宋_GB2312" w:hAnsi="仿宋_GB2312" w:eastAsia="仿宋_GB2312"/>
          <w:b w:val="0"/>
          <w:sz w:val="32"/>
        </w:rPr>
        <w:t>其中：年末财政拨款结转和结余0.00万元，本年财政拨款支出2,560.03万元。</w:t>
      </w:r>
    </w:p>
    <w:p w14:paraId="2940262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减少78.08万元，下降2.96%，主要原因是：本年长聘人员减少，相关人员经费较上年减少。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年初预算数2,152.18万元，决算数2,560.03万元，预决算差异率18.95%，主要原因是：本年在职人员增加，年中追加人员经费及人员工资、社保、公积金基数调增部分资金，导致预决算存在差异。</w:t>
      </w:r>
    </w:p>
    <w:p w14:paraId="0E6D78CD">
      <w:pPr>
        <w:spacing w:line="640" w:lineRule="exact"/>
        <w:ind w:firstLine="640"/>
        <w:jc w:val="both"/>
        <w:outlineLvl w:val="2"/>
      </w:pPr>
      <w:r>
        <w:rPr>
          <w:rFonts w:ascii="黑体" w:hAnsi="黑体" w:eastAsia="黑体"/>
          <w:sz w:val="32"/>
        </w:rPr>
        <w:t>五、一般公共预算财政拨款支出决算情况说明</w:t>
      </w:r>
    </w:p>
    <w:p w14:paraId="7B184751">
      <w:pPr>
        <w:spacing w:line="640" w:lineRule="exact"/>
        <w:ind w:firstLine="640"/>
        <w:jc w:val="both"/>
        <w:outlineLvl w:val="3"/>
      </w:pPr>
      <w:r>
        <w:rPr>
          <w:rFonts w:ascii="楷体_GB2312" w:hAnsi="楷体_GB2312" w:eastAsia="楷体_GB2312"/>
          <w:b/>
          <w:sz w:val="32"/>
        </w:rPr>
        <w:t>（一）一般公共预算财政拨款支出决算总体情况</w:t>
      </w:r>
    </w:p>
    <w:p w14:paraId="2820F958">
      <w:pPr>
        <w:spacing w:line="580" w:lineRule="exact"/>
        <w:ind w:firstLine="640"/>
        <w:jc w:val="both"/>
      </w:pPr>
      <w:r>
        <w:rPr>
          <w:rFonts w:ascii="仿宋_GB2312" w:hAnsi="仿宋_GB2312" w:eastAsia="仿宋_GB2312"/>
          <w:b/>
          <w:sz w:val="32"/>
        </w:rPr>
        <w:t>2024年度一般公共预算财政拨款支出2,560.03万元，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减少78.08万元，下降2.96%，主要原因是：本年长聘人员减少，相关人员经费较上年减少。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年初预算数2,152.18万元，决算数2,560.03万元，预决算差异率18.95%，主要原因是：本年在职人员增加，年中追加人员经费及人员工资、社保、公积金基数调增部分资金，导致预决算存在差异。</w:t>
      </w:r>
    </w:p>
    <w:p w14:paraId="05C617D6">
      <w:pPr>
        <w:spacing w:line="640" w:lineRule="exact"/>
        <w:ind w:firstLine="640"/>
        <w:jc w:val="both"/>
        <w:outlineLvl w:val="3"/>
      </w:pPr>
      <w:r>
        <w:rPr>
          <w:rFonts w:ascii="楷体_GB2312" w:hAnsi="楷体_GB2312" w:eastAsia="楷体_GB2312"/>
          <w:b/>
          <w:sz w:val="32"/>
        </w:rPr>
        <w:t>（二）一般公共预算财政拨款支出决算结构情况</w:t>
      </w:r>
    </w:p>
    <w:p w14:paraId="61A97B0A">
      <w:pPr>
        <w:spacing w:line="580" w:lineRule="exact"/>
        <w:ind w:firstLine="640"/>
        <w:jc w:val="both"/>
      </w:pPr>
      <w:r>
        <w:rPr>
          <w:rFonts w:ascii="仿宋_GB2312" w:hAnsi="仿宋_GB2312" w:eastAsia="仿宋_GB2312"/>
          <w:b w:val="0"/>
          <w:sz w:val="32"/>
        </w:rPr>
        <w:t>1.教育支出(类)2,174.81万元,占84.95%。</w:t>
      </w:r>
    </w:p>
    <w:p w14:paraId="219438CC">
      <w:pPr>
        <w:spacing w:line="580" w:lineRule="exact"/>
        <w:ind w:firstLine="640"/>
        <w:jc w:val="both"/>
      </w:pPr>
      <w:r>
        <w:rPr>
          <w:rFonts w:ascii="仿宋_GB2312" w:hAnsi="仿宋_GB2312" w:eastAsia="仿宋_GB2312"/>
          <w:b w:val="0"/>
          <w:sz w:val="32"/>
        </w:rPr>
        <w:t>2.社会保障和就业支出(类)282.23万元,占11.02%。</w:t>
      </w:r>
    </w:p>
    <w:p w14:paraId="2AA5E22A">
      <w:pPr>
        <w:spacing w:line="580" w:lineRule="exact"/>
        <w:ind w:firstLine="640"/>
        <w:jc w:val="both"/>
      </w:pPr>
      <w:r>
        <w:rPr>
          <w:rFonts w:ascii="仿宋_GB2312" w:hAnsi="仿宋_GB2312" w:eastAsia="仿宋_GB2312"/>
          <w:b w:val="0"/>
          <w:sz w:val="32"/>
        </w:rPr>
        <w:t>3.卫生健康支出(类)102.99万元,占4.02%。</w:t>
      </w:r>
    </w:p>
    <w:p w14:paraId="0636695C">
      <w:pPr>
        <w:spacing w:line="640" w:lineRule="exact"/>
        <w:ind w:firstLine="640"/>
        <w:jc w:val="both"/>
        <w:outlineLvl w:val="3"/>
      </w:pPr>
      <w:r>
        <w:rPr>
          <w:rFonts w:ascii="楷体_GB2312" w:hAnsi="楷体_GB2312" w:eastAsia="楷体_GB2312"/>
          <w:b/>
          <w:sz w:val="32"/>
        </w:rPr>
        <w:t>（三）一般公共预算财政拨款支出决算具体情况</w:t>
      </w:r>
    </w:p>
    <w:p w14:paraId="62D3EFE8">
      <w:pPr>
        <w:spacing w:line="580" w:lineRule="exact"/>
        <w:ind w:firstLine="640"/>
        <w:jc w:val="both"/>
      </w:pPr>
      <w:r>
        <w:rPr>
          <w:rFonts w:ascii="仿宋_GB2312" w:hAnsi="仿宋_GB2312" w:eastAsia="仿宋_GB2312"/>
          <w:b w:val="0"/>
          <w:sz w:val="32"/>
        </w:rPr>
        <w:t>1.教育支出(类)普通教育(款)学前教育(项):支出决算数为844.17万元，比上年决算增加293.96万元，增长53.43%,主要原因是：本年在职人员工资调增，相关人员经费增加；科目调整，住房公积金上年单独列支，本年部分调整至此科目，导致经费增加。</w:t>
      </w:r>
    </w:p>
    <w:p w14:paraId="4A51C79D">
      <w:pPr>
        <w:spacing w:line="580" w:lineRule="exact"/>
        <w:ind w:firstLine="640"/>
        <w:jc w:val="both"/>
      </w:pPr>
      <w:r>
        <w:rPr>
          <w:rFonts w:ascii="仿宋_GB2312" w:hAnsi="仿宋_GB2312" w:eastAsia="仿宋_GB2312"/>
          <w:b w:val="0"/>
          <w:sz w:val="32"/>
        </w:rPr>
        <w:t>2.教育支出(类)普通教育(款)小学教育(项):支出决算数为1,172.29万元，比上年决算增加59.00万元，增长5.30%,主要原因是：本年在职人员增加，人员工资调增，相关人员经费增加；科目调整，住房公积金上年单独列支，本年部分调整至此科目，导致经费增加。</w:t>
      </w:r>
    </w:p>
    <w:p w14:paraId="28B5DEE0">
      <w:pPr>
        <w:spacing w:line="580" w:lineRule="exact"/>
        <w:ind w:firstLine="640"/>
        <w:jc w:val="both"/>
      </w:pPr>
      <w:r>
        <w:rPr>
          <w:rFonts w:ascii="仿宋_GB2312" w:hAnsi="仿宋_GB2312" w:eastAsia="仿宋_GB2312"/>
          <w:b w:val="0"/>
          <w:sz w:val="32"/>
        </w:rPr>
        <w:t>3.教育支出(类)普通教育(款)其他普通教育支出(项):支出决算数为155.99万元，比上年决算减少285.03万元，下降64.63%,主要原因是：本年度聘用教师减少，相关人员经费减少。</w:t>
      </w:r>
    </w:p>
    <w:p w14:paraId="05BD44B9">
      <w:pPr>
        <w:spacing w:line="580" w:lineRule="exact"/>
        <w:ind w:firstLine="640"/>
        <w:jc w:val="both"/>
      </w:pPr>
      <w:r>
        <w:rPr>
          <w:rFonts w:ascii="仿宋_GB2312" w:hAnsi="仿宋_GB2312" w:eastAsia="仿宋_GB2312"/>
          <w:b w:val="0"/>
          <w:sz w:val="32"/>
        </w:rPr>
        <w:t>4.教育支出(类)教育费附加安排的支出(款)农村中小学教学设施(项):支出决算数为2.36万元，比上年决算增加2.36万元，增长100.00%,主要原因是：本年度增加维修费。</w:t>
      </w:r>
    </w:p>
    <w:p w14:paraId="21DFCBCB">
      <w:pPr>
        <w:spacing w:line="580" w:lineRule="exact"/>
        <w:ind w:firstLine="640"/>
        <w:jc w:val="both"/>
      </w:pPr>
      <w:r>
        <w:rPr>
          <w:rFonts w:ascii="仿宋_GB2312" w:hAnsi="仿宋_GB2312" w:eastAsia="仿宋_GB2312"/>
          <w:b w:val="0"/>
          <w:sz w:val="32"/>
        </w:rPr>
        <w:t>5.教育支出(类)教育费附加安排的支出(款)其他教育费附加安排的支出(项):支出决算数为0.00万元，比上年决算减少0.41万元，下降100.00%,主要原因是：本年度未安排培训费。</w:t>
      </w:r>
    </w:p>
    <w:p w14:paraId="21B0BE54">
      <w:pPr>
        <w:spacing w:line="580" w:lineRule="exact"/>
        <w:ind w:firstLine="640"/>
        <w:jc w:val="both"/>
      </w:pPr>
      <w:r>
        <w:rPr>
          <w:rFonts w:ascii="仿宋_GB2312" w:hAnsi="仿宋_GB2312" w:eastAsia="仿宋_GB2312"/>
          <w:b w:val="0"/>
          <w:sz w:val="32"/>
        </w:rPr>
        <w:t>6.教育支出(类)其他教育支出(款)其他教育支出(项):支出决算数为0.00万元，比上年决算减少28.57万元，下降100.00%,主要原因是：本年科目调整，部分聘用人员经费上年单独列支，本年调整至其他普通教育支出，导致经费减少。</w:t>
      </w:r>
    </w:p>
    <w:p w14:paraId="319EF2C2">
      <w:pPr>
        <w:spacing w:line="580" w:lineRule="exact"/>
        <w:ind w:firstLine="640"/>
        <w:jc w:val="both"/>
      </w:pPr>
      <w:r>
        <w:rPr>
          <w:rFonts w:ascii="仿宋_GB2312" w:hAnsi="仿宋_GB2312" w:eastAsia="仿宋_GB2312"/>
          <w:b w:val="0"/>
          <w:sz w:val="32"/>
        </w:rPr>
        <w:t>7.社会保障和就业支出(类)行政事业单位养老支出(款)事业单位离退休(项):支出决算数为68.02万元，比上年决算增加51.48万元，增长311.25%,主要原因是：本年退休人员增加，发放退休人员基础绩效，退休费支出增加。</w:t>
      </w:r>
    </w:p>
    <w:p w14:paraId="1148365E">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205.99万元，比上年决算增加29.14万元，增长16.48%,主要原因是：本年在职人员增加，工资基数调增，养老缴费基数上涨，相应支出增加。</w:t>
      </w:r>
    </w:p>
    <w:p w14:paraId="7535872D">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0.00万元，比上年决算减少16.42万元，下降100.00%,主要原因是：本年退休人员职业年金在下一年做实，导致职业年金缴费支出减少。</w:t>
      </w:r>
    </w:p>
    <w:p w14:paraId="4C71EE4E">
      <w:pPr>
        <w:spacing w:line="580" w:lineRule="exact"/>
        <w:ind w:firstLine="640"/>
        <w:jc w:val="both"/>
      </w:pPr>
      <w:r>
        <w:rPr>
          <w:rFonts w:ascii="仿宋_GB2312" w:hAnsi="仿宋_GB2312" w:eastAsia="仿宋_GB2312"/>
          <w:b w:val="0"/>
          <w:sz w:val="32"/>
        </w:rPr>
        <w:t>10.社会保障和就业支出(类)抚恤(款)死亡抚恤(项):支出决算数为8.22万元，比上年决算减少0.42万元，下降4.86%,主要原因是：本年新增死亡人员较上年减少，死亡抚恤支出较上年减少。</w:t>
      </w:r>
    </w:p>
    <w:p w14:paraId="70E0A6BB">
      <w:pPr>
        <w:spacing w:line="580" w:lineRule="exact"/>
        <w:ind w:firstLine="640"/>
        <w:jc w:val="both"/>
      </w:pPr>
      <w:r>
        <w:rPr>
          <w:rFonts w:ascii="仿宋_GB2312" w:hAnsi="仿宋_GB2312" w:eastAsia="仿宋_GB2312"/>
          <w:b w:val="0"/>
          <w:sz w:val="32"/>
        </w:rPr>
        <w:t>11.卫生健康支出(类)行政事业单位医疗(款)事业单位医疗(项):支出决算数为102.99万元，比上年决算减少35.79万元，下降25.79%,主要原因是：因退休人员医疗保险制度改革，退休人员基本医疗不再由单位缴纳，导致经费较上年减少。</w:t>
      </w:r>
    </w:p>
    <w:p w14:paraId="69E86AE6">
      <w:pPr>
        <w:spacing w:line="580" w:lineRule="exact"/>
        <w:ind w:firstLine="640"/>
        <w:jc w:val="both"/>
      </w:pPr>
      <w:r>
        <w:rPr>
          <w:rFonts w:ascii="仿宋_GB2312" w:hAnsi="仿宋_GB2312" w:eastAsia="仿宋_GB2312"/>
          <w:b w:val="0"/>
          <w:sz w:val="32"/>
        </w:rPr>
        <w:t>12.住房保障支出(类)住房改革支出(款)住房公积金(项):支出决算数为0.00万元，比上年决算减少147.36万元，下降100.00%,主要原因是：本年功能科目调整，住房公积金上年度单独列支，本年调整至学前教育和小学教育款项，导致经费较上年减少。</w:t>
      </w:r>
    </w:p>
    <w:p w14:paraId="101B14A1">
      <w:pPr>
        <w:spacing w:line="640" w:lineRule="exact"/>
        <w:ind w:firstLine="640"/>
        <w:jc w:val="both"/>
        <w:outlineLvl w:val="2"/>
      </w:pPr>
      <w:r>
        <w:rPr>
          <w:rFonts w:ascii="黑体" w:hAnsi="黑体" w:eastAsia="黑体"/>
          <w:sz w:val="32"/>
        </w:rPr>
        <w:t>六、一般公共预算财政拨款基本支出决算情况说明</w:t>
      </w:r>
    </w:p>
    <w:p w14:paraId="75ABE1AF">
      <w:pPr>
        <w:spacing w:line="580" w:lineRule="exact"/>
        <w:ind w:firstLine="640"/>
        <w:jc w:val="both"/>
      </w:pPr>
      <w:r>
        <w:rPr>
          <w:rFonts w:ascii="仿宋_GB2312" w:hAnsi="仿宋_GB2312" w:eastAsia="仿宋_GB2312"/>
          <w:b w:val="0"/>
          <w:sz w:val="32"/>
        </w:rPr>
        <w:t>2024年度一般公共预算财政拨款基本支出2,560.03万元，其中：</w:t>
      </w:r>
      <w:r>
        <w:rPr>
          <w:rFonts w:ascii="仿宋_GB2312" w:hAnsi="仿宋_GB2312" w:eastAsia="仿宋_GB2312"/>
          <w:b/>
          <w:sz w:val="32"/>
        </w:rPr>
        <w:t>人员经费2,327.83万元，</w:t>
      </w:r>
      <w:r>
        <w:rPr>
          <w:rFonts w:ascii="仿宋_GB2312" w:hAnsi="仿宋_GB2312" w:eastAsia="仿宋_GB2312"/>
          <w:b w:val="0"/>
          <w:sz w:val="32"/>
        </w:rPr>
        <w:t>包括：基本工资、津贴补贴、绩效工资、机关事业单位基本养老保险缴费、职工基本医疗保险缴费、其他社会保障缴费、住房公积金、其他工资福利支出、退休费、抚恤金、助学金、奖励金。</w:t>
      </w:r>
    </w:p>
    <w:p w14:paraId="31F54352">
      <w:pPr>
        <w:spacing w:line="580" w:lineRule="exact"/>
        <w:ind w:firstLine="640"/>
        <w:jc w:val="both"/>
      </w:pPr>
      <w:r>
        <w:rPr>
          <w:rFonts w:ascii="仿宋_GB2312" w:hAnsi="仿宋_GB2312" w:eastAsia="仿宋_GB2312"/>
          <w:b/>
          <w:sz w:val="32"/>
        </w:rPr>
        <w:t>公用经费232.20万元，</w:t>
      </w:r>
      <w:r>
        <w:rPr>
          <w:rFonts w:ascii="仿宋_GB2312" w:hAnsi="仿宋_GB2312" w:eastAsia="仿宋_GB2312"/>
          <w:b w:val="0"/>
          <w:sz w:val="32"/>
        </w:rPr>
        <w:t>包括：办公费、手续费、水费、电费、邮电费、取暖费、物业管理费、差旅费、维修（护）费、培训费、专用材料费、劳务费、工会经费、其他商品和服务支出、办公设备购置、专用设备购置、信息网络及软件购置更新。</w:t>
      </w:r>
    </w:p>
    <w:p w14:paraId="61810442">
      <w:pPr>
        <w:spacing w:line="640" w:lineRule="exact"/>
        <w:ind w:firstLine="640"/>
        <w:jc w:val="both"/>
        <w:outlineLvl w:val="2"/>
      </w:pPr>
      <w:r>
        <w:rPr>
          <w:rFonts w:ascii="黑体" w:hAnsi="黑体" w:eastAsia="黑体"/>
          <w:sz w:val="32"/>
        </w:rPr>
        <w:t>七、政府性基金预算财政拨款收入支出决算情况说明</w:t>
      </w:r>
    </w:p>
    <w:p w14:paraId="7D824FF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2577C84">
      <w:pPr>
        <w:spacing w:line="640" w:lineRule="exact"/>
        <w:ind w:firstLine="640"/>
        <w:jc w:val="both"/>
        <w:outlineLvl w:val="2"/>
      </w:pPr>
      <w:r>
        <w:rPr>
          <w:rFonts w:ascii="黑体" w:hAnsi="黑体" w:eastAsia="黑体"/>
          <w:sz w:val="32"/>
        </w:rPr>
        <w:t>八、国有资本经营预算财政拨款收入支出决算情况说明</w:t>
      </w:r>
    </w:p>
    <w:p w14:paraId="637DBF3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C180B93">
      <w:pPr>
        <w:spacing w:line="640" w:lineRule="exact"/>
        <w:ind w:firstLine="640"/>
        <w:jc w:val="both"/>
        <w:outlineLvl w:val="2"/>
      </w:pPr>
      <w:r>
        <w:rPr>
          <w:rFonts w:ascii="黑体" w:hAnsi="黑体" w:eastAsia="黑体"/>
          <w:sz w:val="32"/>
        </w:rPr>
        <w:t>九、财政拨款“三公”经费支出决算情况说明</w:t>
      </w:r>
    </w:p>
    <w:p w14:paraId="41731EDA">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5969166E">
      <w:pPr>
        <w:spacing w:line="580" w:lineRule="exact"/>
        <w:ind w:firstLine="640"/>
        <w:jc w:val="both"/>
      </w:pPr>
      <w:r>
        <w:rPr>
          <w:rFonts w:ascii="仿宋_GB2312" w:hAnsi="仿宋_GB2312" w:eastAsia="仿宋_GB2312"/>
          <w:b/>
          <w:sz w:val="32"/>
        </w:rPr>
        <w:t>具体情况如下：</w:t>
      </w:r>
    </w:p>
    <w:p w14:paraId="1E4340F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2C2EE06">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381358E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C13435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6C852FA">
      <w:pPr>
        <w:spacing w:line="640" w:lineRule="exact"/>
        <w:ind w:firstLine="640"/>
        <w:jc w:val="both"/>
        <w:outlineLvl w:val="2"/>
      </w:pPr>
      <w:r>
        <w:rPr>
          <w:rFonts w:ascii="黑体" w:hAnsi="黑体" w:eastAsia="黑体"/>
          <w:sz w:val="32"/>
        </w:rPr>
        <w:t>十、其他重要事项的情况说明</w:t>
      </w:r>
    </w:p>
    <w:p w14:paraId="5D7C4B3D">
      <w:pPr>
        <w:spacing w:line="640" w:lineRule="exact"/>
        <w:ind w:firstLine="640"/>
        <w:jc w:val="both"/>
        <w:outlineLvl w:val="3"/>
      </w:pPr>
      <w:r>
        <w:rPr>
          <w:rFonts w:ascii="楷体_GB2312" w:hAnsi="楷体_GB2312" w:eastAsia="楷体_GB2312"/>
          <w:b/>
          <w:sz w:val="32"/>
        </w:rPr>
        <w:t>（一）机关运行经费及公用经费支出情况</w:t>
      </w:r>
    </w:p>
    <w:p w14:paraId="7FF25ABE">
      <w:pPr>
        <w:spacing w:line="580" w:lineRule="exact"/>
        <w:ind w:firstLine="640"/>
        <w:jc w:val="both"/>
      </w:pPr>
      <w:r>
        <w:rPr>
          <w:rFonts w:ascii="仿宋_GB2312" w:hAnsi="仿宋_GB2312" w:eastAsia="仿宋_GB2312"/>
          <w:b w:val="0"/>
          <w:sz w:val="32"/>
        </w:rPr>
        <w:t>2024年度霍城县第二小学（事业单位）公用经费支出232.20万元，比上年增加45.92万元，增长24.65%，主要原因是：本年增加办公费、取暖费、电费等，导致公用经费较上年增加。</w:t>
      </w:r>
    </w:p>
    <w:p w14:paraId="6EEB4406">
      <w:pPr>
        <w:spacing w:line="640" w:lineRule="exact"/>
        <w:ind w:firstLine="640"/>
        <w:jc w:val="both"/>
        <w:outlineLvl w:val="3"/>
      </w:pPr>
      <w:r>
        <w:rPr>
          <w:rFonts w:ascii="楷体_GB2312" w:hAnsi="楷体_GB2312" w:eastAsia="楷体_GB2312"/>
          <w:b/>
          <w:sz w:val="32"/>
        </w:rPr>
        <w:t>（二）政府采购情况</w:t>
      </w:r>
    </w:p>
    <w:p w14:paraId="0243403A">
      <w:pPr>
        <w:spacing w:line="580" w:lineRule="exact"/>
        <w:ind w:firstLine="640"/>
        <w:jc w:val="both"/>
      </w:pPr>
      <w:r>
        <w:rPr>
          <w:rFonts w:ascii="仿宋_GB2312" w:hAnsi="仿宋_GB2312" w:eastAsia="仿宋_GB2312"/>
          <w:b w:val="0"/>
          <w:sz w:val="32"/>
        </w:rPr>
        <w:t>2024年度政府采购支出总额25.11万元，其中：政府采购货物支出0.66万元、政府采购工程支出24.45万元、政府采购服务支出0.00万元。</w:t>
      </w:r>
    </w:p>
    <w:p w14:paraId="041FC334">
      <w:pPr>
        <w:spacing w:line="580" w:lineRule="exact"/>
        <w:ind w:firstLine="640"/>
        <w:jc w:val="both"/>
      </w:pPr>
      <w:r>
        <w:rPr>
          <w:rFonts w:ascii="仿宋_GB2312" w:hAnsi="仿宋_GB2312" w:eastAsia="仿宋_GB2312"/>
          <w:b w:val="0"/>
          <w:sz w:val="32"/>
        </w:rPr>
        <w:t>授予中小企业合同金额25.11万元，占政府采购支出总额的100.00%，其中：授予小微企业合同金额25.11万元，占政府采购支出总额的100.00%。</w:t>
      </w:r>
    </w:p>
    <w:p w14:paraId="05883CA6">
      <w:pPr>
        <w:spacing w:line="640" w:lineRule="exact"/>
        <w:ind w:firstLine="640"/>
        <w:jc w:val="both"/>
        <w:outlineLvl w:val="3"/>
      </w:pPr>
      <w:r>
        <w:rPr>
          <w:rFonts w:ascii="楷体_GB2312" w:hAnsi="楷体_GB2312" w:eastAsia="楷体_GB2312"/>
          <w:b/>
          <w:sz w:val="32"/>
        </w:rPr>
        <w:t>（三）国有资产占用情况说明</w:t>
      </w:r>
    </w:p>
    <w:p w14:paraId="6BB2624D">
      <w:pPr>
        <w:spacing w:line="580" w:lineRule="exact"/>
        <w:ind w:firstLine="640"/>
        <w:jc w:val="both"/>
      </w:pPr>
      <w:r>
        <w:rPr>
          <w:rFonts w:ascii="仿宋_GB2312" w:hAnsi="仿宋_GB2312" w:eastAsia="仿宋_GB2312"/>
          <w:b w:val="0"/>
          <w:sz w:val="32"/>
        </w:rPr>
        <w:t>截至2024年12月31日，房屋14,215.22平方米，价值2,158.75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06BAB809">
      <w:pPr>
        <w:spacing w:line="640" w:lineRule="exact"/>
        <w:ind w:firstLine="640"/>
        <w:jc w:val="both"/>
        <w:outlineLvl w:val="2"/>
      </w:pPr>
      <w:r>
        <w:rPr>
          <w:rFonts w:ascii="黑体" w:hAnsi="黑体" w:eastAsia="黑体"/>
          <w:sz w:val="32"/>
        </w:rPr>
        <w:t>十一、预算绩效的情况说明</w:t>
      </w:r>
    </w:p>
    <w:p w14:paraId="140BBA7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2,560.03万元，实际执行总额2,560.03万元；预算绩效评价项目0个，全年预算数0.00万元，全年执行数0.00万元。预算绩效管理取得的成效：一是基于绩效的数据分析，为学校的决策提供有力的支持；二是对各项支出进行严格的监控和分析。发现的问题及原因：一是部分教职工对绩效管理的重要性认识不足；二是缺乏具体的量化标准。下一步改进措施：一是完善绩效指标体系；二是优化预算调整流程。具体附整体支出绩效自评表。</w:t>
      </w:r>
    </w:p>
    <w:p w14:paraId="6FED4564">
      <w:r>
        <w:br w:type="page"/>
      </w:r>
    </w:p>
    <w:tbl>
      <w:tblPr>
        <w:tblStyle w:val="9"/>
        <w:tblW w:w="5000" w:type="pct"/>
        <w:jc w:val="center"/>
        <w:tblLayout w:type="autofit"/>
        <w:tblCellMar>
          <w:top w:w="40" w:type="dxa"/>
          <w:left w:w="64" w:type="dxa"/>
          <w:bottom w:w="40" w:type="dxa"/>
          <w:right w:w="64" w:type="dxa"/>
        </w:tblCellMar>
      </w:tblPr>
      <w:tblGrid>
        <w:gridCol w:w="516"/>
        <w:gridCol w:w="710"/>
        <w:gridCol w:w="1260"/>
        <w:gridCol w:w="1007"/>
        <w:gridCol w:w="1723"/>
        <w:gridCol w:w="517"/>
        <w:gridCol w:w="2333"/>
        <w:gridCol w:w="906"/>
      </w:tblGrid>
      <w:tr w14:paraId="48A3ACB6">
        <w:tblPrEx>
          <w:tblCellMar>
            <w:top w:w="40" w:type="dxa"/>
            <w:left w:w="64" w:type="dxa"/>
            <w:bottom w:w="40" w:type="dxa"/>
            <w:right w:w="64" w:type="dxa"/>
          </w:tblCellMar>
        </w:tblPrEx>
        <w:trPr>
          <w:trHeight w:val="0" w:hRule="atLeast"/>
          <w:jc w:val="center"/>
        </w:trPr>
        <w:tc>
          <w:tcPr>
            <w:tcW w:w="5000" w:type="pct"/>
            <w:gridSpan w:val="8"/>
            <w:vAlign w:val="center"/>
          </w:tcPr>
          <w:p w14:paraId="0DB3C532">
            <w:pPr>
              <w:snapToGrid w:val="0"/>
              <w:jc w:val="center"/>
            </w:pPr>
            <w:bookmarkStart w:id="0" w:name="_GoBack"/>
            <w:bookmarkEnd w:id="0"/>
            <w:r>
              <w:rPr>
                <w:rFonts w:ascii="宋体" w:hAnsi="宋体" w:eastAsia="宋体"/>
                <w:sz w:val="24"/>
              </w:rPr>
              <w:t>单位整体支出绩效自评表</w:t>
            </w:r>
          </w:p>
        </w:tc>
      </w:tr>
      <w:tr w14:paraId="165C0F34">
        <w:tblPrEx>
          <w:tblCellMar>
            <w:top w:w="40" w:type="dxa"/>
            <w:left w:w="64" w:type="dxa"/>
            <w:bottom w:w="40" w:type="dxa"/>
            <w:right w:w="64" w:type="dxa"/>
          </w:tblCellMar>
        </w:tblPrEx>
        <w:trPr>
          <w:trHeight w:val="0" w:hRule="atLeast"/>
          <w:jc w:val="center"/>
        </w:trPr>
        <w:tc>
          <w:tcPr>
            <w:tcW w:w="5000" w:type="pct"/>
            <w:gridSpan w:val="8"/>
            <w:vAlign w:val="center"/>
          </w:tcPr>
          <w:p w14:paraId="3DD40C60">
            <w:pPr>
              <w:snapToGrid w:val="0"/>
              <w:jc w:val="center"/>
            </w:pPr>
            <w:r>
              <w:rPr>
                <w:rFonts w:ascii="宋体" w:hAnsi="宋体" w:eastAsia="宋体"/>
                <w:sz w:val="24"/>
              </w:rPr>
              <w:t>（2024年度）</w:t>
            </w:r>
          </w:p>
        </w:tc>
      </w:tr>
      <w:tr w14:paraId="5EE29318">
        <w:tblPrEx>
          <w:tblCellMar>
            <w:top w:w="40" w:type="dxa"/>
            <w:left w:w="64" w:type="dxa"/>
            <w:bottom w:w="40" w:type="dxa"/>
            <w:right w:w="64" w:type="dxa"/>
          </w:tblCellMar>
        </w:tblPrEx>
        <w:trPr>
          <w:trHeight w:val="0" w:hRule="atLeast"/>
          <w:jc w:val="center"/>
        </w:trPr>
        <w:tc>
          <w:tcPr>
            <w:tcW w:w="288" w:type="pct"/>
            <w:tcBorders>
              <w:top w:val="single" w:color="auto" w:sz="10" w:space="0"/>
              <w:left w:val="single" w:color="auto" w:sz="10" w:space="0"/>
              <w:bottom w:val="single" w:color="auto" w:sz="10" w:space="0"/>
              <w:right w:val="single" w:color="auto" w:sz="10" w:space="0"/>
              <w:insideV w:val="single" w:sz="10" w:space="0"/>
            </w:tcBorders>
            <w:vAlign w:val="center"/>
          </w:tcPr>
          <w:p w14:paraId="51B613C3">
            <w:pPr>
              <w:snapToGrid w:val="0"/>
              <w:jc w:val="center"/>
            </w:pPr>
            <w:r>
              <w:rPr>
                <w:rFonts w:ascii="宋体" w:hAnsi="宋体" w:eastAsia="宋体"/>
                <w:sz w:val="16"/>
              </w:rPr>
              <w:t>单位名称</w:t>
            </w:r>
          </w:p>
        </w:tc>
        <w:tc>
          <w:tcPr>
            <w:tcW w:w="4711" w:type="pct"/>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52FB9D">
            <w:pPr>
              <w:snapToGrid w:val="0"/>
              <w:jc w:val="center"/>
            </w:pPr>
            <w:r>
              <w:rPr>
                <w:rFonts w:ascii="宋体" w:hAnsi="宋体" w:eastAsia="宋体"/>
                <w:sz w:val="16"/>
              </w:rPr>
              <w:t>霍城县第二小学</w:t>
            </w:r>
          </w:p>
        </w:tc>
      </w:tr>
      <w:tr w14:paraId="0651F5A9">
        <w:tblPrEx>
          <w:tblCellMar>
            <w:top w:w="40" w:type="dxa"/>
            <w:left w:w="64" w:type="dxa"/>
            <w:bottom w:w="40" w:type="dxa"/>
            <w:right w:w="64" w:type="dxa"/>
          </w:tblCellMar>
        </w:tblPrEx>
        <w:trPr>
          <w:trHeight w:val="0" w:hRule="atLeast"/>
          <w:jc w:val="center"/>
        </w:trPr>
        <w:tc>
          <w:tcPr>
            <w:tcW w:w="288"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630025">
            <w:pPr>
              <w:snapToGrid w:val="0"/>
              <w:jc w:val="center"/>
            </w:pPr>
            <w:r>
              <w:rPr>
                <w:rFonts w:ascii="宋体" w:hAnsi="宋体" w:eastAsia="宋体"/>
                <w:sz w:val="16"/>
              </w:rPr>
              <w:t>部门资金（万元）</w:t>
            </w:r>
          </w:p>
        </w:tc>
        <w:tc>
          <w:tcPr>
            <w:tcW w:w="396" w:type="pct"/>
            <w:tcBorders>
              <w:top w:val="single" w:color="auto" w:sz="10" w:space="0"/>
              <w:left w:val="single" w:color="auto" w:sz="10" w:space="0"/>
              <w:bottom w:val="single" w:color="auto" w:sz="10" w:space="0"/>
              <w:right w:val="single" w:color="auto" w:sz="10" w:space="0"/>
              <w:insideV w:val="single" w:sz="10" w:space="0"/>
            </w:tcBorders>
            <w:vAlign w:val="center"/>
          </w:tcPr>
          <w:p w14:paraId="0A94BE02">
            <w:pPr>
              <w:snapToGrid w:val="0"/>
              <w:jc w:val="center"/>
            </w:pPr>
            <w:r>
              <w:rPr>
                <w:rFonts w:ascii="宋体" w:hAnsi="宋体" w:eastAsia="宋体"/>
                <w:sz w:val="16"/>
              </w:rPr>
              <w:t>资金来源</w:t>
            </w:r>
          </w:p>
        </w:tc>
        <w:tc>
          <w:tcPr>
            <w:tcW w:w="702" w:type="pct"/>
            <w:tcBorders>
              <w:top w:val="single" w:color="auto" w:sz="10" w:space="0"/>
              <w:left w:val="single" w:color="auto" w:sz="10" w:space="0"/>
              <w:bottom w:val="single" w:color="auto" w:sz="10" w:space="0"/>
              <w:right w:val="single" w:color="auto" w:sz="10" w:space="0"/>
              <w:insideV w:val="single" w:sz="10" w:space="0"/>
            </w:tcBorders>
            <w:vAlign w:val="center"/>
          </w:tcPr>
          <w:p w14:paraId="60648272">
            <w:pPr>
              <w:snapToGrid w:val="0"/>
              <w:jc w:val="center"/>
            </w:pPr>
            <w:r>
              <w:rPr>
                <w:rFonts w:ascii="宋体" w:hAnsi="宋体" w:eastAsia="宋体"/>
                <w:sz w:val="16"/>
              </w:rPr>
              <w:t>年初预算数</w:t>
            </w:r>
          </w:p>
        </w:tc>
        <w:tc>
          <w:tcPr>
            <w:tcW w:w="561" w:type="pct"/>
            <w:tcBorders>
              <w:top w:val="single" w:color="auto" w:sz="10" w:space="0"/>
              <w:left w:val="single" w:color="auto" w:sz="10" w:space="0"/>
              <w:bottom w:val="single" w:color="auto" w:sz="10" w:space="0"/>
              <w:right w:val="single" w:color="auto" w:sz="10" w:space="0"/>
              <w:insideV w:val="single" w:sz="10" w:space="0"/>
            </w:tcBorders>
            <w:vAlign w:val="center"/>
          </w:tcPr>
          <w:p w14:paraId="766C43EF">
            <w:pPr>
              <w:snapToGrid w:val="0"/>
              <w:jc w:val="center"/>
            </w:pPr>
            <w:r>
              <w:rPr>
                <w:rFonts w:ascii="宋体" w:hAnsi="宋体" w:eastAsia="宋体"/>
                <w:sz w:val="16"/>
              </w:rPr>
              <w:t>全年预算数</w:t>
            </w:r>
          </w:p>
        </w:tc>
        <w:tc>
          <w:tcPr>
            <w:tcW w:w="960" w:type="pct"/>
            <w:tcBorders>
              <w:top w:val="single" w:color="auto" w:sz="10" w:space="0"/>
              <w:left w:val="single" w:color="auto" w:sz="10" w:space="0"/>
              <w:bottom w:val="single" w:color="auto" w:sz="10" w:space="0"/>
              <w:right w:val="single" w:color="auto" w:sz="10" w:space="0"/>
              <w:insideV w:val="single" w:sz="10" w:space="0"/>
            </w:tcBorders>
            <w:vAlign w:val="center"/>
          </w:tcPr>
          <w:p w14:paraId="167279A3">
            <w:pPr>
              <w:snapToGrid w:val="0"/>
              <w:jc w:val="center"/>
            </w:pPr>
            <w:r>
              <w:rPr>
                <w:rFonts w:ascii="宋体" w:hAnsi="宋体" w:eastAsia="宋体"/>
                <w:sz w:val="16"/>
              </w:rPr>
              <w:t>全年执行数</w:t>
            </w:r>
          </w:p>
        </w:tc>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01373EDF">
            <w:pPr>
              <w:snapToGrid w:val="0"/>
              <w:jc w:val="center"/>
            </w:pPr>
            <w:r>
              <w:rPr>
                <w:rFonts w:ascii="宋体" w:hAnsi="宋体" w:eastAsia="宋体"/>
                <w:sz w:val="16"/>
              </w:rPr>
              <w:t>分值权重</w:t>
            </w:r>
          </w:p>
        </w:tc>
        <w:tc>
          <w:tcPr>
            <w:tcW w:w="1300" w:type="pct"/>
            <w:tcBorders>
              <w:top w:val="single" w:color="auto" w:sz="10" w:space="0"/>
              <w:left w:val="single" w:color="auto" w:sz="10" w:space="0"/>
              <w:bottom w:val="single" w:color="auto" w:sz="10" w:space="0"/>
              <w:right w:val="single" w:color="auto" w:sz="10" w:space="0"/>
              <w:insideV w:val="single" w:sz="10" w:space="0"/>
            </w:tcBorders>
            <w:vAlign w:val="center"/>
          </w:tcPr>
          <w:p w14:paraId="10C0009F">
            <w:pPr>
              <w:snapToGrid w:val="0"/>
              <w:jc w:val="center"/>
            </w:pPr>
            <w:r>
              <w:rPr>
                <w:rFonts w:ascii="宋体" w:hAnsi="宋体" w:eastAsia="宋体"/>
                <w:sz w:val="16"/>
              </w:rPr>
              <w:t>执行率</w:t>
            </w:r>
          </w:p>
        </w:tc>
        <w:tc>
          <w:tcPr>
            <w:tcW w:w="503" w:type="pct"/>
            <w:tcBorders>
              <w:top w:val="single" w:color="auto" w:sz="10" w:space="0"/>
              <w:left w:val="single" w:color="auto" w:sz="10" w:space="0"/>
              <w:bottom w:val="single" w:color="auto" w:sz="10" w:space="0"/>
              <w:right w:val="single" w:color="auto" w:sz="10" w:space="0"/>
              <w:insideV w:val="single" w:sz="10" w:space="0"/>
            </w:tcBorders>
            <w:vAlign w:val="center"/>
          </w:tcPr>
          <w:p w14:paraId="187FE947">
            <w:pPr>
              <w:snapToGrid w:val="0"/>
              <w:jc w:val="center"/>
            </w:pPr>
            <w:r>
              <w:rPr>
                <w:rFonts w:ascii="宋体" w:hAnsi="宋体" w:eastAsia="宋体"/>
                <w:sz w:val="16"/>
              </w:rPr>
              <w:t>得分</w:t>
            </w:r>
          </w:p>
        </w:tc>
      </w:tr>
      <w:tr w14:paraId="46726F40">
        <w:tblPrEx>
          <w:tblCellMar>
            <w:top w:w="40" w:type="dxa"/>
            <w:left w:w="64" w:type="dxa"/>
            <w:bottom w:w="40" w:type="dxa"/>
            <w:right w:w="64" w:type="dxa"/>
          </w:tblCellMar>
        </w:tblPrEx>
        <w:trPr>
          <w:trHeight w:val="0" w:hRule="atLeast"/>
          <w:jc w:val="center"/>
        </w:trPr>
        <w:tc>
          <w:tcPr>
            <w:tcW w:w="288" w:type="pct"/>
            <w:vMerge w:val="continue"/>
            <w:tcBorders>
              <w:top w:val="single" w:color="auto" w:sz="10" w:space="0"/>
              <w:left w:val="single" w:color="auto" w:sz="10" w:space="0"/>
              <w:bottom w:val="single" w:color="auto" w:sz="10" w:space="0"/>
              <w:right w:val="single" w:color="auto" w:sz="10" w:space="0"/>
              <w:insideV w:val="single" w:sz="10" w:space="0"/>
            </w:tcBorders>
          </w:tcPr>
          <w:p w14:paraId="4526BA41">
            <w:pPr>
              <w:snapToGrid w:val="0"/>
            </w:pPr>
          </w:p>
        </w:tc>
        <w:tc>
          <w:tcPr>
            <w:tcW w:w="396" w:type="pct"/>
            <w:tcBorders>
              <w:top w:val="single" w:color="auto" w:sz="10" w:space="0"/>
              <w:left w:val="single" w:color="auto" w:sz="10" w:space="0"/>
              <w:bottom w:val="single" w:color="auto" w:sz="10" w:space="0"/>
              <w:right w:val="single" w:color="auto" w:sz="10" w:space="0"/>
              <w:insideV w:val="single" w:sz="10" w:space="0"/>
            </w:tcBorders>
            <w:vAlign w:val="center"/>
          </w:tcPr>
          <w:p w14:paraId="3A05C779">
            <w:pPr>
              <w:snapToGrid w:val="0"/>
              <w:jc w:val="center"/>
            </w:pPr>
            <w:r>
              <w:rPr>
                <w:rFonts w:ascii="宋体" w:hAnsi="宋体" w:eastAsia="宋体"/>
                <w:sz w:val="16"/>
              </w:rPr>
              <w:t>年度总资金</w:t>
            </w:r>
          </w:p>
        </w:tc>
        <w:tc>
          <w:tcPr>
            <w:tcW w:w="702" w:type="pct"/>
            <w:tcBorders>
              <w:top w:val="single" w:color="auto" w:sz="10" w:space="0"/>
              <w:left w:val="single" w:color="auto" w:sz="10" w:space="0"/>
              <w:bottom w:val="single" w:color="auto" w:sz="10" w:space="0"/>
              <w:right w:val="single" w:color="auto" w:sz="10" w:space="0"/>
              <w:insideV w:val="single" w:sz="10" w:space="0"/>
            </w:tcBorders>
            <w:vAlign w:val="center"/>
          </w:tcPr>
          <w:p w14:paraId="2DCB7B1F">
            <w:pPr>
              <w:snapToGrid w:val="0"/>
              <w:jc w:val="center"/>
            </w:pPr>
            <w:r>
              <w:rPr>
                <w:rFonts w:ascii="宋体" w:hAnsi="宋体" w:eastAsia="宋体"/>
                <w:sz w:val="16"/>
              </w:rPr>
              <w:t>2,152.18</w:t>
            </w:r>
          </w:p>
        </w:tc>
        <w:tc>
          <w:tcPr>
            <w:tcW w:w="561" w:type="pct"/>
            <w:tcBorders>
              <w:top w:val="single" w:color="auto" w:sz="10" w:space="0"/>
              <w:left w:val="single" w:color="auto" w:sz="10" w:space="0"/>
              <w:bottom w:val="single" w:color="auto" w:sz="10" w:space="0"/>
              <w:right w:val="single" w:color="auto" w:sz="10" w:space="0"/>
              <w:insideV w:val="single" w:sz="10" w:space="0"/>
            </w:tcBorders>
            <w:vAlign w:val="center"/>
          </w:tcPr>
          <w:p w14:paraId="3793E8FA">
            <w:pPr>
              <w:snapToGrid w:val="0"/>
              <w:jc w:val="center"/>
            </w:pPr>
            <w:r>
              <w:rPr>
                <w:rFonts w:ascii="宋体" w:hAnsi="宋体" w:eastAsia="宋体"/>
                <w:sz w:val="16"/>
              </w:rPr>
              <w:t>2,560.03</w:t>
            </w:r>
          </w:p>
        </w:tc>
        <w:tc>
          <w:tcPr>
            <w:tcW w:w="960" w:type="pct"/>
            <w:tcBorders>
              <w:top w:val="single" w:color="auto" w:sz="10" w:space="0"/>
              <w:left w:val="single" w:color="auto" w:sz="10" w:space="0"/>
              <w:bottom w:val="single" w:color="auto" w:sz="10" w:space="0"/>
              <w:right w:val="single" w:color="auto" w:sz="10" w:space="0"/>
              <w:insideV w:val="single" w:sz="10" w:space="0"/>
            </w:tcBorders>
            <w:vAlign w:val="center"/>
          </w:tcPr>
          <w:p w14:paraId="33BE37C4">
            <w:pPr>
              <w:snapToGrid w:val="0"/>
              <w:jc w:val="center"/>
            </w:pPr>
            <w:r>
              <w:rPr>
                <w:rFonts w:ascii="宋体" w:hAnsi="宋体" w:eastAsia="宋体"/>
                <w:sz w:val="16"/>
              </w:rPr>
              <w:t>2,560.03</w:t>
            </w:r>
          </w:p>
        </w:tc>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3C82200C">
            <w:pPr>
              <w:snapToGrid w:val="0"/>
              <w:jc w:val="center"/>
            </w:pPr>
            <w:r>
              <w:rPr>
                <w:rFonts w:ascii="宋体" w:hAnsi="宋体" w:eastAsia="宋体"/>
                <w:sz w:val="16"/>
              </w:rPr>
              <w:t>10</w:t>
            </w:r>
          </w:p>
        </w:tc>
        <w:tc>
          <w:tcPr>
            <w:tcW w:w="1300" w:type="pct"/>
            <w:tcBorders>
              <w:top w:val="single" w:color="auto" w:sz="10" w:space="0"/>
              <w:left w:val="single" w:color="auto" w:sz="10" w:space="0"/>
              <w:bottom w:val="single" w:color="auto" w:sz="10" w:space="0"/>
              <w:right w:val="single" w:color="auto" w:sz="10" w:space="0"/>
              <w:insideV w:val="single" w:sz="10" w:space="0"/>
            </w:tcBorders>
            <w:vAlign w:val="center"/>
          </w:tcPr>
          <w:p w14:paraId="62A99750">
            <w:pPr>
              <w:snapToGrid w:val="0"/>
              <w:jc w:val="center"/>
            </w:pPr>
            <w:r>
              <w:rPr>
                <w:rFonts w:ascii="宋体" w:hAnsi="宋体" w:eastAsia="宋体"/>
                <w:sz w:val="16"/>
              </w:rPr>
              <w:t>100%</w:t>
            </w:r>
          </w:p>
        </w:tc>
        <w:tc>
          <w:tcPr>
            <w:tcW w:w="503" w:type="pct"/>
            <w:tcBorders>
              <w:top w:val="single" w:color="auto" w:sz="10" w:space="0"/>
              <w:left w:val="single" w:color="auto" w:sz="10" w:space="0"/>
              <w:bottom w:val="single" w:color="auto" w:sz="10" w:space="0"/>
              <w:right w:val="single" w:color="auto" w:sz="10" w:space="0"/>
              <w:insideV w:val="single" w:sz="10" w:space="0"/>
            </w:tcBorders>
            <w:vAlign w:val="center"/>
          </w:tcPr>
          <w:p w14:paraId="07CBDC0B">
            <w:pPr>
              <w:snapToGrid w:val="0"/>
              <w:jc w:val="center"/>
            </w:pPr>
            <w:r>
              <w:rPr>
                <w:rFonts w:ascii="宋体" w:hAnsi="宋体" w:eastAsia="宋体"/>
                <w:sz w:val="16"/>
              </w:rPr>
              <w:t>10</w:t>
            </w:r>
          </w:p>
        </w:tc>
      </w:tr>
      <w:tr w14:paraId="2B56E37D">
        <w:tblPrEx>
          <w:tblCellMar>
            <w:top w:w="40" w:type="dxa"/>
            <w:left w:w="64" w:type="dxa"/>
            <w:bottom w:w="40" w:type="dxa"/>
            <w:right w:w="64" w:type="dxa"/>
          </w:tblCellMar>
        </w:tblPrEx>
        <w:trPr>
          <w:trHeight w:val="0" w:hRule="atLeast"/>
          <w:jc w:val="center"/>
        </w:trPr>
        <w:tc>
          <w:tcPr>
            <w:tcW w:w="288" w:type="pct"/>
            <w:vMerge w:val="continue"/>
            <w:tcBorders>
              <w:top w:val="single" w:color="auto" w:sz="10" w:space="0"/>
              <w:left w:val="single" w:color="auto" w:sz="10" w:space="0"/>
              <w:bottom w:val="single" w:color="auto" w:sz="10" w:space="0"/>
              <w:right w:val="single" w:color="auto" w:sz="10" w:space="0"/>
              <w:insideV w:val="single" w:sz="10" w:space="0"/>
            </w:tcBorders>
          </w:tcPr>
          <w:p w14:paraId="62DBA255">
            <w:pPr>
              <w:snapToGrid w:val="0"/>
            </w:pPr>
          </w:p>
        </w:tc>
        <w:tc>
          <w:tcPr>
            <w:tcW w:w="396" w:type="pct"/>
            <w:tcBorders>
              <w:top w:val="single" w:color="auto" w:sz="10" w:space="0"/>
              <w:left w:val="single" w:color="auto" w:sz="10" w:space="0"/>
              <w:bottom w:val="single" w:color="auto" w:sz="10" w:space="0"/>
              <w:right w:val="single" w:color="auto" w:sz="10" w:space="0"/>
              <w:insideV w:val="single" w:sz="10" w:space="0"/>
            </w:tcBorders>
            <w:vAlign w:val="center"/>
          </w:tcPr>
          <w:p w14:paraId="26DC738F">
            <w:pPr>
              <w:snapToGrid w:val="0"/>
              <w:jc w:val="center"/>
            </w:pPr>
            <w:r>
              <w:rPr>
                <w:rFonts w:ascii="宋体" w:hAnsi="宋体" w:eastAsia="宋体"/>
                <w:sz w:val="16"/>
              </w:rPr>
              <w:t>上级资金：</w:t>
            </w:r>
          </w:p>
        </w:tc>
        <w:tc>
          <w:tcPr>
            <w:tcW w:w="702" w:type="pct"/>
            <w:tcBorders>
              <w:top w:val="single" w:color="auto" w:sz="10" w:space="0"/>
              <w:left w:val="single" w:color="auto" w:sz="10" w:space="0"/>
              <w:bottom w:val="single" w:color="auto" w:sz="10" w:space="0"/>
              <w:right w:val="single" w:color="auto" w:sz="10" w:space="0"/>
              <w:insideV w:val="single" w:sz="10" w:space="0"/>
            </w:tcBorders>
            <w:vAlign w:val="center"/>
          </w:tcPr>
          <w:p w14:paraId="68F03786">
            <w:pPr>
              <w:snapToGrid w:val="0"/>
              <w:jc w:val="center"/>
            </w:pPr>
            <w:r>
              <w:rPr>
                <w:rFonts w:ascii="宋体" w:hAnsi="宋体" w:eastAsia="宋体"/>
                <w:sz w:val="16"/>
              </w:rPr>
              <w:t>211.25</w:t>
            </w:r>
          </w:p>
        </w:tc>
        <w:tc>
          <w:tcPr>
            <w:tcW w:w="561" w:type="pct"/>
            <w:tcBorders>
              <w:top w:val="single" w:color="auto" w:sz="10" w:space="0"/>
              <w:left w:val="single" w:color="auto" w:sz="10" w:space="0"/>
              <w:bottom w:val="single" w:color="auto" w:sz="10" w:space="0"/>
              <w:right w:val="single" w:color="auto" w:sz="10" w:space="0"/>
              <w:insideV w:val="single" w:sz="10" w:space="0"/>
            </w:tcBorders>
            <w:vAlign w:val="center"/>
          </w:tcPr>
          <w:p w14:paraId="514C229A">
            <w:pPr>
              <w:snapToGrid w:val="0"/>
              <w:jc w:val="center"/>
            </w:pPr>
            <w:r>
              <w:rPr>
                <w:rFonts w:ascii="宋体" w:hAnsi="宋体" w:eastAsia="宋体"/>
                <w:sz w:val="16"/>
              </w:rPr>
              <w:t>208.32</w:t>
            </w:r>
          </w:p>
        </w:tc>
        <w:tc>
          <w:tcPr>
            <w:tcW w:w="960" w:type="pct"/>
            <w:tcBorders>
              <w:top w:val="single" w:color="auto" w:sz="10" w:space="0"/>
              <w:left w:val="single" w:color="auto" w:sz="10" w:space="0"/>
              <w:bottom w:val="single" w:color="auto" w:sz="10" w:space="0"/>
              <w:right w:val="single" w:color="auto" w:sz="10" w:space="0"/>
              <w:insideV w:val="single" w:sz="10" w:space="0"/>
            </w:tcBorders>
            <w:vAlign w:val="center"/>
          </w:tcPr>
          <w:p w14:paraId="4DAB7A91">
            <w:pPr>
              <w:snapToGrid w:val="0"/>
              <w:jc w:val="center"/>
            </w:pPr>
            <w:r>
              <w:rPr>
                <w:rFonts w:ascii="宋体" w:hAnsi="宋体" w:eastAsia="宋体"/>
                <w:sz w:val="16"/>
              </w:rPr>
              <w:t>208.32</w:t>
            </w:r>
          </w:p>
        </w:tc>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7D775ED2">
            <w:pPr>
              <w:snapToGrid w:val="0"/>
              <w:jc w:val="center"/>
            </w:pPr>
            <w:r>
              <w:rPr>
                <w:rFonts w:ascii="宋体" w:hAnsi="宋体" w:eastAsia="宋体"/>
                <w:sz w:val="16"/>
              </w:rPr>
              <w:t>-</w:t>
            </w:r>
          </w:p>
        </w:tc>
        <w:tc>
          <w:tcPr>
            <w:tcW w:w="1300" w:type="pct"/>
            <w:tcBorders>
              <w:top w:val="single" w:color="auto" w:sz="10" w:space="0"/>
              <w:left w:val="single" w:color="auto" w:sz="10" w:space="0"/>
              <w:bottom w:val="single" w:color="auto" w:sz="10" w:space="0"/>
              <w:right w:val="single" w:color="auto" w:sz="10" w:space="0"/>
              <w:insideV w:val="single" w:sz="10" w:space="0"/>
            </w:tcBorders>
            <w:vAlign w:val="center"/>
          </w:tcPr>
          <w:p w14:paraId="1549054C">
            <w:pPr>
              <w:snapToGrid w:val="0"/>
              <w:jc w:val="center"/>
            </w:pPr>
            <w:r>
              <w:rPr>
                <w:rFonts w:ascii="宋体" w:hAnsi="宋体" w:eastAsia="宋体"/>
                <w:sz w:val="16"/>
              </w:rPr>
              <w:t>-</w:t>
            </w:r>
          </w:p>
        </w:tc>
        <w:tc>
          <w:tcPr>
            <w:tcW w:w="503" w:type="pct"/>
            <w:tcBorders>
              <w:top w:val="single" w:color="auto" w:sz="10" w:space="0"/>
              <w:left w:val="single" w:color="auto" w:sz="10" w:space="0"/>
              <w:bottom w:val="single" w:color="auto" w:sz="10" w:space="0"/>
              <w:right w:val="single" w:color="auto" w:sz="10" w:space="0"/>
              <w:insideV w:val="single" w:sz="10" w:space="0"/>
            </w:tcBorders>
            <w:vAlign w:val="center"/>
          </w:tcPr>
          <w:p w14:paraId="5217A502">
            <w:pPr>
              <w:snapToGrid w:val="0"/>
              <w:jc w:val="center"/>
            </w:pPr>
            <w:r>
              <w:rPr>
                <w:rFonts w:ascii="宋体" w:hAnsi="宋体" w:eastAsia="宋体"/>
                <w:sz w:val="16"/>
              </w:rPr>
              <w:t>-</w:t>
            </w:r>
          </w:p>
        </w:tc>
      </w:tr>
      <w:tr w14:paraId="469DDD8D">
        <w:tblPrEx>
          <w:tblCellMar>
            <w:top w:w="40" w:type="dxa"/>
            <w:left w:w="64" w:type="dxa"/>
            <w:bottom w:w="40" w:type="dxa"/>
            <w:right w:w="64" w:type="dxa"/>
          </w:tblCellMar>
        </w:tblPrEx>
        <w:trPr>
          <w:trHeight w:val="0" w:hRule="atLeast"/>
          <w:jc w:val="center"/>
        </w:trPr>
        <w:tc>
          <w:tcPr>
            <w:tcW w:w="288" w:type="pct"/>
            <w:vMerge w:val="continue"/>
            <w:tcBorders>
              <w:top w:val="single" w:color="auto" w:sz="10" w:space="0"/>
              <w:left w:val="single" w:color="auto" w:sz="10" w:space="0"/>
              <w:bottom w:val="single" w:color="auto" w:sz="10" w:space="0"/>
              <w:right w:val="single" w:color="auto" w:sz="10" w:space="0"/>
              <w:insideV w:val="single" w:sz="10" w:space="0"/>
            </w:tcBorders>
          </w:tcPr>
          <w:p w14:paraId="5B5A6601">
            <w:pPr>
              <w:snapToGrid w:val="0"/>
            </w:pPr>
          </w:p>
        </w:tc>
        <w:tc>
          <w:tcPr>
            <w:tcW w:w="396" w:type="pct"/>
            <w:tcBorders>
              <w:top w:val="single" w:color="auto" w:sz="10" w:space="0"/>
              <w:left w:val="single" w:color="auto" w:sz="10" w:space="0"/>
              <w:bottom w:val="single" w:color="auto" w:sz="10" w:space="0"/>
              <w:right w:val="single" w:color="auto" w:sz="10" w:space="0"/>
              <w:insideV w:val="single" w:sz="10" w:space="0"/>
            </w:tcBorders>
            <w:vAlign w:val="center"/>
          </w:tcPr>
          <w:p w14:paraId="33723A8A">
            <w:pPr>
              <w:snapToGrid w:val="0"/>
              <w:jc w:val="center"/>
            </w:pPr>
            <w:r>
              <w:rPr>
                <w:rFonts w:ascii="宋体" w:hAnsi="宋体" w:eastAsia="宋体"/>
                <w:sz w:val="16"/>
              </w:rPr>
              <w:t>本级资金：</w:t>
            </w:r>
          </w:p>
        </w:tc>
        <w:tc>
          <w:tcPr>
            <w:tcW w:w="702" w:type="pct"/>
            <w:tcBorders>
              <w:top w:val="single" w:color="auto" w:sz="10" w:space="0"/>
              <w:left w:val="single" w:color="auto" w:sz="10" w:space="0"/>
              <w:bottom w:val="single" w:color="auto" w:sz="10" w:space="0"/>
              <w:right w:val="single" w:color="auto" w:sz="10" w:space="0"/>
              <w:insideV w:val="single" w:sz="10" w:space="0"/>
            </w:tcBorders>
            <w:vAlign w:val="center"/>
          </w:tcPr>
          <w:p w14:paraId="42122FE8">
            <w:pPr>
              <w:snapToGrid w:val="0"/>
              <w:jc w:val="center"/>
            </w:pPr>
            <w:r>
              <w:rPr>
                <w:rFonts w:ascii="宋体" w:hAnsi="宋体" w:eastAsia="宋体"/>
                <w:sz w:val="16"/>
              </w:rPr>
              <w:t>1,940.93</w:t>
            </w:r>
          </w:p>
        </w:tc>
        <w:tc>
          <w:tcPr>
            <w:tcW w:w="561" w:type="pct"/>
            <w:tcBorders>
              <w:top w:val="single" w:color="auto" w:sz="10" w:space="0"/>
              <w:left w:val="single" w:color="auto" w:sz="10" w:space="0"/>
              <w:bottom w:val="single" w:color="auto" w:sz="10" w:space="0"/>
              <w:right w:val="single" w:color="auto" w:sz="10" w:space="0"/>
              <w:insideV w:val="single" w:sz="10" w:space="0"/>
            </w:tcBorders>
            <w:vAlign w:val="center"/>
          </w:tcPr>
          <w:p w14:paraId="5F5FF9AE">
            <w:pPr>
              <w:snapToGrid w:val="0"/>
              <w:jc w:val="center"/>
            </w:pPr>
            <w:r>
              <w:rPr>
                <w:rFonts w:ascii="宋体" w:hAnsi="宋体" w:eastAsia="宋体"/>
                <w:sz w:val="16"/>
              </w:rPr>
              <w:t>2,351.71</w:t>
            </w:r>
          </w:p>
        </w:tc>
        <w:tc>
          <w:tcPr>
            <w:tcW w:w="960" w:type="pct"/>
            <w:tcBorders>
              <w:top w:val="single" w:color="auto" w:sz="10" w:space="0"/>
              <w:left w:val="single" w:color="auto" w:sz="10" w:space="0"/>
              <w:bottom w:val="single" w:color="auto" w:sz="10" w:space="0"/>
              <w:right w:val="single" w:color="auto" w:sz="10" w:space="0"/>
              <w:insideV w:val="single" w:sz="10" w:space="0"/>
            </w:tcBorders>
            <w:vAlign w:val="center"/>
          </w:tcPr>
          <w:p w14:paraId="2249250C">
            <w:pPr>
              <w:snapToGrid w:val="0"/>
              <w:jc w:val="center"/>
            </w:pPr>
            <w:r>
              <w:rPr>
                <w:rFonts w:ascii="宋体" w:hAnsi="宋体" w:eastAsia="宋体"/>
                <w:sz w:val="16"/>
              </w:rPr>
              <w:t>2,351.71</w:t>
            </w:r>
          </w:p>
        </w:tc>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697B4AC1">
            <w:pPr>
              <w:snapToGrid w:val="0"/>
              <w:jc w:val="center"/>
            </w:pPr>
            <w:r>
              <w:rPr>
                <w:rFonts w:ascii="宋体" w:hAnsi="宋体" w:eastAsia="宋体"/>
                <w:sz w:val="16"/>
              </w:rPr>
              <w:t>-</w:t>
            </w:r>
          </w:p>
        </w:tc>
        <w:tc>
          <w:tcPr>
            <w:tcW w:w="1300" w:type="pct"/>
            <w:tcBorders>
              <w:top w:val="single" w:color="auto" w:sz="10" w:space="0"/>
              <w:left w:val="single" w:color="auto" w:sz="10" w:space="0"/>
              <w:bottom w:val="single" w:color="auto" w:sz="10" w:space="0"/>
              <w:right w:val="single" w:color="auto" w:sz="10" w:space="0"/>
              <w:insideV w:val="single" w:sz="10" w:space="0"/>
            </w:tcBorders>
            <w:vAlign w:val="center"/>
          </w:tcPr>
          <w:p w14:paraId="7F4858C8">
            <w:pPr>
              <w:snapToGrid w:val="0"/>
              <w:jc w:val="center"/>
            </w:pPr>
            <w:r>
              <w:rPr>
                <w:rFonts w:ascii="宋体" w:hAnsi="宋体" w:eastAsia="宋体"/>
                <w:sz w:val="16"/>
              </w:rPr>
              <w:t>-</w:t>
            </w:r>
          </w:p>
        </w:tc>
        <w:tc>
          <w:tcPr>
            <w:tcW w:w="503" w:type="pct"/>
            <w:tcBorders>
              <w:top w:val="single" w:color="auto" w:sz="10" w:space="0"/>
              <w:left w:val="single" w:color="auto" w:sz="10" w:space="0"/>
              <w:bottom w:val="single" w:color="auto" w:sz="10" w:space="0"/>
              <w:right w:val="single" w:color="auto" w:sz="10" w:space="0"/>
              <w:insideV w:val="single" w:sz="10" w:space="0"/>
            </w:tcBorders>
            <w:vAlign w:val="center"/>
          </w:tcPr>
          <w:p w14:paraId="45043479">
            <w:pPr>
              <w:snapToGrid w:val="0"/>
              <w:jc w:val="center"/>
            </w:pPr>
            <w:r>
              <w:rPr>
                <w:rFonts w:ascii="宋体" w:hAnsi="宋体" w:eastAsia="宋体"/>
                <w:sz w:val="16"/>
              </w:rPr>
              <w:t>-</w:t>
            </w:r>
          </w:p>
        </w:tc>
      </w:tr>
      <w:tr w14:paraId="528B857F">
        <w:tblPrEx>
          <w:tblCellMar>
            <w:top w:w="40" w:type="dxa"/>
            <w:left w:w="64" w:type="dxa"/>
            <w:bottom w:w="40" w:type="dxa"/>
            <w:right w:w="64" w:type="dxa"/>
          </w:tblCellMar>
        </w:tblPrEx>
        <w:trPr>
          <w:trHeight w:val="0" w:hRule="atLeast"/>
          <w:jc w:val="center"/>
        </w:trPr>
        <w:tc>
          <w:tcPr>
            <w:tcW w:w="288" w:type="pct"/>
            <w:vMerge w:val="continue"/>
            <w:tcBorders>
              <w:top w:val="single" w:color="auto" w:sz="10" w:space="0"/>
              <w:left w:val="single" w:color="auto" w:sz="10" w:space="0"/>
              <w:bottom w:val="single" w:color="auto" w:sz="10" w:space="0"/>
              <w:right w:val="single" w:color="auto" w:sz="10" w:space="0"/>
              <w:insideV w:val="single" w:sz="10" w:space="0"/>
            </w:tcBorders>
          </w:tcPr>
          <w:p w14:paraId="5DC6BFF0">
            <w:pPr>
              <w:snapToGrid w:val="0"/>
            </w:pPr>
          </w:p>
        </w:tc>
        <w:tc>
          <w:tcPr>
            <w:tcW w:w="396" w:type="pct"/>
            <w:tcBorders>
              <w:top w:val="single" w:color="auto" w:sz="10" w:space="0"/>
              <w:left w:val="single" w:color="auto" w:sz="10" w:space="0"/>
              <w:bottom w:val="single" w:color="auto" w:sz="10" w:space="0"/>
              <w:right w:val="single" w:color="auto" w:sz="10" w:space="0"/>
              <w:insideV w:val="single" w:sz="10" w:space="0"/>
            </w:tcBorders>
            <w:vAlign w:val="center"/>
          </w:tcPr>
          <w:p w14:paraId="11CE61D7">
            <w:pPr>
              <w:snapToGrid w:val="0"/>
              <w:jc w:val="center"/>
            </w:pPr>
            <w:r>
              <w:rPr>
                <w:rFonts w:ascii="宋体" w:hAnsi="宋体" w:eastAsia="宋体"/>
                <w:sz w:val="16"/>
              </w:rPr>
              <w:t>其他资金：</w:t>
            </w:r>
          </w:p>
        </w:tc>
        <w:tc>
          <w:tcPr>
            <w:tcW w:w="702" w:type="pct"/>
            <w:tcBorders>
              <w:top w:val="single" w:color="auto" w:sz="10" w:space="0"/>
              <w:left w:val="single" w:color="auto" w:sz="10" w:space="0"/>
              <w:bottom w:val="single" w:color="auto" w:sz="10" w:space="0"/>
              <w:right w:val="single" w:color="auto" w:sz="10" w:space="0"/>
              <w:insideV w:val="single" w:sz="10" w:space="0"/>
            </w:tcBorders>
            <w:vAlign w:val="center"/>
          </w:tcPr>
          <w:p w14:paraId="155AC990">
            <w:pPr>
              <w:snapToGrid w:val="0"/>
              <w:jc w:val="center"/>
            </w:pPr>
            <w:r>
              <w:rPr>
                <w:rFonts w:ascii="宋体" w:hAnsi="宋体" w:eastAsia="宋体"/>
                <w:sz w:val="16"/>
              </w:rPr>
              <w:t>0.00</w:t>
            </w:r>
          </w:p>
        </w:tc>
        <w:tc>
          <w:tcPr>
            <w:tcW w:w="561" w:type="pct"/>
            <w:tcBorders>
              <w:top w:val="single" w:color="auto" w:sz="10" w:space="0"/>
              <w:left w:val="single" w:color="auto" w:sz="10" w:space="0"/>
              <w:bottom w:val="single" w:color="auto" w:sz="10" w:space="0"/>
              <w:right w:val="single" w:color="auto" w:sz="10" w:space="0"/>
              <w:insideV w:val="single" w:sz="10" w:space="0"/>
            </w:tcBorders>
            <w:vAlign w:val="center"/>
          </w:tcPr>
          <w:p w14:paraId="2450E343">
            <w:pPr>
              <w:snapToGrid w:val="0"/>
              <w:jc w:val="center"/>
            </w:pPr>
            <w:r>
              <w:rPr>
                <w:rFonts w:ascii="宋体" w:hAnsi="宋体" w:eastAsia="宋体"/>
                <w:sz w:val="16"/>
              </w:rPr>
              <w:t>0.00</w:t>
            </w:r>
          </w:p>
        </w:tc>
        <w:tc>
          <w:tcPr>
            <w:tcW w:w="960" w:type="pct"/>
            <w:tcBorders>
              <w:top w:val="single" w:color="auto" w:sz="10" w:space="0"/>
              <w:left w:val="single" w:color="auto" w:sz="10" w:space="0"/>
              <w:bottom w:val="single" w:color="auto" w:sz="10" w:space="0"/>
              <w:right w:val="single" w:color="auto" w:sz="10" w:space="0"/>
              <w:insideV w:val="single" w:sz="10" w:space="0"/>
            </w:tcBorders>
            <w:vAlign w:val="center"/>
          </w:tcPr>
          <w:p w14:paraId="6B64D3CD">
            <w:pPr>
              <w:snapToGrid w:val="0"/>
              <w:jc w:val="center"/>
            </w:pPr>
            <w:r>
              <w:rPr>
                <w:rFonts w:ascii="宋体" w:hAnsi="宋体" w:eastAsia="宋体"/>
                <w:sz w:val="16"/>
              </w:rPr>
              <w:t>0.00</w:t>
            </w:r>
          </w:p>
        </w:tc>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267BD64C">
            <w:pPr>
              <w:snapToGrid w:val="0"/>
              <w:jc w:val="center"/>
            </w:pPr>
            <w:r>
              <w:rPr>
                <w:rFonts w:ascii="宋体" w:hAnsi="宋体" w:eastAsia="宋体"/>
                <w:sz w:val="16"/>
              </w:rPr>
              <w:t>-</w:t>
            </w:r>
          </w:p>
        </w:tc>
        <w:tc>
          <w:tcPr>
            <w:tcW w:w="1300" w:type="pct"/>
            <w:tcBorders>
              <w:top w:val="single" w:color="auto" w:sz="10" w:space="0"/>
              <w:left w:val="single" w:color="auto" w:sz="10" w:space="0"/>
              <w:bottom w:val="single" w:color="auto" w:sz="10" w:space="0"/>
              <w:right w:val="single" w:color="auto" w:sz="10" w:space="0"/>
              <w:insideV w:val="single" w:sz="10" w:space="0"/>
            </w:tcBorders>
            <w:vAlign w:val="center"/>
          </w:tcPr>
          <w:p w14:paraId="0D6A81DF">
            <w:pPr>
              <w:snapToGrid w:val="0"/>
              <w:jc w:val="center"/>
            </w:pPr>
            <w:r>
              <w:rPr>
                <w:rFonts w:ascii="宋体" w:hAnsi="宋体" w:eastAsia="宋体"/>
                <w:sz w:val="16"/>
              </w:rPr>
              <w:t>-</w:t>
            </w:r>
          </w:p>
        </w:tc>
        <w:tc>
          <w:tcPr>
            <w:tcW w:w="503" w:type="pct"/>
            <w:tcBorders>
              <w:top w:val="single" w:color="auto" w:sz="10" w:space="0"/>
              <w:left w:val="single" w:color="auto" w:sz="10" w:space="0"/>
              <w:bottom w:val="single" w:color="auto" w:sz="10" w:space="0"/>
              <w:right w:val="single" w:color="auto" w:sz="10" w:space="0"/>
              <w:insideV w:val="single" w:sz="10" w:space="0"/>
            </w:tcBorders>
            <w:vAlign w:val="center"/>
          </w:tcPr>
          <w:p w14:paraId="10DD5E2A">
            <w:pPr>
              <w:snapToGrid w:val="0"/>
              <w:jc w:val="center"/>
            </w:pPr>
            <w:r>
              <w:rPr>
                <w:rFonts w:ascii="宋体" w:hAnsi="宋体" w:eastAsia="宋体"/>
                <w:sz w:val="16"/>
              </w:rPr>
              <w:t>-</w:t>
            </w:r>
          </w:p>
        </w:tc>
      </w:tr>
      <w:tr w14:paraId="05DF2FD6">
        <w:tblPrEx>
          <w:tblCellMar>
            <w:top w:w="40" w:type="dxa"/>
            <w:left w:w="64" w:type="dxa"/>
            <w:bottom w:w="40" w:type="dxa"/>
            <w:right w:w="64" w:type="dxa"/>
          </w:tblCellMar>
        </w:tblPrEx>
        <w:trPr>
          <w:trHeight w:val="0" w:hRule="atLeast"/>
          <w:jc w:val="center"/>
        </w:trPr>
        <w:tc>
          <w:tcPr>
            <w:tcW w:w="288"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3A1886">
            <w:pPr>
              <w:snapToGrid w:val="0"/>
              <w:jc w:val="center"/>
            </w:pPr>
            <w:r>
              <w:rPr>
                <w:rFonts w:ascii="宋体" w:hAnsi="宋体" w:eastAsia="宋体"/>
                <w:sz w:val="16"/>
              </w:rPr>
              <w:t>年度总体目标</w:t>
            </w:r>
          </w:p>
        </w:tc>
        <w:tc>
          <w:tcPr>
            <w:tcW w:w="2907" w:type="pct"/>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9CA762">
            <w:pPr>
              <w:snapToGrid w:val="0"/>
              <w:jc w:val="center"/>
            </w:pPr>
            <w:r>
              <w:rPr>
                <w:rFonts w:ascii="宋体" w:hAnsi="宋体" w:eastAsia="宋体"/>
                <w:sz w:val="16"/>
              </w:rPr>
              <w:t>预期目标</w:t>
            </w:r>
          </w:p>
        </w:tc>
        <w:tc>
          <w:tcPr>
            <w:tcW w:w="1803"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088CB">
            <w:pPr>
              <w:snapToGrid w:val="0"/>
              <w:jc w:val="center"/>
            </w:pPr>
            <w:r>
              <w:rPr>
                <w:rFonts w:ascii="宋体" w:hAnsi="宋体" w:eastAsia="宋体"/>
                <w:sz w:val="16"/>
              </w:rPr>
              <w:t>实际完成情况</w:t>
            </w:r>
          </w:p>
        </w:tc>
      </w:tr>
      <w:tr w14:paraId="457ADF69">
        <w:tblPrEx>
          <w:tblCellMar>
            <w:top w:w="40" w:type="dxa"/>
            <w:left w:w="64" w:type="dxa"/>
            <w:bottom w:w="40" w:type="dxa"/>
            <w:right w:w="64" w:type="dxa"/>
          </w:tblCellMar>
        </w:tblPrEx>
        <w:trPr>
          <w:trHeight w:val="0" w:hRule="atLeast"/>
          <w:jc w:val="center"/>
        </w:trPr>
        <w:tc>
          <w:tcPr>
            <w:tcW w:w="288" w:type="pct"/>
            <w:vMerge w:val="continue"/>
            <w:tcBorders>
              <w:top w:val="single" w:color="auto" w:sz="10" w:space="0"/>
              <w:left w:val="single" w:color="auto" w:sz="10" w:space="0"/>
              <w:bottom w:val="single" w:color="auto" w:sz="10" w:space="0"/>
              <w:right w:val="single" w:color="auto" w:sz="10" w:space="0"/>
              <w:insideV w:val="single" w:sz="10" w:space="0"/>
            </w:tcBorders>
          </w:tcPr>
          <w:p w14:paraId="1701B990">
            <w:pPr>
              <w:snapToGrid w:val="0"/>
            </w:pPr>
          </w:p>
        </w:tc>
        <w:tc>
          <w:tcPr>
            <w:tcW w:w="2907" w:type="pct"/>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B41F66">
            <w:pPr>
              <w:snapToGrid w:val="0"/>
              <w:jc w:val="both"/>
            </w:pPr>
            <w:r>
              <w:rPr>
                <w:rFonts w:ascii="宋体" w:hAnsi="宋体" w:eastAsia="宋体"/>
                <w:sz w:val="16"/>
              </w:rPr>
              <w:t>贯彻落实党中央教育方针，执行上级颁布及学校制定的有关总务工作制度，2024年水定镇中心学校以质量兴教为根本，努力提高教育教学质量，办让家长放心、让人民满意的教育。管好用好国家的教育资金，改善和优化农村的办学条件，力争使社会对水定镇的教育满意度达到较高的水平,高举习近平新时代中国特色社会主义思想，围绕2024年学校工作计划，从抓管理、强素质入手，强化德育为先，教学为中心，教研为先导，质量为本的学校育人策略，全面实施素质教育，完成各项教学任务。建设一支高素质的师资队伍，为学校可持续发展奠定基础，巩固、提升教学成果，普及学前教育、小学教育，保障适龄儿童全部入学就读。通过教师培训，更新教师陈旧知识，把教育与社会实践相结合，造就一批有理想、有道德、有文化、有纪律的青少年人才，从德育、智育、体育、美育等方面全面提升学生素质，</w:t>
            </w:r>
            <w:r>
              <w:rPr>
                <w:rFonts w:hint="eastAsia" w:ascii="宋体" w:hAnsi="宋体"/>
                <w:sz w:val="16"/>
                <w:lang w:eastAsia="zh-CN"/>
              </w:rPr>
              <w:t>办好人民满意的教育</w:t>
            </w:r>
            <w:r>
              <w:rPr>
                <w:rFonts w:ascii="宋体" w:hAnsi="宋体" w:eastAsia="宋体"/>
                <w:sz w:val="16"/>
              </w:rPr>
              <w:t>。我们将有计划、有目标、有步骤地教育学生从小懂得保护环境的重要性，为他们一生的环境意识打下良好的基础。</w:t>
            </w:r>
          </w:p>
        </w:tc>
        <w:tc>
          <w:tcPr>
            <w:tcW w:w="1803"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13E15">
            <w:pPr>
              <w:snapToGrid w:val="0"/>
              <w:jc w:val="both"/>
            </w:pPr>
            <w:r>
              <w:rPr>
                <w:rFonts w:ascii="宋体" w:hAnsi="宋体" w:eastAsia="宋体"/>
                <w:sz w:val="16"/>
              </w:rPr>
              <w:t>2024年学校围绕学前教育毛入园率、义务教育贫困生受助率、控辍保学辍学率、小学学生人数、义务教育巩固率等质量为本的学校育人策略，全面实施素质教育，完成各项教学任务。建设了一支高素质的师资队伍，培养了一批业务精、敢于担当、勇于奉献的青年教师队伍，为学校可持续发展奠定基础，巩固、提高了教学成果。及时准确完成全年人员工资福利以及社保等缴费，合理使用公用经费以及工会费，花好每一分钱，把教育经费用到最关键处，切实提高了教育经费使用效益。</w:t>
            </w:r>
          </w:p>
        </w:tc>
      </w:tr>
      <w:tr w14:paraId="014A745D">
        <w:tblPrEx>
          <w:tblCellMar>
            <w:top w:w="40" w:type="dxa"/>
            <w:left w:w="64" w:type="dxa"/>
            <w:bottom w:w="40" w:type="dxa"/>
            <w:right w:w="64" w:type="dxa"/>
          </w:tblCellMar>
        </w:tblPrEx>
        <w:trPr>
          <w:trHeight w:val="0" w:hRule="atLeast"/>
          <w:jc w:val="center"/>
        </w:trPr>
        <w:tc>
          <w:tcPr>
            <w:tcW w:w="288" w:type="pct"/>
            <w:tcBorders>
              <w:top w:val="single" w:color="auto" w:sz="10" w:space="0"/>
              <w:left w:val="single" w:color="auto" w:sz="10" w:space="0"/>
              <w:bottom w:val="single" w:color="auto" w:sz="10" w:space="0"/>
              <w:right w:val="single" w:color="auto" w:sz="10" w:space="0"/>
              <w:insideV w:val="single" w:sz="10" w:space="0"/>
            </w:tcBorders>
            <w:vAlign w:val="center"/>
          </w:tcPr>
          <w:p w14:paraId="32E2C021">
            <w:pPr>
              <w:snapToGrid w:val="0"/>
              <w:jc w:val="center"/>
            </w:pPr>
            <w:r>
              <w:rPr>
                <w:rFonts w:ascii="宋体" w:hAnsi="宋体" w:eastAsia="宋体"/>
                <w:sz w:val="16"/>
              </w:rPr>
              <w:t>一级指标</w:t>
            </w:r>
          </w:p>
        </w:tc>
        <w:tc>
          <w:tcPr>
            <w:tcW w:w="396" w:type="pct"/>
            <w:tcBorders>
              <w:top w:val="single" w:color="auto" w:sz="10" w:space="0"/>
              <w:left w:val="single" w:color="auto" w:sz="10" w:space="0"/>
              <w:bottom w:val="single" w:color="auto" w:sz="10" w:space="0"/>
              <w:right w:val="single" w:color="auto" w:sz="10" w:space="0"/>
              <w:insideV w:val="single" w:sz="10" w:space="0"/>
            </w:tcBorders>
            <w:vAlign w:val="center"/>
          </w:tcPr>
          <w:p w14:paraId="278EB5B9">
            <w:pPr>
              <w:snapToGrid w:val="0"/>
              <w:jc w:val="center"/>
            </w:pPr>
            <w:r>
              <w:rPr>
                <w:rFonts w:ascii="宋体" w:hAnsi="宋体" w:eastAsia="宋体"/>
                <w:sz w:val="16"/>
              </w:rPr>
              <w:t>二级指标</w:t>
            </w:r>
          </w:p>
        </w:tc>
        <w:tc>
          <w:tcPr>
            <w:tcW w:w="702" w:type="pct"/>
            <w:tcBorders>
              <w:top w:val="single" w:color="auto" w:sz="10" w:space="0"/>
              <w:left w:val="single" w:color="auto" w:sz="10" w:space="0"/>
              <w:bottom w:val="single" w:color="auto" w:sz="10" w:space="0"/>
              <w:right w:val="single" w:color="auto" w:sz="10" w:space="0"/>
              <w:insideV w:val="single" w:sz="10" w:space="0"/>
            </w:tcBorders>
            <w:vAlign w:val="center"/>
          </w:tcPr>
          <w:p w14:paraId="2FC073C7">
            <w:pPr>
              <w:snapToGrid w:val="0"/>
              <w:jc w:val="center"/>
            </w:pPr>
            <w:r>
              <w:rPr>
                <w:rFonts w:ascii="宋体" w:hAnsi="宋体" w:eastAsia="宋体"/>
                <w:sz w:val="16"/>
              </w:rPr>
              <w:t>三级指标</w:t>
            </w:r>
          </w:p>
        </w:tc>
        <w:tc>
          <w:tcPr>
            <w:tcW w:w="561" w:type="pct"/>
            <w:tcBorders>
              <w:top w:val="single" w:color="auto" w:sz="10" w:space="0"/>
              <w:left w:val="single" w:color="auto" w:sz="10" w:space="0"/>
              <w:bottom w:val="single" w:color="auto" w:sz="10" w:space="0"/>
              <w:right w:val="single" w:color="auto" w:sz="10" w:space="0"/>
              <w:insideV w:val="single" w:sz="10" w:space="0"/>
            </w:tcBorders>
            <w:vAlign w:val="center"/>
          </w:tcPr>
          <w:p w14:paraId="4F1C6ADB">
            <w:pPr>
              <w:snapToGrid w:val="0"/>
              <w:jc w:val="center"/>
            </w:pPr>
            <w:r>
              <w:rPr>
                <w:rFonts w:ascii="宋体" w:hAnsi="宋体" w:eastAsia="宋体"/>
                <w:sz w:val="16"/>
              </w:rPr>
              <w:t>预期指标值</w:t>
            </w:r>
          </w:p>
        </w:tc>
        <w:tc>
          <w:tcPr>
            <w:tcW w:w="960" w:type="pct"/>
            <w:tcBorders>
              <w:top w:val="single" w:color="auto" w:sz="10" w:space="0"/>
              <w:left w:val="single" w:color="auto" w:sz="10" w:space="0"/>
              <w:bottom w:val="single" w:color="auto" w:sz="10" w:space="0"/>
              <w:right w:val="single" w:color="auto" w:sz="10" w:space="0"/>
              <w:insideV w:val="single" w:sz="10" w:space="0"/>
            </w:tcBorders>
            <w:vAlign w:val="center"/>
          </w:tcPr>
          <w:p w14:paraId="6ACFFBF0">
            <w:pPr>
              <w:snapToGrid w:val="0"/>
              <w:jc w:val="center"/>
            </w:pPr>
            <w:r>
              <w:rPr>
                <w:rFonts w:ascii="宋体" w:hAnsi="宋体" w:eastAsia="宋体"/>
                <w:sz w:val="16"/>
              </w:rPr>
              <w:t>指标值设定依据</w:t>
            </w:r>
          </w:p>
        </w:tc>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365C7D19">
            <w:pPr>
              <w:snapToGrid w:val="0"/>
              <w:jc w:val="center"/>
            </w:pPr>
            <w:r>
              <w:rPr>
                <w:rFonts w:ascii="宋体" w:hAnsi="宋体" w:eastAsia="宋体"/>
                <w:sz w:val="16"/>
              </w:rPr>
              <w:t>分值权重</w:t>
            </w:r>
          </w:p>
        </w:tc>
        <w:tc>
          <w:tcPr>
            <w:tcW w:w="1300" w:type="pct"/>
            <w:tcBorders>
              <w:top w:val="single" w:color="auto" w:sz="10" w:space="0"/>
              <w:left w:val="single" w:color="auto" w:sz="10" w:space="0"/>
              <w:bottom w:val="single" w:color="auto" w:sz="10" w:space="0"/>
              <w:right w:val="single" w:color="auto" w:sz="10" w:space="0"/>
              <w:insideV w:val="single" w:sz="10" w:space="0"/>
            </w:tcBorders>
            <w:vAlign w:val="center"/>
          </w:tcPr>
          <w:p w14:paraId="69AE0B74">
            <w:pPr>
              <w:snapToGrid w:val="0"/>
              <w:jc w:val="center"/>
            </w:pPr>
            <w:r>
              <w:rPr>
                <w:rFonts w:ascii="宋体" w:hAnsi="宋体" w:eastAsia="宋体"/>
                <w:sz w:val="16"/>
              </w:rPr>
              <w:t>实际完成指标值</w:t>
            </w:r>
          </w:p>
        </w:tc>
        <w:tc>
          <w:tcPr>
            <w:tcW w:w="503" w:type="pct"/>
            <w:tcBorders>
              <w:top w:val="single" w:color="auto" w:sz="10" w:space="0"/>
              <w:left w:val="single" w:color="auto" w:sz="10" w:space="0"/>
              <w:bottom w:val="single" w:color="auto" w:sz="10" w:space="0"/>
              <w:right w:val="single" w:color="auto" w:sz="10" w:space="0"/>
              <w:insideV w:val="single" w:sz="10" w:space="0"/>
            </w:tcBorders>
            <w:vAlign w:val="center"/>
          </w:tcPr>
          <w:p w14:paraId="6744D3E3">
            <w:pPr>
              <w:snapToGrid w:val="0"/>
              <w:jc w:val="center"/>
            </w:pPr>
            <w:r>
              <w:rPr>
                <w:rFonts w:ascii="宋体" w:hAnsi="宋体" w:eastAsia="宋体"/>
                <w:sz w:val="16"/>
              </w:rPr>
              <w:t>得分</w:t>
            </w:r>
          </w:p>
        </w:tc>
      </w:tr>
      <w:tr w14:paraId="71F64641">
        <w:tblPrEx>
          <w:tblCellMar>
            <w:top w:w="40" w:type="dxa"/>
            <w:left w:w="64" w:type="dxa"/>
            <w:bottom w:w="40" w:type="dxa"/>
            <w:right w:w="64" w:type="dxa"/>
          </w:tblCellMar>
        </w:tblPrEx>
        <w:trPr>
          <w:trHeight w:val="0" w:hRule="atLeast"/>
          <w:jc w:val="center"/>
        </w:trPr>
        <w:tc>
          <w:tcPr>
            <w:tcW w:w="288"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DBD631">
            <w:pPr>
              <w:snapToGrid w:val="0"/>
              <w:jc w:val="center"/>
            </w:pPr>
            <w:r>
              <w:rPr>
                <w:rFonts w:ascii="宋体" w:hAnsi="宋体" w:eastAsia="宋体"/>
                <w:sz w:val="16"/>
              </w:rPr>
              <w:t>履职效能</w:t>
            </w:r>
          </w:p>
        </w:tc>
        <w:tc>
          <w:tcPr>
            <w:tcW w:w="396"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D96211">
            <w:pPr>
              <w:snapToGrid w:val="0"/>
              <w:jc w:val="center"/>
            </w:pPr>
            <w:r>
              <w:rPr>
                <w:rFonts w:ascii="宋体" w:hAnsi="宋体" w:eastAsia="宋体"/>
                <w:sz w:val="16"/>
              </w:rPr>
              <w:t>数量指标</w:t>
            </w:r>
          </w:p>
        </w:tc>
        <w:tc>
          <w:tcPr>
            <w:tcW w:w="702" w:type="pct"/>
            <w:tcBorders>
              <w:top w:val="single" w:color="auto" w:sz="10" w:space="0"/>
              <w:left w:val="single" w:color="auto" w:sz="10" w:space="0"/>
              <w:bottom w:val="single" w:color="auto" w:sz="10" w:space="0"/>
              <w:right w:val="single" w:color="auto" w:sz="10" w:space="0"/>
              <w:insideV w:val="single" w:sz="10" w:space="0"/>
            </w:tcBorders>
            <w:vAlign w:val="center"/>
          </w:tcPr>
          <w:p w14:paraId="2506C7B6">
            <w:pPr>
              <w:snapToGrid w:val="0"/>
              <w:jc w:val="center"/>
            </w:pPr>
            <w:r>
              <w:rPr>
                <w:rFonts w:ascii="宋体" w:hAnsi="宋体" w:eastAsia="宋体"/>
                <w:sz w:val="16"/>
              </w:rPr>
              <w:t>学前教育毛入园率</w:t>
            </w:r>
          </w:p>
        </w:tc>
        <w:tc>
          <w:tcPr>
            <w:tcW w:w="561" w:type="pct"/>
            <w:tcBorders>
              <w:top w:val="single" w:color="auto" w:sz="10" w:space="0"/>
              <w:left w:val="single" w:color="auto" w:sz="10" w:space="0"/>
              <w:bottom w:val="single" w:color="auto" w:sz="10" w:space="0"/>
              <w:right w:val="single" w:color="auto" w:sz="10" w:space="0"/>
              <w:insideV w:val="single" w:sz="10" w:space="0"/>
            </w:tcBorders>
            <w:vAlign w:val="center"/>
          </w:tcPr>
          <w:p w14:paraId="03C51A05">
            <w:pPr>
              <w:snapToGrid w:val="0"/>
              <w:jc w:val="center"/>
            </w:pPr>
            <w:r>
              <w:rPr>
                <w:rFonts w:ascii="宋体" w:hAnsi="宋体" w:eastAsia="宋体"/>
                <w:sz w:val="16"/>
              </w:rPr>
              <w:t>&gt;=99%</w:t>
            </w:r>
          </w:p>
        </w:tc>
        <w:tc>
          <w:tcPr>
            <w:tcW w:w="960" w:type="pct"/>
            <w:tcBorders>
              <w:top w:val="single" w:color="auto" w:sz="10" w:space="0"/>
              <w:left w:val="single" w:color="auto" w:sz="10" w:space="0"/>
              <w:bottom w:val="single" w:color="auto" w:sz="10" w:space="0"/>
              <w:right w:val="single" w:color="auto" w:sz="10" w:space="0"/>
              <w:insideV w:val="single" w:sz="10" w:space="0"/>
            </w:tcBorders>
            <w:vAlign w:val="center"/>
          </w:tcPr>
          <w:p w14:paraId="121FDA17">
            <w:pPr>
              <w:snapToGrid w:val="0"/>
              <w:jc w:val="center"/>
            </w:pPr>
            <w:r>
              <w:rPr>
                <w:rFonts w:hint="eastAsia" w:ascii="宋体" w:hAnsi="宋体"/>
                <w:sz w:val="16"/>
                <w:lang w:eastAsia="zh-CN"/>
              </w:rPr>
              <w:t>“十四五”规划</w:t>
            </w:r>
          </w:p>
        </w:tc>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0C77647A">
            <w:pPr>
              <w:snapToGrid w:val="0"/>
              <w:jc w:val="center"/>
            </w:pPr>
            <w:r>
              <w:rPr>
                <w:rFonts w:ascii="宋体" w:hAnsi="宋体" w:eastAsia="宋体"/>
                <w:sz w:val="16"/>
              </w:rPr>
              <w:t>20</w:t>
            </w:r>
          </w:p>
        </w:tc>
        <w:tc>
          <w:tcPr>
            <w:tcW w:w="1300" w:type="pct"/>
            <w:tcBorders>
              <w:top w:val="single" w:color="auto" w:sz="10" w:space="0"/>
              <w:left w:val="single" w:color="auto" w:sz="10" w:space="0"/>
              <w:bottom w:val="single" w:color="auto" w:sz="10" w:space="0"/>
              <w:right w:val="single" w:color="auto" w:sz="10" w:space="0"/>
              <w:insideV w:val="single" w:sz="10" w:space="0"/>
            </w:tcBorders>
            <w:vAlign w:val="center"/>
          </w:tcPr>
          <w:p w14:paraId="48B6EC09">
            <w:pPr>
              <w:snapToGrid w:val="0"/>
              <w:jc w:val="center"/>
            </w:pPr>
            <w:r>
              <w:rPr>
                <w:rFonts w:ascii="宋体" w:hAnsi="宋体" w:eastAsia="宋体"/>
                <w:sz w:val="16"/>
              </w:rPr>
              <w:t>100%</w:t>
            </w:r>
          </w:p>
        </w:tc>
        <w:tc>
          <w:tcPr>
            <w:tcW w:w="503" w:type="pct"/>
            <w:tcBorders>
              <w:top w:val="single" w:color="auto" w:sz="10" w:space="0"/>
              <w:left w:val="single" w:color="auto" w:sz="10" w:space="0"/>
              <w:bottom w:val="single" w:color="auto" w:sz="10" w:space="0"/>
              <w:right w:val="single" w:color="auto" w:sz="10" w:space="0"/>
              <w:insideV w:val="single" w:sz="10" w:space="0"/>
            </w:tcBorders>
            <w:vAlign w:val="center"/>
          </w:tcPr>
          <w:p w14:paraId="771617CD">
            <w:pPr>
              <w:snapToGrid w:val="0"/>
              <w:jc w:val="center"/>
            </w:pPr>
            <w:r>
              <w:rPr>
                <w:rFonts w:ascii="宋体" w:hAnsi="宋体" w:eastAsia="宋体"/>
                <w:sz w:val="16"/>
              </w:rPr>
              <w:t>20</w:t>
            </w:r>
          </w:p>
        </w:tc>
      </w:tr>
      <w:tr w14:paraId="1F6C1A8C">
        <w:tblPrEx>
          <w:tblCellMar>
            <w:top w:w="40" w:type="dxa"/>
            <w:left w:w="64" w:type="dxa"/>
            <w:bottom w:w="40" w:type="dxa"/>
            <w:right w:w="64" w:type="dxa"/>
          </w:tblCellMar>
        </w:tblPrEx>
        <w:trPr>
          <w:trHeight w:val="0" w:hRule="atLeast"/>
          <w:jc w:val="center"/>
        </w:trPr>
        <w:tc>
          <w:tcPr>
            <w:tcW w:w="288" w:type="pct"/>
            <w:vMerge w:val="continue"/>
            <w:tcBorders>
              <w:top w:val="single" w:color="auto" w:sz="10" w:space="0"/>
              <w:left w:val="single" w:color="auto" w:sz="10" w:space="0"/>
              <w:bottom w:val="single" w:color="auto" w:sz="10" w:space="0"/>
              <w:right w:val="single" w:color="auto" w:sz="10" w:space="0"/>
              <w:insideV w:val="single" w:sz="10" w:space="0"/>
            </w:tcBorders>
          </w:tcPr>
          <w:p w14:paraId="7E60C03C">
            <w:pPr>
              <w:snapToGrid w:val="0"/>
            </w:pPr>
          </w:p>
        </w:tc>
        <w:tc>
          <w:tcPr>
            <w:tcW w:w="396" w:type="pct"/>
            <w:vMerge w:val="continue"/>
            <w:tcBorders>
              <w:top w:val="single" w:color="auto" w:sz="10" w:space="0"/>
              <w:left w:val="single" w:color="auto" w:sz="10" w:space="0"/>
              <w:bottom w:val="single" w:color="auto" w:sz="10" w:space="0"/>
              <w:right w:val="single" w:color="auto" w:sz="10" w:space="0"/>
              <w:insideV w:val="single" w:sz="10" w:space="0"/>
            </w:tcBorders>
          </w:tcPr>
          <w:p w14:paraId="5B3FF047">
            <w:pPr>
              <w:snapToGrid w:val="0"/>
            </w:pPr>
          </w:p>
        </w:tc>
        <w:tc>
          <w:tcPr>
            <w:tcW w:w="702" w:type="pct"/>
            <w:tcBorders>
              <w:top w:val="single" w:color="auto" w:sz="10" w:space="0"/>
              <w:left w:val="single" w:color="auto" w:sz="10" w:space="0"/>
              <w:bottom w:val="single" w:color="auto" w:sz="10" w:space="0"/>
              <w:right w:val="single" w:color="auto" w:sz="10" w:space="0"/>
              <w:insideV w:val="single" w:sz="10" w:space="0"/>
            </w:tcBorders>
            <w:vAlign w:val="center"/>
          </w:tcPr>
          <w:p w14:paraId="2677E335">
            <w:pPr>
              <w:snapToGrid w:val="0"/>
              <w:jc w:val="center"/>
            </w:pPr>
            <w:r>
              <w:rPr>
                <w:rFonts w:ascii="宋体" w:hAnsi="宋体" w:eastAsia="宋体"/>
                <w:sz w:val="16"/>
              </w:rPr>
              <w:t>义务教育贫困生受助率</w:t>
            </w:r>
          </w:p>
        </w:tc>
        <w:tc>
          <w:tcPr>
            <w:tcW w:w="561" w:type="pct"/>
            <w:tcBorders>
              <w:top w:val="single" w:color="auto" w:sz="10" w:space="0"/>
              <w:left w:val="single" w:color="auto" w:sz="10" w:space="0"/>
              <w:bottom w:val="single" w:color="auto" w:sz="10" w:space="0"/>
              <w:right w:val="single" w:color="auto" w:sz="10" w:space="0"/>
              <w:insideV w:val="single" w:sz="10" w:space="0"/>
            </w:tcBorders>
            <w:vAlign w:val="center"/>
          </w:tcPr>
          <w:p w14:paraId="0F664F41">
            <w:pPr>
              <w:snapToGrid w:val="0"/>
              <w:jc w:val="center"/>
            </w:pPr>
            <w:r>
              <w:rPr>
                <w:rFonts w:ascii="宋体" w:hAnsi="宋体" w:eastAsia="宋体"/>
                <w:sz w:val="16"/>
              </w:rPr>
              <w:t>&gt;=30%</w:t>
            </w:r>
          </w:p>
        </w:tc>
        <w:tc>
          <w:tcPr>
            <w:tcW w:w="960" w:type="pct"/>
            <w:tcBorders>
              <w:top w:val="single" w:color="auto" w:sz="10" w:space="0"/>
              <w:left w:val="single" w:color="auto" w:sz="10" w:space="0"/>
              <w:bottom w:val="single" w:color="auto" w:sz="10" w:space="0"/>
              <w:right w:val="single" w:color="auto" w:sz="10" w:space="0"/>
              <w:insideV w:val="single" w:sz="10" w:space="0"/>
            </w:tcBorders>
            <w:vAlign w:val="center"/>
          </w:tcPr>
          <w:p w14:paraId="1930901B">
            <w:pPr>
              <w:snapToGrid w:val="0"/>
              <w:jc w:val="center"/>
            </w:pPr>
            <w:r>
              <w:rPr>
                <w:rFonts w:ascii="宋体" w:hAnsi="宋体" w:eastAsia="宋体"/>
                <w:sz w:val="16"/>
              </w:rPr>
              <w:t>教育系统学生资助及惠民政策（资助中心）</w:t>
            </w:r>
          </w:p>
        </w:tc>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5FCD56D9">
            <w:pPr>
              <w:snapToGrid w:val="0"/>
              <w:jc w:val="center"/>
            </w:pPr>
            <w:r>
              <w:rPr>
                <w:rFonts w:ascii="宋体" w:hAnsi="宋体" w:eastAsia="宋体"/>
                <w:sz w:val="16"/>
              </w:rPr>
              <w:t>15</w:t>
            </w:r>
          </w:p>
        </w:tc>
        <w:tc>
          <w:tcPr>
            <w:tcW w:w="1300" w:type="pct"/>
            <w:tcBorders>
              <w:top w:val="single" w:color="auto" w:sz="10" w:space="0"/>
              <w:left w:val="single" w:color="auto" w:sz="10" w:space="0"/>
              <w:bottom w:val="single" w:color="auto" w:sz="10" w:space="0"/>
              <w:right w:val="single" w:color="auto" w:sz="10" w:space="0"/>
              <w:insideV w:val="single" w:sz="10" w:space="0"/>
            </w:tcBorders>
            <w:vAlign w:val="center"/>
          </w:tcPr>
          <w:p w14:paraId="1938F9E4">
            <w:pPr>
              <w:snapToGrid w:val="0"/>
              <w:jc w:val="center"/>
            </w:pPr>
            <w:r>
              <w:rPr>
                <w:rFonts w:ascii="宋体" w:hAnsi="宋体" w:eastAsia="宋体"/>
                <w:sz w:val="16"/>
              </w:rPr>
              <w:t>26.65%</w:t>
            </w:r>
          </w:p>
        </w:tc>
        <w:tc>
          <w:tcPr>
            <w:tcW w:w="503" w:type="pct"/>
            <w:tcBorders>
              <w:top w:val="single" w:color="auto" w:sz="10" w:space="0"/>
              <w:left w:val="single" w:color="auto" w:sz="10" w:space="0"/>
              <w:bottom w:val="single" w:color="auto" w:sz="10" w:space="0"/>
              <w:right w:val="single" w:color="auto" w:sz="10" w:space="0"/>
              <w:insideV w:val="single" w:sz="10" w:space="0"/>
            </w:tcBorders>
            <w:vAlign w:val="center"/>
          </w:tcPr>
          <w:p w14:paraId="2BAFA417">
            <w:pPr>
              <w:snapToGrid w:val="0"/>
              <w:jc w:val="center"/>
            </w:pPr>
            <w:r>
              <w:rPr>
                <w:rFonts w:ascii="宋体" w:hAnsi="宋体" w:eastAsia="宋体"/>
                <w:sz w:val="16"/>
              </w:rPr>
              <w:t>15</w:t>
            </w:r>
          </w:p>
        </w:tc>
      </w:tr>
      <w:tr w14:paraId="32BB7DAC">
        <w:tblPrEx>
          <w:tblCellMar>
            <w:top w:w="40" w:type="dxa"/>
            <w:left w:w="64" w:type="dxa"/>
            <w:bottom w:w="40" w:type="dxa"/>
            <w:right w:w="64" w:type="dxa"/>
          </w:tblCellMar>
        </w:tblPrEx>
        <w:trPr>
          <w:trHeight w:val="0" w:hRule="atLeast"/>
          <w:jc w:val="center"/>
        </w:trPr>
        <w:tc>
          <w:tcPr>
            <w:tcW w:w="288" w:type="pct"/>
            <w:vMerge w:val="continue"/>
            <w:tcBorders>
              <w:top w:val="single" w:color="auto" w:sz="10" w:space="0"/>
              <w:left w:val="single" w:color="auto" w:sz="10" w:space="0"/>
              <w:bottom w:val="single" w:color="auto" w:sz="10" w:space="0"/>
              <w:right w:val="single" w:color="auto" w:sz="10" w:space="0"/>
              <w:insideV w:val="single" w:sz="10" w:space="0"/>
            </w:tcBorders>
          </w:tcPr>
          <w:p w14:paraId="531C1204">
            <w:pPr>
              <w:snapToGrid w:val="0"/>
            </w:pPr>
          </w:p>
        </w:tc>
        <w:tc>
          <w:tcPr>
            <w:tcW w:w="396" w:type="pct"/>
            <w:vMerge w:val="continue"/>
            <w:tcBorders>
              <w:top w:val="single" w:color="auto" w:sz="10" w:space="0"/>
              <w:left w:val="single" w:color="auto" w:sz="10" w:space="0"/>
              <w:bottom w:val="single" w:color="auto" w:sz="10" w:space="0"/>
              <w:right w:val="single" w:color="auto" w:sz="10" w:space="0"/>
              <w:insideV w:val="single" w:sz="10" w:space="0"/>
            </w:tcBorders>
          </w:tcPr>
          <w:p w14:paraId="6B43E8B0">
            <w:pPr>
              <w:snapToGrid w:val="0"/>
            </w:pPr>
          </w:p>
        </w:tc>
        <w:tc>
          <w:tcPr>
            <w:tcW w:w="702" w:type="pct"/>
            <w:tcBorders>
              <w:top w:val="single" w:color="auto" w:sz="10" w:space="0"/>
              <w:left w:val="single" w:color="auto" w:sz="10" w:space="0"/>
              <w:bottom w:val="single" w:color="auto" w:sz="10" w:space="0"/>
              <w:right w:val="single" w:color="auto" w:sz="10" w:space="0"/>
              <w:insideV w:val="single" w:sz="10" w:space="0"/>
            </w:tcBorders>
            <w:vAlign w:val="center"/>
          </w:tcPr>
          <w:p w14:paraId="3CC998A7">
            <w:pPr>
              <w:snapToGrid w:val="0"/>
              <w:jc w:val="center"/>
            </w:pPr>
            <w:r>
              <w:rPr>
                <w:rFonts w:ascii="宋体" w:hAnsi="宋体" w:eastAsia="宋体"/>
                <w:sz w:val="16"/>
              </w:rPr>
              <w:t>控辍保学辍学率</w:t>
            </w:r>
          </w:p>
        </w:tc>
        <w:tc>
          <w:tcPr>
            <w:tcW w:w="561" w:type="pct"/>
            <w:tcBorders>
              <w:top w:val="single" w:color="auto" w:sz="10" w:space="0"/>
              <w:left w:val="single" w:color="auto" w:sz="10" w:space="0"/>
              <w:bottom w:val="single" w:color="auto" w:sz="10" w:space="0"/>
              <w:right w:val="single" w:color="auto" w:sz="10" w:space="0"/>
              <w:insideV w:val="single" w:sz="10" w:space="0"/>
            </w:tcBorders>
            <w:vAlign w:val="center"/>
          </w:tcPr>
          <w:p w14:paraId="0AE46CCC">
            <w:pPr>
              <w:snapToGrid w:val="0"/>
              <w:jc w:val="center"/>
            </w:pPr>
            <w:r>
              <w:rPr>
                <w:rFonts w:ascii="宋体" w:hAnsi="宋体" w:eastAsia="宋体"/>
                <w:sz w:val="16"/>
              </w:rPr>
              <w:t>=0%</w:t>
            </w:r>
          </w:p>
        </w:tc>
        <w:tc>
          <w:tcPr>
            <w:tcW w:w="960" w:type="pct"/>
            <w:tcBorders>
              <w:top w:val="single" w:color="auto" w:sz="10" w:space="0"/>
              <w:left w:val="single" w:color="auto" w:sz="10" w:space="0"/>
              <w:bottom w:val="single" w:color="auto" w:sz="10" w:space="0"/>
              <w:right w:val="single" w:color="auto" w:sz="10" w:space="0"/>
              <w:insideV w:val="single" w:sz="10" w:space="0"/>
            </w:tcBorders>
            <w:vAlign w:val="center"/>
          </w:tcPr>
          <w:p w14:paraId="6D669D3D">
            <w:pPr>
              <w:snapToGrid w:val="0"/>
              <w:jc w:val="center"/>
            </w:pPr>
            <w:r>
              <w:rPr>
                <w:rFonts w:ascii="宋体" w:hAnsi="宋体" w:eastAsia="宋体"/>
                <w:sz w:val="16"/>
              </w:rPr>
              <w:t>2024年学校教育教学工作计划</w:t>
            </w:r>
          </w:p>
        </w:tc>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79D96FD3">
            <w:pPr>
              <w:snapToGrid w:val="0"/>
              <w:jc w:val="center"/>
            </w:pPr>
            <w:r>
              <w:rPr>
                <w:rFonts w:ascii="宋体" w:hAnsi="宋体" w:eastAsia="宋体"/>
                <w:sz w:val="16"/>
              </w:rPr>
              <w:t>20</w:t>
            </w:r>
          </w:p>
        </w:tc>
        <w:tc>
          <w:tcPr>
            <w:tcW w:w="1300" w:type="pct"/>
            <w:tcBorders>
              <w:top w:val="single" w:color="auto" w:sz="10" w:space="0"/>
              <w:left w:val="single" w:color="auto" w:sz="10" w:space="0"/>
              <w:bottom w:val="single" w:color="auto" w:sz="10" w:space="0"/>
              <w:right w:val="single" w:color="auto" w:sz="10" w:space="0"/>
              <w:insideV w:val="single" w:sz="10" w:space="0"/>
            </w:tcBorders>
            <w:vAlign w:val="center"/>
          </w:tcPr>
          <w:p w14:paraId="6C868FB7">
            <w:pPr>
              <w:snapToGrid w:val="0"/>
              <w:jc w:val="center"/>
            </w:pPr>
            <w:r>
              <w:rPr>
                <w:rFonts w:ascii="宋体" w:hAnsi="宋体" w:eastAsia="宋体"/>
                <w:sz w:val="16"/>
              </w:rPr>
              <w:t>0%</w:t>
            </w:r>
          </w:p>
        </w:tc>
        <w:tc>
          <w:tcPr>
            <w:tcW w:w="503" w:type="pct"/>
            <w:tcBorders>
              <w:top w:val="single" w:color="auto" w:sz="10" w:space="0"/>
              <w:left w:val="single" w:color="auto" w:sz="10" w:space="0"/>
              <w:bottom w:val="single" w:color="auto" w:sz="10" w:space="0"/>
              <w:right w:val="single" w:color="auto" w:sz="10" w:space="0"/>
              <w:insideV w:val="single" w:sz="10" w:space="0"/>
            </w:tcBorders>
            <w:vAlign w:val="center"/>
          </w:tcPr>
          <w:p w14:paraId="09914F60">
            <w:pPr>
              <w:snapToGrid w:val="0"/>
              <w:jc w:val="center"/>
            </w:pPr>
            <w:r>
              <w:rPr>
                <w:rFonts w:ascii="宋体" w:hAnsi="宋体" w:eastAsia="宋体"/>
                <w:sz w:val="16"/>
              </w:rPr>
              <w:t>20</w:t>
            </w:r>
          </w:p>
        </w:tc>
      </w:tr>
      <w:tr w14:paraId="32BE57BA">
        <w:tblPrEx>
          <w:tblCellMar>
            <w:top w:w="40" w:type="dxa"/>
            <w:left w:w="64" w:type="dxa"/>
            <w:bottom w:w="40" w:type="dxa"/>
            <w:right w:w="64" w:type="dxa"/>
          </w:tblCellMar>
        </w:tblPrEx>
        <w:trPr>
          <w:trHeight w:val="0" w:hRule="atLeast"/>
          <w:jc w:val="center"/>
        </w:trPr>
        <w:tc>
          <w:tcPr>
            <w:tcW w:w="288" w:type="pct"/>
            <w:vMerge w:val="continue"/>
            <w:tcBorders>
              <w:top w:val="single" w:color="auto" w:sz="10" w:space="0"/>
              <w:left w:val="single" w:color="auto" w:sz="10" w:space="0"/>
              <w:bottom w:val="single" w:color="auto" w:sz="10" w:space="0"/>
              <w:right w:val="single" w:color="auto" w:sz="10" w:space="0"/>
              <w:insideV w:val="single" w:sz="10" w:space="0"/>
            </w:tcBorders>
          </w:tcPr>
          <w:p w14:paraId="24373FC9">
            <w:pPr>
              <w:snapToGrid w:val="0"/>
            </w:pPr>
          </w:p>
        </w:tc>
        <w:tc>
          <w:tcPr>
            <w:tcW w:w="396" w:type="pct"/>
            <w:vMerge w:val="continue"/>
            <w:tcBorders>
              <w:top w:val="single" w:color="auto" w:sz="10" w:space="0"/>
              <w:left w:val="single" w:color="auto" w:sz="10" w:space="0"/>
              <w:bottom w:val="single" w:color="auto" w:sz="10" w:space="0"/>
              <w:right w:val="single" w:color="auto" w:sz="10" w:space="0"/>
              <w:insideV w:val="single" w:sz="10" w:space="0"/>
            </w:tcBorders>
          </w:tcPr>
          <w:p w14:paraId="5EA165B8">
            <w:pPr>
              <w:snapToGrid w:val="0"/>
            </w:pPr>
          </w:p>
        </w:tc>
        <w:tc>
          <w:tcPr>
            <w:tcW w:w="702" w:type="pct"/>
            <w:tcBorders>
              <w:top w:val="single" w:color="auto" w:sz="10" w:space="0"/>
              <w:left w:val="single" w:color="auto" w:sz="10" w:space="0"/>
              <w:bottom w:val="single" w:color="auto" w:sz="10" w:space="0"/>
              <w:right w:val="single" w:color="auto" w:sz="10" w:space="0"/>
              <w:insideV w:val="single" w:sz="10" w:space="0"/>
            </w:tcBorders>
            <w:vAlign w:val="center"/>
          </w:tcPr>
          <w:p w14:paraId="36EF0083">
            <w:pPr>
              <w:snapToGrid w:val="0"/>
              <w:jc w:val="center"/>
            </w:pPr>
            <w:r>
              <w:rPr>
                <w:rFonts w:ascii="宋体" w:hAnsi="宋体" w:eastAsia="宋体"/>
                <w:sz w:val="16"/>
              </w:rPr>
              <w:t>小学学生人数</w:t>
            </w:r>
          </w:p>
        </w:tc>
        <w:tc>
          <w:tcPr>
            <w:tcW w:w="561" w:type="pct"/>
            <w:tcBorders>
              <w:top w:val="single" w:color="auto" w:sz="10" w:space="0"/>
              <w:left w:val="single" w:color="auto" w:sz="10" w:space="0"/>
              <w:bottom w:val="single" w:color="auto" w:sz="10" w:space="0"/>
              <w:right w:val="single" w:color="auto" w:sz="10" w:space="0"/>
              <w:insideV w:val="single" w:sz="10" w:space="0"/>
            </w:tcBorders>
            <w:vAlign w:val="center"/>
          </w:tcPr>
          <w:p w14:paraId="36E75BC5">
            <w:pPr>
              <w:snapToGrid w:val="0"/>
              <w:jc w:val="center"/>
            </w:pPr>
            <w:r>
              <w:rPr>
                <w:rFonts w:ascii="宋体" w:hAnsi="宋体" w:eastAsia="宋体"/>
                <w:sz w:val="16"/>
              </w:rPr>
              <w:t>=1077人</w:t>
            </w:r>
          </w:p>
        </w:tc>
        <w:tc>
          <w:tcPr>
            <w:tcW w:w="960" w:type="pct"/>
            <w:tcBorders>
              <w:top w:val="single" w:color="auto" w:sz="10" w:space="0"/>
              <w:left w:val="single" w:color="auto" w:sz="10" w:space="0"/>
              <w:bottom w:val="single" w:color="auto" w:sz="10" w:space="0"/>
              <w:right w:val="single" w:color="auto" w:sz="10" w:space="0"/>
              <w:insideV w:val="single" w:sz="10" w:space="0"/>
            </w:tcBorders>
            <w:vAlign w:val="center"/>
          </w:tcPr>
          <w:p w14:paraId="7DD4CDB0">
            <w:pPr>
              <w:snapToGrid w:val="0"/>
              <w:jc w:val="center"/>
            </w:pPr>
            <w:r>
              <w:rPr>
                <w:rFonts w:ascii="宋体" w:hAnsi="宋体" w:eastAsia="宋体"/>
                <w:sz w:val="16"/>
              </w:rPr>
              <w:t>2024年教育综合统计调查表</w:t>
            </w:r>
          </w:p>
        </w:tc>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0B75C841">
            <w:pPr>
              <w:snapToGrid w:val="0"/>
              <w:jc w:val="center"/>
            </w:pPr>
            <w:r>
              <w:rPr>
                <w:rFonts w:ascii="宋体" w:hAnsi="宋体" w:eastAsia="宋体"/>
                <w:sz w:val="16"/>
              </w:rPr>
              <w:t>20</w:t>
            </w:r>
          </w:p>
        </w:tc>
        <w:tc>
          <w:tcPr>
            <w:tcW w:w="1300" w:type="pct"/>
            <w:tcBorders>
              <w:top w:val="single" w:color="auto" w:sz="10" w:space="0"/>
              <w:left w:val="single" w:color="auto" w:sz="10" w:space="0"/>
              <w:bottom w:val="single" w:color="auto" w:sz="10" w:space="0"/>
              <w:right w:val="single" w:color="auto" w:sz="10" w:space="0"/>
              <w:insideV w:val="single" w:sz="10" w:space="0"/>
            </w:tcBorders>
            <w:vAlign w:val="center"/>
          </w:tcPr>
          <w:p w14:paraId="7EC98FF9">
            <w:pPr>
              <w:snapToGrid w:val="0"/>
              <w:jc w:val="center"/>
            </w:pPr>
            <w:r>
              <w:rPr>
                <w:rFonts w:ascii="宋体" w:hAnsi="宋体" w:eastAsia="宋体"/>
                <w:sz w:val="16"/>
              </w:rPr>
              <w:t>1077人</w:t>
            </w:r>
          </w:p>
        </w:tc>
        <w:tc>
          <w:tcPr>
            <w:tcW w:w="503" w:type="pct"/>
            <w:tcBorders>
              <w:top w:val="single" w:color="auto" w:sz="10" w:space="0"/>
              <w:left w:val="single" w:color="auto" w:sz="10" w:space="0"/>
              <w:bottom w:val="single" w:color="auto" w:sz="10" w:space="0"/>
              <w:right w:val="single" w:color="auto" w:sz="10" w:space="0"/>
              <w:insideV w:val="single" w:sz="10" w:space="0"/>
            </w:tcBorders>
            <w:vAlign w:val="center"/>
          </w:tcPr>
          <w:p w14:paraId="48BD407C">
            <w:pPr>
              <w:snapToGrid w:val="0"/>
              <w:jc w:val="center"/>
            </w:pPr>
            <w:r>
              <w:rPr>
                <w:rFonts w:ascii="宋体" w:hAnsi="宋体" w:eastAsia="宋体"/>
                <w:sz w:val="16"/>
              </w:rPr>
              <w:t>20</w:t>
            </w:r>
          </w:p>
        </w:tc>
      </w:tr>
      <w:tr w14:paraId="3FBD2E8B">
        <w:tblPrEx>
          <w:tblCellMar>
            <w:top w:w="40" w:type="dxa"/>
            <w:left w:w="64" w:type="dxa"/>
            <w:bottom w:w="40" w:type="dxa"/>
            <w:right w:w="64" w:type="dxa"/>
          </w:tblCellMar>
        </w:tblPrEx>
        <w:trPr>
          <w:trHeight w:val="0" w:hRule="atLeast"/>
          <w:jc w:val="center"/>
        </w:trPr>
        <w:tc>
          <w:tcPr>
            <w:tcW w:w="288" w:type="pct"/>
            <w:vMerge w:val="continue"/>
            <w:tcBorders>
              <w:top w:val="single" w:color="auto" w:sz="10" w:space="0"/>
              <w:left w:val="single" w:color="auto" w:sz="10" w:space="0"/>
              <w:bottom w:val="single" w:color="auto" w:sz="10" w:space="0"/>
              <w:right w:val="single" w:color="auto" w:sz="10" w:space="0"/>
              <w:insideV w:val="single" w:sz="10" w:space="0"/>
            </w:tcBorders>
          </w:tcPr>
          <w:p w14:paraId="76C6E0AE">
            <w:pPr>
              <w:snapToGrid w:val="0"/>
            </w:pPr>
          </w:p>
        </w:tc>
        <w:tc>
          <w:tcPr>
            <w:tcW w:w="396" w:type="pct"/>
            <w:tcBorders>
              <w:top w:val="single" w:color="auto" w:sz="10" w:space="0"/>
              <w:left w:val="single" w:color="auto" w:sz="10" w:space="0"/>
              <w:bottom w:val="single" w:color="auto" w:sz="10" w:space="0"/>
              <w:right w:val="single" w:color="auto" w:sz="10" w:space="0"/>
              <w:insideV w:val="single" w:sz="10" w:space="0"/>
            </w:tcBorders>
            <w:vAlign w:val="center"/>
          </w:tcPr>
          <w:p w14:paraId="5739E4E3">
            <w:pPr>
              <w:snapToGrid w:val="0"/>
              <w:jc w:val="center"/>
            </w:pPr>
            <w:r>
              <w:rPr>
                <w:rFonts w:ascii="宋体" w:hAnsi="宋体" w:eastAsia="宋体"/>
                <w:sz w:val="16"/>
              </w:rPr>
              <w:t>数量目标</w:t>
            </w:r>
          </w:p>
        </w:tc>
        <w:tc>
          <w:tcPr>
            <w:tcW w:w="702" w:type="pct"/>
            <w:tcBorders>
              <w:top w:val="single" w:color="auto" w:sz="10" w:space="0"/>
              <w:left w:val="single" w:color="auto" w:sz="10" w:space="0"/>
              <w:bottom w:val="single" w:color="auto" w:sz="10" w:space="0"/>
              <w:right w:val="single" w:color="auto" w:sz="10" w:space="0"/>
              <w:insideV w:val="single" w:sz="10" w:space="0"/>
            </w:tcBorders>
            <w:vAlign w:val="center"/>
          </w:tcPr>
          <w:p w14:paraId="0E279D62">
            <w:pPr>
              <w:snapToGrid w:val="0"/>
              <w:jc w:val="center"/>
            </w:pPr>
            <w:r>
              <w:rPr>
                <w:rFonts w:ascii="宋体" w:hAnsi="宋体" w:eastAsia="宋体"/>
                <w:sz w:val="16"/>
              </w:rPr>
              <w:t>义务教育巩固率</w:t>
            </w:r>
          </w:p>
        </w:tc>
        <w:tc>
          <w:tcPr>
            <w:tcW w:w="561" w:type="pct"/>
            <w:tcBorders>
              <w:top w:val="single" w:color="auto" w:sz="10" w:space="0"/>
              <w:left w:val="single" w:color="auto" w:sz="10" w:space="0"/>
              <w:bottom w:val="single" w:color="auto" w:sz="10" w:space="0"/>
              <w:right w:val="single" w:color="auto" w:sz="10" w:space="0"/>
              <w:insideV w:val="single" w:sz="10" w:space="0"/>
            </w:tcBorders>
            <w:vAlign w:val="center"/>
          </w:tcPr>
          <w:p w14:paraId="07C012F4">
            <w:pPr>
              <w:snapToGrid w:val="0"/>
              <w:jc w:val="center"/>
            </w:pPr>
            <w:r>
              <w:rPr>
                <w:rFonts w:ascii="宋体" w:hAnsi="宋体" w:eastAsia="宋体"/>
                <w:sz w:val="16"/>
              </w:rPr>
              <w:t>&gt;=98%</w:t>
            </w:r>
          </w:p>
        </w:tc>
        <w:tc>
          <w:tcPr>
            <w:tcW w:w="960" w:type="pct"/>
            <w:tcBorders>
              <w:top w:val="single" w:color="auto" w:sz="10" w:space="0"/>
              <w:left w:val="single" w:color="auto" w:sz="10" w:space="0"/>
              <w:bottom w:val="single" w:color="auto" w:sz="10" w:space="0"/>
              <w:right w:val="single" w:color="auto" w:sz="10" w:space="0"/>
              <w:insideV w:val="single" w:sz="10" w:space="0"/>
            </w:tcBorders>
            <w:vAlign w:val="center"/>
          </w:tcPr>
          <w:p w14:paraId="78BD2FEF">
            <w:pPr>
              <w:snapToGrid w:val="0"/>
              <w:jc w:val="center"/>
            </w:pPr>
            <w:r>
              <w:rPr>
                <w:rFonts w:hint="eastAsia" w:ascii="宋体" w:hAnsi="宋体"/>
                <w:sz w:val="16"/>
                <w:lang w:eastAsia="zh-CN"/>
              </w:rPr>
              <w:t>“十四五”规划</w:t>
            </w:r>
          </w:p>
        </w:tc>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6F01D8D0">
            <w:pPr>
              <w:snapToGrid w:val="0"/>
              <w:jc w:val="center"/>
            </w:pPr>
            <w:r>
              <w:rPr>
                <w:rFonts w:ascii="宋体" w:hAnsi="宋体" w:eastAsia="宋体"/>
                <w:sz w:val="16"/>
              </w:rPr>
              <w:t>15</w:t>
            </w:r>
          </w:p>
        </w:tc>
        <w:tc>
          <w:tcPr>
            <w:tcW w:w="1300" w:type="pct"/>
            <w:tcBorders>
              <w:top w:val="single" w:color="auto" w:sz="10" w:space="0"/>
              <w:left w:val="single" w:color="auto" w:sz="10" w:space="0"/>
              <w:bottom w:val="single" w:color="auto" w:sz="10" w:space="0"/>
              <w:right w:val="single" w:color="auto" w:sz="10" w:space="0"/>
              <w:insideV w:val="single" w:sz="10" w:space="0"/>
            </w:tcBorders>
            <w:vAlign w:val="center"/>
          </w:tcPr>
          <w:p w14:paraId="1E70DDF0">
            <w:pPr>
              <w:snapToGrid w:val="0"/>
              <w:jc w:val="center"/>
            </w:pPr>
            <w:r>
              <w:rPr>
                <w:rFonts w:ascii="宋体" w:hAnsi="宋体" w:eastAsia="宋体"/>
                <w:sz w:val="16"/>
              </w:rPr>
              <w:t>98%</w:t>
            </w:r>
          </w:p>
        </w:tc>
        <w:tc>
          <w:tcPr>
            <w:tcW w:w="503" w:type="pct"/>
            <w:tcBorders>
              <w:top w:val="single" w:color="auto" w:sz="10" w:space="0"/>
              <w:left w:val="single" w:color="auto" w:sz="10" w:space="0"/>
              <w:bottom w:val="single" w:color="auto" w:sz="10" w:space="0"/>
              <w:right w:val="single" w:color="auto" w:sz="10" w:space="0"/>
              <w:insideV w:val="single" w:sz="10" w:space="0"/>
            </w:tcBorders>
            <w:vAlign w:val="center"/>
          </w:tcPr>
          <w:p w14:paraId="3B895D47">
            <w:pPr>
              <w:snapToGrid w:val="0"/>
              <w:jc w:val="center"/>
            </w:pPr>
            <w:r>
              <w:rPr>
                <w:rFonts w:ascii="宋体" w:hAnsi="宋体" w:eastAsia="宋体"/>
                <w:sz w:val="16"/>
              </w:rPr>
              <w:t>15</w:t>
            </w:r>
          </w:p>
        </w:tc>
      </w:tr>
    </w:tbl>
    <w:p w14:paraId="558DAC3F">
      <w:r>
        <w:br w:type="page"/>
      </w:r>
    </w:p>
    <w:p w14:paraId="50A456D1">
      <w:pPr>
        <w:spacing w:line="640" w:lineRule="exact"/>
        <w:ind w:firstLine="640"/>
        <w:jc w:val="both"/>
        <w:outlineLvl w:val="2"/>
      </w:pPr>
      <w:r>
        <w:rPr>
          <w:rFonts w:ascii="黑体" w:hAnsi="黑体" w:eastAsia="黑体"/>
          <w:sz w:val="32"/>
        </w:rPr>
        <w:t>十二、其他需说明的事项</w:t>
      </w:r>
    </w:p>
    <w:p w14:paraId="35683C91">
      <w:pPr>
        <w:spacing w:line="580" w:lineRule="exact"/>
        <w:ind w:firstLine="640"/>
        <w:jc w:val="both"/>
      </w:pPr>
      <w:r>
        <w:rPr>
          <w:rFonts w:ascii="仿宋_GB2312" w:hAnsi="仿宋_GB2312" w:eastAsia="仿宋_GB2312"/>
          <w:b w:val="0"/>
          <w:sz w:val="32"/>
        </w:rPr>
        <w:t>本单位无其他需说明的事项。</w:t>
      </w:r>
    </w:p>
    <w:p w14:paraId="691CA89D">
      <w:r>
        <w:br w:type="page"/>
      </w:r>
    </w:p>
    <w:p w14:paraId="5F33B59A">
      <w:pPr>
        <w:spacing w:line="240" w:lineRule="auto"/>
        <w:jc w:val="center"/>
        <w:outlineLvl w:val="1"/>
      </w:pPr>
      <w:r>
        <w:rPr>
          <w:rFonts w:ascii="黑体" w:hAnsi="黑体" w:eastAsia="黑体"/>
          <w:sz w:val="32"/>
        </w:rPr>
        <w:t>第三部分 专业名词解释</w:t>
      </w:r>
    </w:p>
    <w:p w14:paraId="5A23D3E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1D5CFB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549AA2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A33521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25ABA2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97E9CE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0EBE1E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2777B1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1DB2FC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B3B16C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2410B0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E2FFEF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20BAF9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898E31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56D9772">
      <w:r>
        <w:br w:type="page"/>
      </w:r>
    </w:p>
    <w:p w14:paraId="4B1D1279">
      <w:pPr>
        <w:spacing w:line="240" w:lineRule="auto"/>
        <w:jc w:val="center"/>
        <w:outlineLvl w:val="1"/>
      </w:pPr>
      <w:r>
        <w:rPr>
          <w:rFonts w:ascii="黑体" w:hAnsi="黑体" w:eastAsia="黑体"/>
          <w:sz w:val="32"/>
        </w:rPr>
        <w:t>第四部分 部门决算报表（见附表）</w:t>
      </w:r>
    </w:p>
    <w:p w14:paraId="16A89CC1">
      <w:pPr>
        <w:spacing w:line="240" w:lineRule="auto"/>
        <w:ind w:firstLine="640"/>
        <w:jc w:val="both"/>
      </w:pPr>
      <w:r>
        <w:rPr>
          <w:rFonts w:ascii="仿宋_GB2312" w:hAnsi="仿宋_GB2312" w:eastAsia="仿宋_GB2312"/>
          <w:b w:val="0"/>
          <w:sz w:val="32"/>
        </w:rPr>
        <w:t>一、《收入支出决算总表》</w:t>
      </w:r>
    </w:p>
    <w:p w14:paraId="3A444D1B">
      <w:pPr>
        <w:spacing w:line="240" w:lineRule="auto"/>
        <w:ind w:firstLine="640"/>
        <w:jc w:val="both"/>
      </w:pPr>
      <w:r>
        <w:rPr>
          <w:rFonts w:ascii="仿宋_GB2312" w:hAnsi="仿宋_GB2312" w:eastAsia="仿宋_GB2312"/>
          <w:b w:val="0"/>
          <w:sz w:val="32"/>
        </w:rPr>
        <w:t>二、《收入决算表》</w:t>
      </w:r>
    </w:p>
    <w:p w14:paraId="0AB1FE2A">
      <w:pPr>
        <w:spacing w:line="240" w:lineRule="auto"/>
        <w:ind w:firstLine="640"/>
        <w:jc w:val="both"/>
      </w:pPr>
      <w:r>
        <w:rPr>
          <w:rFonts w:ascii="仿宋_GB2312" w:hAnsi="仿宋_GB2312" w:eastAsia="仿宋_GB2312"/>
          <w:b w:val="0"/>
          <w:sz w:val="32"/>
        </w:rPr>
        <w:t>三、《支出决算表》</w:t>
      </w:r>
    </w:p>
    <w:p w14:paraId="53B53704">
      <w:pPr>
        <w:spacing w:line="240" w:lineRule="auto"/>
        <w:ind w:firstLine="640"/>
        <w:jc w:val="both"/>
      </w:pPr>
      <w:r>
        <w:rPr>
          <w:rFonts w:ascii="仿宋_GB2312" w:hAnsi="仿宋_GB2312" w:eastAsia="仿宋_GB2312"/>
          <w:b w:val="0"/>
          <w:sz w:val="32"/>
        </w:rPr>
        <w:t>四、《财政拨款收入支出决算总表》</w:t>
      </w:r>
    </w:p>
    <w:p w14:paraId="6FF67FCE">
      <w:pPr>
        <w:spacing w:line="240" w:lineRule="auto"/>
        <w:ind w:firstLine="640"/>
        <w:jc w:val="both"/>
      </w:pPr>
      <w:r>
        <w:rPr>
          <w:rFonts w:ascii="仿宋_GB2312" w:hAnsi="仿宋_GB2312" w:eastAsia="仿宋_GB2312"/>
          <w:b w:val="0"/>
          <w:sz w:val="32"/>
        </w:rPr>
        <w:t>五、《一般公共预算财政拨款支出决算表》</w:t>
      </w:r>
    </w:p>
    <w:p w14:paraId="3196905D">
      <w:pPr>
        <w:spacing w:line="240" w:lineRule="auto"/>
        <w:ind w:firstLine="640"/>
        <w:jc w:val="both"/>
      </w:pPr>
      <w:r>
        <w:rPr>
          <w:rFonts w:ascii="仿宋_GB2312" w:hAnsi="仿宋_GB2312" w:eastAsia="仿宋_GB2312"/>
          <w:b w:val="0"/>
          <w:sz w:val="32"/>
        </w:rPr>
        <w:t>六、《一般公共预算财政拨款基本支出决算表》</w:t>
      </w:r>
    </w:p>
    <w:p w14:paraId="09F8EB53">
      <w:pPr>
        <w:spacing w:line="240" w:lineRule="auto"/>
        <w:ind w:firstLine="640"/>
        <w:jc w:val="both"/>
      </w:pPr>
      <w:r>
        <w:rPr>
          <w:rFonts w:ascii="仿宋_GB2312" w:hAnsi="仿宋_GB2312" w:eastAsia="仿宋_GB2312"/>
          <w:b w:val="0"/>
          <w:sz w:val="32"/>
        </w:rPr>
        <w:t>七、《政府性基金预算财政拨款收入支出决算表》</w:t>
      </w:r>
    </w:p>
    <w:p w14:paraId="7A8071EB">
      <w:pPr>
        <w:spacing w:line="240" w:lineRule="auto"/>
        <w:ind w:firstLine="640"/>
        <w:jc w:val="both"/>
      </w:pPr>
      <w:r>
        <w:rPr>
          <w:rFonts w:ascii="仿宋_GB2312" w:hAnsi="仿宋_GB2312" w:eastAsia="仿宋_GB2312"/>
          <w:b w:val="0"/>
          <w:sz w:val="32"/>
        </w:rPr>
        <w:t>八、《国有资本经营预算财政拨款收入支出决算表》</w:t>
      </w:r>
    </w:p>
    <w:p w14:paraId="4E303B93">
      <w:pPr>
        <w:spacing w:line="240" w:lineRule="auto"/>
        <w:ind w:firstLine="640"/>
        <w:jc w:val="both"/>
      </w:pPr>
      <w:r>
        <w:rPr>
          <w:rFonts w:ascii="仿宋_GB2312" w:hAnsi="仿宋_GB2312" w:eastAsia="仿宋_GB2312"/>
          <w:b w:val="0"/>
          <w:sz w:val="32"/>
        </w:rPr>
        <w:t>九、《财政拨款“三公”经费支出决算表》</w:t>
      </w:r>
    </w:p>
    <w:p w14:paraId="12735B94">
      <w:pPr>
        <w:spacing w:line="240" w:lineRule="auto"/>
        <w:ind w:firstLine="640"/>
        <w:jc w:val="both"/>
      </w:pPr>
    </w:p>
    <w:p w14:paraId="6F145118">
      <w:pPr>
        <w:spacing w:line="240" w:lineRule="auto"/>
        <w:ind w:firstLine="640"/>
        <w:jc w:val="both"/>
      </w:pPr>
    </w:p>
    <w:p w14:paraId="046B9DAE">
      <w:pPr>
        <w:spacing w:line="240" w:lineRule="auto"/>
        <w:ind w:firstLine="640"/>
        <w:jc w:val="both"/>
      </w:pPr>
    </w:p>
    <w:p w14:paraId="68DB65A8">
      <w:pPr>
        <w:spacing w:line="240" w:lineRule="auto"/>
        <w:ind w:firstLine="640"/>
        <w:jc w:val="both"/>
      </w:pPr>
    </w:p>
    <w:p w14:paraId="2687AF7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DBAA30D-EF86-4635-B6A9-6B719FA1CB4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B0604020202020204"/>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339747C1-FFFD-4761-AD7A-20D1298B9093}"/>
  </w:font>
  <w:font w:name="楷体_GB2312">
    <w:panose1 w:val="02010609030101010101"/>
    <w:charset w:val="86"/>
    <w:family w:val="auto"/>
    <w:pitch w:val="default"/>
    <w:sig w:usb0="00000001" w:usb1="080E0000" w:usb2="00000000" w:usb3="00000000" w:csb0="00040000" w:csb1="00000000"/>
    <w:embedRegular r:id="rId3" w:fontKey="{C15C2C73-C3D8-4A91-8FC0-64AA66AA0A83}"/>
  </w:font>
  <w:font w:name="方正小标宋_GBK">
    <w:panose1 w:val="02000000000000000000"/>
    <w:charset w:val="86"/>
    <w:family w:val="script"/>
    <w:pitch w:val="default"/>
    <w:sig w:usb0="A00002BF" w:usb1="38CF7CFA" w:usb2="00082016" w:usb3="00000000" w:csb0="00040001" w:csb1="00000000"/>
    <w:embedRegular r:id="rId4" w:fontKey="{ADEF26B8-009C-45B9-9D35-028B54609DD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7311A3"/>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98162FF"/>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CF3094C"/>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6635</Words>
  <Characters>7546</Characters>
  <Lines>0</Lines>
  <Paragraphs>0</Paragraphs>
  <TotalTime>3</TotalTime>
  <ScaleCrop>false</ScaleCrop>
  <LinksUpToDate>false</LinksUpToDate>
  <CharactersWithSpaces>7556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2025-09-25T03:41:42Z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