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霍城县第二中学2024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4D071E5">
      <w:r>
        <w:br w:type="page"/>
      </w:r>
    </w:p>
    <w:p w14:paraId="6A110DA0">
      <w:pPr>
        <w:spacing w:line="640" w:lineRule="exact"/>
        <w:jc w:val="center"/>
        <w:outlineLvl w:val="1"/>
      </w:pPr>
      <w:r>
        <w:rPr>
          <w:rFonts w:ascii="黑体" w:hAnsi="黑体" w:eastAsia="黑体"/>
          <w:sz w:val="32"/>
        </w:rPr>
        <w:t>第一部分 单位概况</w:t>
      </w:r>
    </w:p>
    <w:p w14:paraId="4025A100">
      <w:pPr>
        <w:spacing w:line="640" w:lineRule="exact"/>
        <w:ind w:firstLine="640"/>
        <w:jc w:val="both"/>
        <w:outlineLvl w:val="2"/>
      </w:pPr>
      <w:r>
        <w:rPr>
          <w:rFonts w:ascii="黑体" w:hAnsi="黑体" w:eastAsia="黑体"/>
          <w:sz w:val="32"/>
        </w:rPr>
        <w:t>一、主要职能</w:t>
      </w:r>
    </w:p>
    <w:p w14:paraId="5A7229E5">
      <w:pPr>
        <w:spacing w:line="580" w:lineRule="exact"/>
        <w:ind w:firstLine="640"/>
        <w:jc w:val="both"/>
      </w:pPr>
      <w:r>
        <w:rPr>
          <w:rFonts w:ascii="仿宋_GB2312" w:hAnsi="仿宋_GB2312" w:eastAsia="仿宋_GB2312"/>
          <w:sz w:val="32"/>
        </w:rPr>
        <w:t>1、实施高中学历教育、为促进基础教育发展服务。进行高中学历教育和相关社会服务。</w:t>
      </w:r>
    </w:p>
    <w:p w14:paraId="1C9B8794">
      <w:pPr>
        <w:spacing w:line="580" w:lineRule="exact"/>
        <w:ind w:firstLine="640"/>
        <w:jc w:val="both"/>
      </w:pPr>
      <w:r>
        <w:rPr>
          <w:rFonts w:ascii="仿宋_GB2312" w:hAnsi="仿宋_GB2312" w:eastAsia="仿宋_GB2312"/>
          <w:sz w:val="32"/>
        </w:rPr>
        <w:t>2、指导学校安全风险防控体系建设。指导协调教育系统维护稳定以及学校安全保卫工作、指导协调学校做好重大安全事件处置工作。</w:t>
      </w:r>
    </w:p>
    <w:p w14:paraId="6FB8739F">
      <w:pPr>
        <w:spacing w:line="640" w:lineRule="exact"/>
        <w:ind w:firstLine="640"/>
        <w:jc w:val="both"/>
        <w:outlineLvl w:val="2"/>
      </w:pPr>
      <w:r>
        <w:rPr>
          <w:rFonts w:ascii="黑体" w:hAnsi="黑体" w:eastAsia="黑体"/>
          <w:sz w:val="32"/>
        </w:rPr>
        <w:t>二、机构设置及人员情况</w:t>
      </w:r>
    </w:p>
    <w:p w14:paraId="212CE3A6">
      <w:pPr>
        <w:spacing w:line="580" w:lineRule="exact"/>
        <w:ind w:firstLine="640"/>
        <w:jc w:val="both"/>
      </w:pPr>
      <w:r>
        <w:rPr>
          <w:rFonts w:ascii="仿宋_GB2312" w:hAnsi="仿宋_GB2312" w:eastAsia="仿宋_GB2312"/>
          <w:sz w:val="32"/>
        </w:rPr>
        <w:t>霍城县第二中学2024年度，实有人数228人，其中：在职人员155人，增加21人；离休人员0人，增加0人；退休人员73人,增加1人。</w:t>
      </w:r>
    </w:p>
    <w:p w14:paraId="5D1892A2">
      <w:pPr>
        <w:spacing w:line="580" w:lineRule="exact"/>
        <w:ind w:firstLine="640"/>
        <w:jc w:val="both"/>
      </w:pPr>
      <w:r>
        <w:rPr>
          <w:rFonts w:ascii="仿宋_GB2312" w:hAnsi="仿宋_GB2312" w:eastAsia="仿宋_GB2312"/>
          <w:sz w:val="32"/>
        </w:rPr>
        <w:t>霍城县第二中学无下属预算单位，下设14个科室，分别是：党政办、教务处、教研室、德育处、总务处、财务室、平安办、工会、信息办、团委、医务室、高一年级组、高二年级组、高三年级组。</w:t>
      </w:r>
    </w:p>
    <w:p w14:paraId="71709A75">
      <w:r>
        <w:br w:type="page"/>
      </w:r>
    </w:p>
    <w:p w14:paraId="283A69A5">
      <w:pPr>
        <w:spacing w:line="240" w:lineRule="auto"/>
        <w:jc w:val="center"/>
        <w:outlineLvl w:val="1"/>
      </w:pPr>
      <w:r>
        <w:rPr>
          <w:rFonts w:ascii="黑体" w:hAnsi="黑体" w:eastAsia="黑体"/>
          <w:sz w:val="32"/>
        </w:rPr>
        <w:t>第二部分 部门决算情况说明</w:t>
      </w:r>
    </w:p>
    <w:p w14:paraId="3DBE9654">
      <w:pPr>
        <w:spacing w:line="640" w:lineRule="exact"/>
        <w:ind w:firstLine="640"/>
        <w:jc w:val="both"/>
        <w:outlineLvl w:val="2"/>
      </w:pPr>
      <w:r>
        <w:rPr>
          <w:rFonts w:ascii="黑体" w:hAnsi="黑体" w:eastAsia="黑体"/>
          <w:sz w:val="32"/>
        </w:rPr>
        <w:t>一、收入支出决算总体情况说明</w:t>
      </w:r>
    </w:p>
    <w:p w14:paraId="65CFC0A5">
      <w:pPr>
        <w:spacing w:line="580" w:lineRule="exact"/>
        <w:ind w:firstLine="640"/>
        <w:jc w:val="both"/>
      </w:pPr>
      <w:r>
        <w:rPr>
          <w:rFonts w:ascii="仿宋_GB2312" w:hAnsi="仿宋_GB2312" w:eastAsia="仿宋_GB2312"/>
          <w:b/>
          <w:sz w:val="32"/>
        </w:rPr>
        <w:t>2024年度收入总计3,257.19万元，</w:t>
      </w:r>
      <w:r>
        <w:rPr>
          <w:rFonts w:ascii="仿宋_GB2312" w:hAnsi="仿宋_GB2312" w:eastAsia="仿宋_GB2312"/>
          <w:b w:val="0"/>
          <w:sz w:val="32"/>
        </w:rPr>
        <w:t>其中：本年收入合计3,257.19万元，使用非财政拨款结余（含专用结余）0.00万元，年初结转和结余0.00万元。</w:t>
      </w:r>
    </w:p>
    <w:p w14:paraId="604B20D5">
      <w:pPr>
        <w:spacing w:line="580" w:lineRule="exact"/>
        <w:ind w:firstLine="640"/>
        <w:jc w:val="both"/>
      </w:pPr>
      <w:r>
        <w:rPr>
          <w:rFonts w:ascii="仿宋_GB2312" w:hAnsi="仿宋_GB2312" w:eastAsia="仿宋_GB2312"/>
          <w:b/>
          <w:sz w:val="32"/>
        </w:rPr>
        <w:t>2024年度支出总计3,257.19万元，</w:t>
      </w:r>
      <w:r>
        <w:rPr>
          <w:rFonts w:ascii="仿宋_GB2312" w:hAnsi="仿宋_GB2312" w:eastAsia="仿宋_GB2312"/>
          <w:b w:val="0"/>
          <w:sz w:val="32"/>
        </w:rPr>
        <w:t>其中：本年支出合计3,257.19万元，结余分配0.00万元，年末结转和结余0.00万元。</w:t>
      </w:r>
    </w:p>
    <w:p w14:paraId="43537749">
      <w:pPr>
        <w:spacing w:line="580" w:lineRule="exact"/>
        <w:ind w:firstLine="640"/>
        <w:jc w:val="both"/>
      </w:pPr>
      <w:r>
        <w:rPr>
          <w:rFonts w:ascii="仿宋_GB2312" w:hAnsi="仿宋_GB2312" w:eastAsia="仿宋_GB2312"/>
          <w:b w:val="0"/>
          <w:sz w:val="32"/>
        </w:rPr>
        <w:t>收入支出总体与上年相比，减少377.83万元，下降10.39%，主要原因是：2023年支付2021年改善办学条件建设项目资金，2024年无此项目支出，相应支出减少。</w:t>
      </w:r>
    </w:p>
    <w:p w14:paraId="408AED72">
      <w:pPr>
        <w:spacing w:line="640" w:lineRule="exact"/>
        <w:ind w:firstLine="640"/>
        <w:jc w:val="both"/>
        <w:outlineLvl w:val="2"/>
      </w:pPr>
      <w:r>
        <w:rPr>
          <w:rFonts w:ascii="黑体" w:hAnsi="黑体" w:eastAsia="黑体"/>
          <w:sz w:val="32"/>
        </w:rPr>
        <w:t>二、收入决算情况说明</w:t>
      </w:r>
    </w:p>
    <w:p w14:paraId="75023164">
      <w:pPr>
        <w:spacing w:line="580" w:lineRule="exact"/>
        <w:ind w:firstLine="640"/>
        <w:jc w:val="both"/>
      </w:pPr>
      <w:r>
        <w:rPr>
          <w:rFonts w:ascii="仿宋_GB2312" w:hAnsi="仿宋_GB2312" w:eastAsia="仿宋_GB2312"/>
          <w:b/>
          <w:sz w:val="32"/>
        </w:rPr>
        <w:t>本年收入3,257.19万元，</w:t>
      </w:r>
      <w:r>
        <w:rPr>
          <w:rFonts w:ascii="仿宋_GB2312" w:hAnsi="仿宋_GB2312" w:eastAsia="仿宋_GB2312"/>
          <w:b w:val="0"/>
          <w:sz w:val="32"/>
        </w:rPr>
        <w:t>其中：财政拨款收入3,257.19万元，占100.00%；上级补助收入0.00万元，占0.00%；事业收入0.00万元，占0.00%；经营收入0.00万元，占0.00%；附属单位上缴收入0.00万元，占0.00%；其他收入0.00万元，占0.00%。</w:t>
      </w:r>
    </w:p>
    <w:p w14:paraId="03534523">
      <w:pPr>
        <w:spacing w:line="640" w:lineRule="exact"/>
        <w:ind w:firstLine="640"/>
        <w:jc w:val="both"/>
        <w:outlineLvl w:val="2"/>
      </w:pPr>
      <w:r>
        <w:rPr>
          <w:rFonts w:ascii="黑体" w:hAnsi="黑体" w:eastAsia="黑体"/>
          <w:sz w:val="32"/>
        </w:rPr>
        <w:t>三、支出决算情况说明</w:t>
      </w:r>
    </w:p>
    <w:p w14:paraId="360046C2">
      <w:pPr>
        <w:spacing w:line="580" w:lineRule="exact"/>
        <w:ind w:firstLine="640"/>
        <w:jc w:val="both"/>
      </w:pPr>
      <w:r>
        <w:rPr>
          <w:rFonts w:ascii="仿宋_GB2312" w:hAnsi="仿宋_GB2312" w:eastAsia="仿宋_GB2312"/>
          <w:b/>
          <w:sz w:val="32"/>
        </w:rPr>
        <w:t>本年支出3,257.19万元，</w:t>
      </w:r>
      <w:r>
        <w:rPr>
          <w:rFonts w:ascii="仿宋_GB2312" w:hAnsi="仿宋_GB2312" w:eastAsia="仿宋_GB2312"/>
          <w:b w:val="0"/>
          <w:sz w:val="32"/>
        </w:rPr>
        <w:t>其中：基本支出3,257.19万元，占100.00%；项目支出0.00万元，占0.00%；上缴上级支出0.00万元，占0.00%；经营支出0.00万元，占0.00%；对附属单位补助支出0.00万元，占0.00%。</w:t>
      </w:r>
    </w:p>
    <w:p w14:paraId="3CCE80CB">
      <w:pPr>
        <w:spacing w:line="640" w:lineRule="exact"/>
        <w:ind w:firstLine="640"/>
        <w:jc w:val="both"/>
        <w:outlineLvl w:val="2"/>
      </w:pPr>
      <w:r>
        <w:rPr>
          <w:rFonts w:ascii="黑体" w:hAnsi="黑体" w:eastAsia="黑体"/>
          <w:sz w:val="32"/>
        </w:rPr>
        <w:t>四、财政拨款收入支出决算总体情况说明</w:t>
      </w:r>
    </w:p>
    <w:p w14:paraId="06E5BF86">
      <w:pPr>
        <w:spacing w:line="580" w:lineRule="exact"/>
        <w:ind w:firstLine="640"/>
        <w:jc w:val="both"/>
      </w:pPr>
      <w:r>
        <w:rPr>
          <w:rFonts w:ascii="仿宋_GB2312" w:hAnsi="仿宋_GB2312" w:eastAsia="仿宋_GB2312"/>
          <w:b/>
          <w:sz w:val="32"/>
        </w:rPr>
        <w:t>2024年度财政拨款收入总计3,257.19万元，</w:t>
      </w:r>
      <w:r>
        <w:rPr>
          <w:rFonts w:ascii="仿宋_GB2312" w:hAnsi="仿宋_GB2312" w:eastAsia="仿宋_GB2312"/>
          <w:b w:val="0"/>
          <w:sz w:val="32"/>
        </w:rPr>
        <w:t>其中：年初财政拨款结转和结余0.00万元，本年财政拨款收入3,257.19万元。</w:t>
      </w:r>
      <w:r>
        <w:rPr>
          <w:rFonts w:ascii="仿宋_GB2312" w:hAnsi="仿宋_GB2312" w:eastAsia="仿宋_GB2312"/>
          <w:b/>
          <w:sz w:val="32"/>
        </w:rPr>
        <w:t>财政拨款支出总计3,257.19万元，</w:t>
      </w:r>
      <w:r>
        <w:rPr>
          <w:rFonts w:ascii="仿宋_GB2312" w:hAnsi="仿宋_GB2312" w:eastAsia="仿宋_GB2312"/>
          <w:b w:val="0"/>
          <w:sz w:val="32"/>
        </w:rPr>
        <w:t>其中：年末财政拨款结转和结余0.00万元，本年财政拨款支出3,257.19万元。</w:t>
      </w:r>
    </w:p>
    <w:p w14:paraId="18BEF00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减少377.83万元，下降10.39%，主要原因是：2023年支付2021年改善办学条件建设项目资金，2024年无此项目支出，相应支出减少。</w:t>
      </w:r>
      <w:r>
        <w:rPr>
          <w:rFonts w:ascii="仿宋_GB2312" w:hAnsi="仿宋_GB2312" w:eastAsia="仿宋_GB2312"/>
          <w:b/>
          <w:sz w:val="32"/>
        </w:rPr>
        <w:t>与年初预算相比，</w:t>
      </w:r>
      <w:r>
        <w:rPr>
          <w:rFonts w:ascii="仿宋_GB2312" w:hAnsi="仿宋_GB2312" w:eastAsia="仿宋_GB2312"/>
          <w:b w:val="0"/>
          <w:sz w:val="32"/>
        </w:rPr>
        <w:t>年初预算数3,439.67万元，决算数3,257.19万元，预决算差异率-5.31%，主要原因是：年中调减改善办学条件建设项目经费支出，导致预决算存在差异。</w:t>
      </w:r>
    </w:p>
    <w:p w14:paraId="14FF86CD">
      <w:pPr>
        <w:spacing w:line="640" w:lineRule="exact"/>
        <w:ind w:firstLine="640"/>
        <w:jc w:val="both"/>
        <w:outlineLvl w:val="2"/>
      </w:pPr>
      <w:r>
        <w:rPr>
          <w:rFonts w:ascii="黑体" w:hAnsi="黑体" w:eastAsia="黑体"/>
          <w:sz w:val="32"/>
        </w:rPr>
        <w:t>五、一般公共预算财政拨款支出决算情况说明</w:t>
      </w:r>
    </w:p>
    <w:p w14:paraId="226427B2">
      <w:pPr>
        <w:spacing w:line="640" w:lineRule="exact"/>
        <w:ind w:firstLine="640"/>
        <w:jc w:val="both"/>
        <w:outlineLvl w:val="3"/>
      </w:pPr>
      <w:r>
        <w:rPr>
          <w:rFonts w:ascii="楷体_GB2312" w:hAnsi="楷体_GB2312" w:eastAsia="楷体_GB2312"/>
          <w:b/>
          <w:sz w:val="32"/>
        </w:rPr>
        <w:t>（一）一般公共预算财政拨款支出决算总体情况</w:t>
      </w:r>
    </w:p>
    <w:p w14:paraId="58416342">
      <w:pPr>
        <w:spacing w:line="580" w:lineRule="exact"/>
        <w:ind w:firstLine="640"/>
        <w:jc w:val="both"/>
      </w:pPr>
      <w:r>
        <w:rPr>
          <w:rFonts w:ascii="仿宋_GB2312" w:hAnsi="仿宋_GB2312" w:eastAsia="仿宋_GB2312"/>
          <w:b/>
          <w:sz w:val="32"/>
        </w:rPr>
        <w:t>2024年度一般公共预算财政拨款支出3,257.19万元，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减少377.83万元，下降10.39%，主要原因是：2023年支付2021年改善办学条件建设项目资金，2024年无此项目支出，相应支出减少。</w:t>
      </w:r>
      <w:r>
        <w:rPr>
          <w:rFonts w:ascii="仿宋_GB2312" w:hAnsi="仿宋_GB2312" w:eastAsia="仿宋_GB2312"/>
          <w:b/>
          <w:sz w:val="32"/>
        </w:rPr>
        <w:t>与年初预算相比,</w:t>
      </w:r>
      <w:r>
        <w:rPr>
          <w:rFonts w:ascii="仿宋_GB2312" w:hAnsi="仿宋_GB2312" w:eastAsia="仿宋_GB2312"/>
          <w:b w:val="0"/>
          <w:sz w:val="32"/>
        </w:rPr>
        <w:t>年初预算数3,439.67万元，决算数3,257.19万元，预决算差异率-5.31%，主要原因是：年中调减改善办学条件建设项目经费支出，导致预决算存在差异。</w:t>
      </w:r>
    </w:p>
    <w:p w14:paraId="1A92C560">
      <w:pPr>
        <w:spacing w:line="640" w:lineRule="exact"/>
        <w:ind w:firstLine="640"/>
        <w:jc w:val="both"/>
        <w:outlineLvl w:val="3"/>
      </w:pPr>
      <w:r>
        <w:rPr>
          <w:rFonts w:ascii="楷体_GB2312" w:hAnsi="楷体_GB2312" w:eastAsia="楷体_GB2312"/>
          <w:b/>
          <w:sz w:val="32"/>
        </w:rPr>
        <w:t>（二）一般公共预算财政拨款支出决算结构情况</w:t>
      </w:r>
    </w:p>
    <w:p w14:paraId="63E7D5AE">
      <w:pPr>
        <w:spacing w:line="580" w:lineRule="exact"/>
        <w:ind w:firstLine="640"/>
        <w:jc w:val="both"/>
      </w:pPr>
      <w:r>
        <w:rPr>
          <w:rFonts w:ascii="仿宋_GB2312" w:hAnsi="仿宋_GB2312" w:eastAsia="仿宋_GB2312"/>
          <w:b w:val="0"/>
          <w:sz w:val="32"/>
        </w:rPr>
        <w:t>1.教育支出(类)2,771.82万元,占85.10%。</w:t>
      </w:r>
    </w:p>
    <w:p w14:paraId="003DE12B">
      <w:pPr>
        <w:spacing w:line="580" w:lineRule="exact"/>
        <w:ind w:firstLine="640"/>
        <w:jc w:val="both"/>
      </w:pPr>
      <w:r>
        <w:rPr>
          <w:rFonts w:ascii="仿宋_GB2312" w:hAnsi="仿宋_GB2312" w:eastAsia="仿宋_GB2312"/>
          <w:b w:val="0"/>
          <w:sz w:val="32"/>
        </w:rPr>
        <w:t>2.科学技术支出(类)10.00万元,占0.31%。</w:t>
      </w:r>
    </w:p>
    <w:p w14:paraId="05558470">
      <w:pPr>
        <w:spacing w:line="580" w:lineRule="exact"/>
        <w:ind w:firstLine="640"/>
        <w:jc w:val="both"/>
      </w:pPr>
      <w:r>
        <w:rPr>
          <w:rFonts w:ascii="仿宋_GB2312" w:hAnsi="仿宋_GB2312" w:eastAsia="仿宋_GB2312"/>
          <w:b w:val="0"/>
          <w:sz w:val="32"/>
        </w:rPr>
        <w:t>3.社会保障和就业支出(类)335.88万元,占10.31%。</w:t>
      </w:r>
    </w:p>
    <w:p w14:paraId="567387B3">
      <w:pPr>
        <w:spacing w:line="580" w:lineRule="exact"/>
        <w:ind w:firstLine="640"/>
        <w:jc w:val="both"/>
      </w:pPr>
      <w:r>
        <w:rPr>
          <w:rFonts w:ascii="仿宋_GB2312" w:hAnsi="仿宋_GB2312" w:eastAsia="仿宋_GB2312"/>
          <w:b w:val="0"/>
          <w:sz w:val="32"/>
        </w:rPr>
        <w:t>4.卫生健康支出(类)139.48万元,占4.28%。</w:t>
      </w:r>
    </w:p>
    <w:p w14:paraId="5121122B">
      <w:pPr>
        <w:spacing w:line="640" w:lineRule="exact"/>
        <w:ind w:firstLine="640"/>
        <w:jc w:val="both"/>
        <w:outlineLvl w:val="3"/>
      </w:pPr>
      <w:r>
        <w:rPr>
          <w:rFonts w:ascii="楷体_GB2312" w:hAnsi="楷体_GB2312" w:eastAsia="楷体_GB2312"/>
          <w:b/>
          <w:sz w:val="32"/>
        </w:rPr>
        <w:t>（三）一般公共预算财政拨款支出决算具体情况</w:t>
      </w:r>
    </w:p>
    <w:p w14:paraId="01CA323A">
      <w:pPr>
        <w:spacing w:line="580" w:lineRule="exact"/>
        <w:ind w:firstLine="640"/>
        <w:jc w:val="both"/>
      </w:pPr>
      <w:r>
        <w:rPr>
          <w:rFonts w:ascii="仿宋_GB2312" w:hAnsi="仿宋_GB2312" w:eastAsia="仿宋_GB2312"/>
          <w:b w:val="0"/>
          <w:sz w:val="32"/>
        </w:rPr>
        <w:t>1.教育支出(类)普通教育(款)高中教育(项):支出决算数为2,695.14万元，比上年决算增加111.80万元，增长4.33%,主要原因是：本年度学生人数增加，助学金、公用经费增加，本年功能科目调整，住房公积金上年度单独列支，本年调整至主科目列支，导致经费较上年增加。</w:t>
      </w:r>
    </w:p>
    <w:p w14:paraId="44F65FD8">
      <w:pPr>
        <w:spacing w:line="580" w:lineRule="exact"/>
        <w:ind w:firstLine="640"/>
        <w:jc w:val="both"/>
      </w:pPr>
      <w:r>
        <w:rPr>
          <w:rFonts w:ascii="仿宋_GB2312" w:hAnsi="仿宋_GB2312" w:eastAsia="仿宋_GB2312"/>
          <w:b w:val="0"/>
          <w:sz w:val="32"/>
        </w:rPr>
        <w:t>2.教育支出(类)普通教育(款)其他普通教育支出(项):支出决算数为76.68万元，比上年决算增加32.87万元，增长75.03%,主要原因是：2024年度临聘人员增加，相关人员经费支出增加。</w:t>
      </w:r>
    </w:p>
    <w:p w14:paraId="100CD295">
      <w:pPr>
        <w:spacing w:line="580" w:lineRule="exact"/>
        <w:ind w:firstLine="640"/>
        <w:jc w:val="both"/>
      </w:pPr>
      <w:r>
        <w:rPr>
          <w:rFonts w:ascii="仿宋_GB2312" w:hAnsi="仿宋_GB2312" w:eastAsia="仿宋_GB2312"/>
          <w:b w:val="0"/>
          <w:sz w:val="32"/>
        </w:rPr>
        <w:t>3.教育支出(类)教育费附加安排的支出(款)农村中小学校舍建设(项):支出决算数为0.00万元，比上年决算减少250.00万元，下降100.00%,主要原因是：本年减少改善普通高中办学条件建设项目资金。</w:t>
      </w:r>
    </w:p>
    <w:p w14:paraId="7EE18630">
      <w:pPr>
        <w:spacing w:line="580" w:lineRule="exact"/>
        <w:ind w:firstLine="640"/>
        <w:jc w:val="both"/>
      </w:pPr>
      <w:r>
        <w:rPr>
          <w:rFonts w:ascii="仿宋_GB2312" w:hAnsi="仿宋_GB2312" w:eastAsia="仿宋_GB2312"/>
          <w:b w:val="0"/>
          <w:sz w:val="32"/>
        </w:rPr>
        <w:t>4.教育支出(类)教育费附加安排的支出(款)其他教育费附加安排的支出(项):支出决算数为0.00万元，比上年决算减少3.44万元，下降100.00%,主要原因是：本年度减少教师继续教育费用支出。</w:t>
      </w:r>
    </w:p>
    <w:p w14:paraId="7D16BCFC">
      <w:pPr>
        <w:spacing w:line="580" w:lineRule="exact"/>
        <w:ind w:firstLine="640"/>
        <w:jc w:val="both"/>
      </w:pPr>
      <w:r>
        <w:rPr>
          <w:rFonts w:ascii="仿宋_GB2312" w:hAnsi="仿宋_GB2312" w:eastAsia="仿宋_GB2312"/>
          <w:b w:val="0"/>
          <w:sz w:val="32"/>
        </w:rPr>
        <w:t>5.科学技术支出(类)基础研究(款)科技人才队伍建设(项):支出决算数为10.00万元，比上年决算增加10.00万元，增长100.00%,主要原因是：2024年新增天山英才培养计划项目。</w:t>
      </w:r>
    </w:p>
    <w:p w14:paraId="334E7631">
      <w:pPr>
        <w:spacing w:line="580" w:lineRule="exact"/>
        <w:ind w:firstLine="640"/>
        <w:jc w:val="both"/>
      </w:pPr>
      <w:r>
        <w:rPr>
          <w:rFonts w:ascii="仿宋_GB2312" w:hAnsi="仿宋_GB2312" w:eastAsia="仿宋_GB2312"/>
          <w:b w:val="0"/>
          <w:sz w:val="32"/>
        </w:rPr>
        <w:t>6.社会保障和就业支出(类)行政事业单位养老支出(款)事业单位离退休(项):支出决算数为56.12万元，比上年决算增加41.85万元，增长293.27%,主要原因是：本年退休人员增加，</w:t>
      </w:r>
      <w:r>
        <w:rPr>
          <w:rFonts w:hint="eastAsia" w:ascii="仿宋_GB2312" w:hAnsi="仿宋_GB2312" w:eastAsia="仿宋_GB2312"/>
          <w:b w:val="0"/>
          <w:sz w:val="32"/>
          <w:lang w:val="en-US" w:eastAsia="zh-CN"/>
        </w:rPr>
        <w:t>发放退休人员绩效，</w:t>
      </w:r>
      <w:r>
        <w:rPr>
          <w:rFonts w:ascii="仿宋_GB2312" w:hAnsi="仿宋_GB2312" w:eastAsia="仿宋_GB2312"/>
          <w:b w:val="0"/>
          <w:sz w:val="32"/>
        </w:rPr>
        <w:t>退休费支出增加。</w:t>
      </w:r>
    </w:p>
    <w:p w14:paraId="542792CD">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273.74万元，比上年决算增加20.34万元，增长8.03%,主要原因是：本年在职人员增加，养老保险缴费较上年增加。</w:t>
      </w:r>
    </w:p>
    <w:p w14:paraId="2606B8C7">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6.02万元，比上年决算减少69.22万元，下降92.00%,主要原因是：本年新增退休人员较上年减少，职业年金缴费较上年减少。</w:t>
      </w:r>
    </w:p>
    <w:p w14:paraId="5A591CD2">
      <w:pPr>
        <w:spacing w:line="580" w:lineRule="exact"/>
        <w:ind w:firstLine="640"/>
        <w:jc w:val="both"/>
      </w:pPr>
      <w:r>
        <w:rPr>
          <w:rFonts w:ascii="仿宋_GB2312" w:hAnsi="仿宋_GB2312" w:eastAsia="仿宋_GB2312"/>
          <w:b w:val="0"/>
          <w:sz w:val="32"/>
        </w:rPr>
        <w:t>9.社会保障和就业支出(类)抚恤(款)死亡抚恤(项):支出决算数为0.00万元，比上年决算减少39.79万元，下降100.00%,主要原因是：本年无死亡人员，死亡抚恤金支出减少。</w:t>
      </w:r>
    </w:p>
    <w:p w14:paraId="39021D38">
      <w:pPr>
        <w:spacing w:line="580" w:lineRule="exact"/>
        <w:ind w:firstLine="640"/>
        <w:jc w:val="both"/>
      </w:pPr>
      <w:r>
        <w:rPr>
          <w:rFonts w:ascii="仿宋_GB2312" w:hAnsi="仿宋_GB2312" w:eastAsia="仿宋_GB2312"/>
          <w:b w:val="0"/>
          <w:sz w:val="32"/>
        </w:rPr>
        <w:t>10.卫生健康支出(类)行政事业单位医疗(款)事业单位医疗(项):支出决算数为139.48万元，比上年决算减少27.18万元，下降16.31%,主要原因是：因退休人员医疗保险制度改革，退休人员基本医疗不再由单位缴纳，导致经费较上年减少。</w:t>
      </w:r>
    </w:p>
    <w:p w14:paraId="62974C90">
      <w:pPr>
        <w:spacing w:line="580" w:lineRule="exact"/>
        <w:ind w:firstLine="640"/>
        <w:jc w:val="both"/>
      </w:pPr>
      <w:r>
        <w:rPr>
          <w:rFonts w:ascii="仿宋_GB2312" w:hAnsi="仿宋_GB2312" w:eastAsia="仿宋_GB2312"/>
          <w:b w:val="0"/>
          <w:sz w:val="32"/>
        </w:rPr>
        <w:t>11.住房保障支出(类)住房改革支出(款)住房公积金(项):支出决算数为0.00万元，比上年决算减少205.08万元，下降100.00%,主要原因是：本年功能科目调整，住房公积金上年度单独列支，本年调整至主科目列支，导致经费较上年减少。</w:t>
      </w:r>
    </w:p>
    <w:p w14:paraId="137305C8">
      <w:pPr>
        <w:spacing w:line="640" w:lineRule="exact"/>
        <w:ind w:firstLine="640"/>
        <w:jc w:val="both"/>
        <w:outlineLvl w:val="2"/>
      </w:pPr>
      <w:r>
        <w:rPr>
          <w:rFonts w:ascii="黑体" w:hAnsi="黑体" w:eastAsia="黑体"/>
          <w:sz w:val="32"/>
        </w:rPr>
        <w:t>六、一般公共预算财政拨款基本支出决算情况说明</w:t>
      </w:r>
    </w:p>
    <w:p w14:paraId="7E3E0A93">
      <w:pPr>
        <w:spacing w:line="580" w:lineRule="exact"/>
        <w:ind w:firstLine="640"/>
        <w:jc w:val="both"/>
      </w:pPr>
      <w:r>
        <w:rPr>
          <w:rFonts w:ascii="仿宋_GB2312" w:hAnsi="仿宋_GB2312" w:eastAsia="仿宋_GB2312"/>
          <w:b w:val="0"/>
          <w:sz w:val="32"/>
        </w:rPr>
        <w:t>2024年度一般公共预算财政拨款基本支出3,257.19万元，其中：</w:t>
      </w:r>
      <w:r>
        <w:rPr>
          <w:rFonts w:ascii="仿宋_GB2312" w:hAnsi="仿宋_GB2312" w:eastAsia="仿宋_GB2312"/>
          <w:b/>
          <w:sz w:val="32"/>
        </w:rPr>
        <w:t>人员经费2,897.67万元，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生活补助、助学金、奖励金。</w:t>
      </w:r>
    </w:p>
    <w:p w14:paraId="0564CE99">
      <w:pPr>
        <w:spacing w:line="580" w:lineRule="exact"/>
        <w:ind w:firstLine="640"/>
        <w:jc w:val="both"/>
      </w:pPr>
      <w:r>
        <w:rPr>
          <w:rFonts w:ascii="仿宋_GB2312" w:hAnsi="仿宋_GB2312" w:eastAsia="仿宋_GB2312"/>
          <w:b/>
          <w:sz w:val="32"/>
        </w:rPr>
        <w:t>公用经费359.52万元，</w:t>
      </w:r>
      <w:r>
        <w:rPr>
          <w:rFonts w:ascii="仿宋_GB2312" w:hAnsi="仿宋_GB2312" w:eastAsia="仿宋_GB2312"/>
          <w:b w:val="0"/>
          <w:sz w:val="32"/>
        </w:rPr>
        <w:t>包括：办公费、印刷费、电费、邮电费、取暖费、物业管理费、差旅费、维修（护）费、培训费、专用材料费、劳务费、工会经费、福利费、办公设备购置。</w:t>
      </w:r>
    </w:p>
    <w:p w14:paraId="53204568">
      <w:pPr>
        <w:spacing w:line="640" w:lineRule="exact"/>
        <w:ind w:firstLine="640"/>
        <w:jc w:val="both"/>
        <w:outlineLvl w:val="2"/>
      </w:pPr>
      <w:r>
        <w:rPr>
          <w:rFonts w:ascii="黑体" w:hAnsi="黑体" w:eastAsia="黑体"/>
          <w:sz w:val="32"/>
        </w:rPr>
        <w:t>七、政府性基金预算财政拨款收入支出决算情况说明</w:t>
      </w:r>
    </w:p>
    <w:p w14:paraId="1D4B77F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AF134E1">
      <w:pPr>
        <w:spacing w:line="640" w:lineRule="exact"/>
        <w:ind w:firstLine="640"/>
        <w:jc w:val="both"/>
        <w:outlineLvl w:val="2"/>
      </w:pPr>
      <w:r>
        <w:rPr>
          <w:rFonts w:ascii="黑体" w:hAnsi="黑体" w:eastAsia="黑体"/>
          <w:sz w:val="32"/>
        </w:rPr>
        <w:t>八、国有资本经营预算财政拨款收入支出决算情况说明</w:t>
      </w:r>
    </w:p>
    <w:p w14:paraId="39D70E7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2996401">
      <w:pPr>
        <w:spacing w:line="640" w:lineRule="exact"/>
        <w:ind w:firstLine="640"/>
        <w:jc w:val="both"/>
        <w:outlineLvl w:val="2"/>
      </w:pPr>
      <w:r>
        <w:rPr>
          <w:rFonts w:ascii="黑体" w:hAnsi="黑体" w:eastAsia="黑体"/>
          <w:sz w:val="32"/>
        </w:rPr>
        <w:t>九、财政拨款“三公”经费支出决算情况说明</w:t>
      </w:r>
    </w:p>
    <w:p w14:paraId="072B9D0A">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6CE72AE">
      <w:pPr>
        <w:spacing w:line="580" w:lineRule="exact"/>
        <w:ind w:firstLine="640"/>
        <w:jc w:val="both"/>
      </w:pPr>
      <w:r>
        <w:rPr>
          <w:rFonts w:ascii="仿宋_GB2312" w:hAnsi="仿宋_GB2312" w:eastAsia="仿宋_GB2312"/>
          <w:b/>
          <w:sz w:val="32"/>
        </w:rPr>
        <w:t>具体情况如下：</w:t>
      </w:r>
    </w:p>
    <w:p w14:paraId="19F3A0F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8EC0C25">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0767A2F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3E28C7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80CDAC0">
      <w:pPr>
        <w:spacing w:line="640" w:lineRule="exact"/>
        <w:ind w:firstLine="640"/>
        <w:jc w:val="both"/>
        <w:outlineLvl w:val="2"/>
      </w:pPr>
      <w:r>
        <w:rPr>
          <w:rFonts w:ascii="黑体" w:hAnsi="黑体" w:eastAsia="黑体"/>
          <w:sz w:val="32"/>
        </w:rPr>
        <w:t>十、其他重要事项的情况说明</w:t>
      </w:r>
    </w:p>
    <w:p w14:paraId="6A7C8CAF">
      <w:pPr>
        <w:spacing w:line="640" w:lineRule="exact"/>
        <w:ind w:firstLine="640"/>
        <w:jc w:val="both"/>
        <w:outlineLvl w:val="3"/>
      </w:pPr>
      <w:r>
        <w:rPr>
          <w:rFonts w:ascii="楷体_GB2312" w:hAnsi="楷体_GB2312" w:eastAsia="楷体_GB2312"/>
          <w:b/>
          <w:sz w:val="32"/>
        </w:rPr>
        <w:t>（一）机关运行经费及公用经费支出情况</w:t>
      </w:r>
    </w:p>
    <w:p w14:paraId="69AF5680">
      <w:pPr>
        <w:spacing w:line="580" w:lineRule="exact"/>
        <w:ind w:firstLine="640"/>
        <w:jc w:val="both"/>
      </w:pPr>
      <w:r>
        <w:rPr>
          <w:rFonts w:ascii="仿宋_GB2312" w:hAnsi="仿宋_GB2312" w:eastAsia="仿宋_GB2312"/>
          <w:b w:val="0"/>
          <w:sz w:val="32"/>
        </w:rPr>
        <w:t>2024年度霍城县第二中学（事业单位）公用经费支出359.52万元，比上年减少23.99万元，下降6.26%，主要原因是：严格控制公用经费，合理节约办公用品，</w:t>
      </w:r>
      <w:r>
        <w:rPr>
          <w:rFonts w:hint="eastAsia" w:ascii="仿宋_GB2312" w:hAnsi="仿宋_GB2312" w:eastAsia="仿宋_GB2312"/>
          <w:b w:val="0"/>
          <w:sz w:val="32"/>
          <w:lang w:val="en-US" w:eastAsia="zh-CN"/>
        </w:rPr>
        <w:t>减少办公经费</w:t>
      </w:r>
      <w:r>
        <w:rPr>
          <w:rFonts w:ascii="仿宋_GB2312" w:hAnsi="仿宋_GB2312" w:eastAsia="仿宋_GB2312"/>
          <w:b w:val="0"/>
          <w:sz w:val="32"/>
        </w:rPr>
        <w:t>。</w:t>
      </w:r>
    </w:p>
    <w:p w14:paraId="26CFD771">
      <w:pPr>
        <w:spacing w:line="640" w:lineRule="exact"/>
        <w:ind w:firstLine="640"/>
        <w:jc w:val="both"/>
        <w:outlineLvl w:val="3"/>
      </w:pPr>
      <w:r>
        <w:rPr>
          <w:rFonts w:ascii="楷体_GB2312" w:hAnsi="楷体_GB2312" w:eastAsia="楷体_GB2312"/>
          <w:b/>
          <w:sz w:val="32"/>
        </w:rPr>
        <w:t>（二）政府采购情况</w:t>
      </w:r>
    </w:p>
    <w:p w14:paraId="3AA7424B">
      <w:pPr>
        <w:spacing w:line="580" w:lineRule="exact"/>
        <w:ind w:firstLine="640"/>
        <w:jc w:val="both"/>
      </w:pPr>
      <w:r>
        <w:rPr>
          <w:rFonts w:ascii="仿宋_GB2312" w:hAnsi="仿宋_GB2312" w:eastAsia="仿宋_GB2312"/>
          <w:b w:val="0"/>
          <w:sz w:val="32"/>
        </w:rPr>
        <w:t>2024年度政府采购支出总额20.62万元，其中：政府采购货物支出7.62万元、政府采购工程支出13.00万元、政府采购服务支出0.00万元。</w:t>
      </w:r>
    </w:p>
    <w:p w14:paraId="53C5D8F6">
      <w:pPr>
        <w:spacing w:line="580" w:lineRule="exact"/>
        <w:ind w:firstLine="640"/>
        <w:jc w:val="both"/>
      </w:pPr>
      <w:r>
        <w:rPr>
          <w:rFonts w:ascii="仿宋_GB2312" w:hAnsi="仿宋_GB2312" w:eastAsia="仿宋_GB2312"/>
          <w:b w:val="0"/>
          <w:sz w:val="32"/>
        </w:rPr>
        <w:t>授予中小企业合同金额20.62万元，占政府采购支出总额的100.00%，其中：授予小微企业合同金额20.62万元，占政府采购支出总额的100.00%。</w:t>
      </w:r>
    </w:p>
    <w:p w14:paraId="050209FB">
      <w:pPr>
        <w:spacing w:line="640" w:lineRule="exact"/>
        <w:ind w:firstLine="640"/>
        <w:jc w:val="both"/>
        <w:outlineLvl w:val="3"/>
      </w:pPr>
      <w:r>
        <w:rPr>
          <w:rFonts w:ascii="楷体_GB2312" w:hAnsi="楷体_GB2312" w:eastAsia="楷体_GB2312"/>
          <w:b/>
          <w:sz w:val="32"/>
        </w:rPr>
        <w:t>（三）国有资产占用情况说明</w:t>
      </w:r>
    </w:p>
    <w:p w14:paraId="065DC8E0">
      <w:pPr>
        <w:spacing w:line="580" w:lineRule="exact"/>
        <w:ind w:firstLine="640"/>
        <w:jc w:val="both"/>
      </w:pPr>
      <w:r>
        <w:rPr>
          <w:rFonts w:ascii="仿宋_GB2312" w:hAnsi="仿宋_GB2312" w:eastAsia="仿宋_GB2312"/>
          <w:b w:val="0"/>
          <w:sz w:val="32"/>
        </w:rPr>
        <w:t>截至2024年12月31日，房屋30,162.96平方米，价值4,319.33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67A69B99">
      <w:pPr>
        <w:spacing w:line="640" w:lineRule="exact"/>
        <w:ind w:firstLine="640"/>
        <w:jc w:val="both"/>
        <w:outlineLvl w:val="2"/>
      </w:pPr>
      <w:r>
        <w:rPr>
          <w:rFonts w:ascii="黑体" w:hAnsi="黑体" w:eastAsia="黑体"/>
          <w:sz w:val="32"/>
        </w:rPr>
        <w:t>十一、预算绩效的情况说明</w:t>
      </w:r>
    </w:p>
    <w:p w14:paraId="6F42A55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3,257.18万元，实际执行总额3,257.18万元；预算绩效评价项目2个，全年预算数11.00万元，全年执行数11.00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效果。二是严格按照工作职责和相关文件依据，确保专款专用。三是严格控制资金的流出方向，确保资金的合规性。发现的问题及原因：绩效工作组织管理中存在实施事项与年初预算出现偏 差,主要原因是对突发事件预备不足。下一步改进措施：加强财务人员培训,提高财务人员管理效率,保证学校经济活动有效进行,总结经验,充分分析讨论学校各类开支事项的必要性和</w:t>
      </w:r>
      <w:r>
        <w:rPr>
          <w:rFonts w:hint="eastAsia" w:ascii="仿宋_GB2312" w:hAnsi="仿宋_GB2312" w:eastAsia="仿宋_GB2312"/>
          <w:b w:val="0"/>
          <w:sz w:val="32"/>
          <w:lang w:eastAsia="zh-CN"/>
        </w:rPr>
        <w:t>可能性</w:t>
      </w:r>
      <w:r>
        <w:rPr>
          <w:rFonts w:ascii="仿宋_GB2312" w:hAnsi="仿宋_GB2312" w:eastAsia="仿宋_GB2312"/>
          <w:b w:val="0"/>
          <w:sz w:val="32"/>
        </w:rPr>
        <w:t>,力求预算精细精准,定期</w:t>
      </w:r>
      <w:r>
        <w:rPr>
          <w:rFonts w:hint="eastAsia" w:ascii="仿宋_GB2312" w:hAnsi="仿宋_GB2312" w:eastAsia="仿宋_GB2312"/>
          <w:b w:val="0"/>
          <w:sz w:val="32"/>
          <w:lang w:val="en-US" w:eastAsia="zh-CN"/>
        </w:rPr>
        <w:t>公示</w:t>
      </w:r>
      <w:r>
        <w:rPr>
          <w:rFonts w:ascii="仿宋_GB2312" w:hAnsi="仿宋_GB2312" w:eastAsia="仿宋_GB2312"/>
          <w:b w:val="0"/>
          <w:sz w:val="32"/>
        </w:rPr>
        <w:t>,把握预算执行进度,及时解决预算执行中出现的困难和问题。在今后的工作中,我们将加强与财政部门的紧密配合,开展好整体支出及项目资金绩效管理工作,运用好绩效评价的结果,不断提升预算管理水平。具体附整体支出绩效自评表，项目支出绩效自评表和评价报告。</w:t>
      </w:r>
    </w:p>
    <w:p w14:paraId="5B71F516">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597"/>
        <w:gridCol w:w="613"/>
        <w:gridCol w:w="1105"/>
        <w:gridCol w:w="1105"/>
      </w:tblGrid>
      <w:tr w14:paraId="6AF12765">
        <w:tblPrEx>
          <w:tblCellMar>
            <w:top w:w="0" w:type="dxa"/>
            <w:left w:w="108" w:type="dxa"/>
            <w:bottom w:w="0" w:type="dxa"/>
            <w:right w:w="108" w:type="dxa"/>
          </w:tblCellMar>
        </w:tblPrEx>
        <w:tc>
          <w:tcPr>
            <w:tcW w:w="8840" w:type="dxa"/>
            <w:gridSpan w:val="8"/>
            <w:vAlign w:val="center"/>
          </w:tcPr>
          <w:p w14:paraId="690DE188">
            <w:pPr>
              <w:jc w:val="center"/>
            </w:pPr>
            <w:r>
              <w:rPr>
                <w:rFonts w:ascii="宋体" w:hAnsi="宋体" w:eastAsia="宋体"/>
                <w:sz w:val="24"/>
              </w:rPr>
              <w:t>单位整体支出绩效自评表</w:t>
            </w:r>
          </w:p>
        </w:tc>
      </w:tr>
      <w:tr w14:paraId="391A9AB3">
        <w:tblPrEx>
          <w:tblCellMar>
            <w:top w:w="0" w:type="dxa"/>
            <w:left w:w="108" w:type="dxa"/>
            <w:bottom w:w="0" w:type="dxa"/>
            <w:right w:w="108" w:type="dxa"/>
          </w:tblCellMar>
        </w:tblPrEx>
        <w:tc>
          <w:tcPr>
            <w:tcW w:w="8840" w:type="dxa"/>
            <w:gridSpan w:val="8"/>
            <w:vAlign w:val="center"/>
          </w:tcPr>
          <w:p w14:paraId="0A5C0E54">
            <w:pPr>
              <w:jc w:val="center"/>
            </w:pPr>
            <w:r>
              <w:rPr>
                <w:rFonts w:ascii="宋体" w:hAnsi="宋体" w:eastAsia="宋体"/>
                <w:sz w:val="24"/>
              </w:rPr>
              <w:t>（2024年度）</w:t>
            </w:r>
          </w:p>
        </w:tc>
      </w:tr>
      <w:tr w14:paraId="3DE4D0B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4E33D4">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33C0F4">
            <w:pPr>
              <w:jc w:val="center"/>
            </w:pPr>
            <w:r>
              <w:rPr>
                <w:rFonts w:ascii="宋体" w:hAnsi="宋体" w:eastAsia="宋体"/>
                <w:sz w:val="16"/>
              </w:rPr>
              <w:t>霍城县第二中学</w:t>
            </w:r>
          </w:p>
        </w:tc>
      </w:tr>
      <w:tr w14:paraId="3B888D3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B05460">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767BBB">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F337AA">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C570AC">
            <w:pPr>
              <w:jc w:val="center"/>
            </w:pPr>
            <w:r>
              <w:rPr>
                <w:rFonts w:ascii="宋体" w:hAnsi="宋体" w:eastAsia="宋体"/>
                <w:sz w:val="16"/>
              </w:rPr>
              <w:t>全年预算数</w:t>
            </w:r>
          </w:p>
        </w:tc>
        <w:tc>
          <w:tcPr>
            <w:tcW w:w="1597" w:type="dxa"/>
            <w:tcBorders>
              <w:top w:val="single" w:color="auto" w:sz="10" w:space="0"/>
              <w:left w:val="single" w:color="auto" w:sz="10" w:space="0"/>
              <w:bottom w:val="single" w:color="auto" w:sz="10" w:space="0"/>
              <w:right w:val="single" w:color="auto" w:sz="10" w:space="0"/>
              <w:insideV w:val="single" w:sz="10" w:space="0"/>
            </w:tcBorders>
            <w:vAlign w:val="center"/>
          </w:tcPr>
          <w:p w14:paraId="31324AA5">
            <w:pPr>
              <w:jc w:val="center"/>
            </w:pPr>
            <w:r>
              <w:rPr>
                <w:rFonts w:ascii="宋体" w:hAnsi="宋体" w:eastAsia="宋体"/>
                <w:sz w:val="16"/>
              </w:rPr>
              <w:t>全年执行数</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2D625FE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130429">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17EA5C">
            <w:pPr>
              <w:jc w:val="center"/>
            </w:pPr>
            <w:r>
              <w:rPr>
                <w:rFonts w:ascii="宋体" w:hAnsi="宋体" w:eastAsia="宋体"/>
                <w:sz w:val="16"/>
              </w:rPr>
              <w:t>得分</w:t>
            </w:r>
          </w:p>
        </w:tc>
      </w:tr>
      <w:tr w14:paraId="5CFE8C2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415C6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E97D08">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B840A1">
            <w:pPr>
              <w:jc w:val="center"/>
            </w:pPr>
            <w:r>
              <w:rPr>
                <w:rFonts w:ascii="宋体" w:hAnsi="宋体" w:eastAsia="宋体"/>
                <w:sz w:val="16"/>
              </w:rPr>
              <w:t>3,439.66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F51A18">
            <w:pPr>
              <w:jc w:val="center"/>
            </w:pPr>
            <w:r>
              <w:rPr>
                <w:rFonts w:ascii="宋体" w:hAnsi="宋体" w:eastAsia="宋体"/>
                <w:sz w:val="16"/>
              </w:rPr>
              <w:t>3,257.18</w:t>
            </w:r>
          </w:p>
        </w:tc>
        <w:tc>
          <w:tcPr>
            <w:tcW w:w="1597" w:type="dxa"/>
            <w:tcBorders>
              <w:top w:val="single" w:color="auto" w:sz="10" w:space="0"/>
              <w:left w:val="single" w:color="auto" w:sz="10" w:space="0"/>
              <w:bottom w:val="single" w:color="auto" w:sz="10" w:space="0"/>
              <w:right w:val="single" w:color="auto" w:sz="10" w:space="0"/>
              <w:insideV w:val="single" w:sz="10" w:space="0"/>
            </w:tcBorders>
            <w:vAlign w:val="center"/>
          </w:tcPr>
          <w:p w14:paraId="3A243137">
            <w:pPr>
              <w:jc w:val="center"/>
            </w:pPr>
            <w:r>
              <w:rPr>
                <w:rFonts w:ascii="宋体" w:hAnsi="宋体" w:eastAsia="宋体"/>
                <w:sz w:val="16"/>
              </w:rPr>
              <w:t>3,257.18</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4081CDD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444C4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60F925">
            <w:pPr>
              <w:jc w:val="center"/>
            </w:pPr>
            <w:r>
              <w:rPr>
                <w:rFonts w:ascii="宋体" w:hAnsi="宋体" w:eastAsia="宋体"/>
                <w:sz w:val="16"/>
              </w:rPr>
              <w:t>10</w:t>
            </w:r>
          </w:p>
        </w:tc>
      </w:tr>
      <w:tr w14:paraId="10E1C2A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BF40D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4D5F56">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8FBB51">
            <w:pPr>
              <w:jc w:val="center"/>
            </w:pPr>
            <w:r>
              <w:rPr>
                <w:rFonts w:ascii="宋体" w:hAnsi="宋体" w:eastAsia="宋体"/>
                <w:sz w:val="16"/>
              </w:rPr>
              <w:t>363.30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0C5F67">
            <w:pPr>
              <w:jc w:val="center"/>
            </w:pPr>
            <w:r>
              <w:rPr>
                <w:rFonts w:ascii="宋体" w:hAnsi="宋体" w:eastAsia="宋体"/>
                <w:sz w:val="16"/>
              </w:rPr>
              <w:t>278.20</w:t>
            </w:r>
          </w:p>
        </w:tc>
        <w:tc>
          <w:tcPr>
            <w:tcW w:w="1597" w:type="dxa"/>
            <w:tcBorders>
              <w:top w:val="single" w:color="auto" w:sz="10" w:space="0"/>
              <w:left w:val="single" w:color="auto" w:sz="10" w:space="0"/>
              <w:bottom w:val="single" w:color="auto" w:sz="10" w:space="0"/>
              <w:right w:val="single" w:color="auto" w:sz="10" w:space="0"/>
              <w:insideV w:val="single" w:sz="10" w:space="0"/>
            </w:tcBorders>
            <w:vAlign w:val="center"/>
          </w:tcPr>
          <w:p w14:paraId="2D03F75B">
            <w:pPr>
              <w:jc w:val="center"/>
            </w:pPr>
            <w:r>
              <w:rPr>
                <w:rFonts w:ascii="宋体" w:hAnsi="宋体" w:eastAsia="宋体"/>
                <w:sz w:val="16"/>
              </w:rPr>
              <w:t>278.20</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12DBF14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F23BE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D53C17">
            <w:pPr>
              <w:jc w:val="center"/>
            </w:pPr>
            <w:r>
              <w:rPr>
                <w:rFonts w:ascii="宋体" w:hAnsi="宋体" w:eastAsia="宋体"/>
                <w:sz w:val="16"/>
              </w:rPr>
              <w:t>-</w:t>
            </w:r>
          </w:p>
        </w:tc>
      </w:tr>
      <w:tr w14:paraId="32582CB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9E9F3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C64E5A">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9B1D23">
            <w:pPr>
              <w:jc w:val="center"/>
            </w:pPr>
            <w:r>
              <w:rPr>
                <w:rFonts w:ascii="宋体" w:hAnsi="宋体" w:eastAsia="宋体"/>
                <w:sz w:val="16"/>
              </w:rPr>
              <w:t>3,076.36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1F1244">
            <w:pPr>
              <w:jc w:val="center"/>
            </w:pPr>
            <w:r>
              <w:rPr>
                <w:rFonts w:ascii="宋体" w:hAnsi="宋体" w:eastAsia="宋体"/>
                <w:sz w:val="16"/>
              </w:rPr>
              <w:t>2,978.98</w:t>
            </w:r>
          </w:p>
        </w:tc>
        <w:tc>
          <w:tcPr>
            <w:tcW w:w="1597" w:type="dxa"/>
            <w:tcBorders>
              <w:top w:val="single" w:color="auto" w:sz="10" w:space="0"/>
              <w:left w:val="single" w:color="auto" w:sz="10" w:space="0"/>
              <w:bottom w:val="single" w:color="auto" w:sz="10" w:space="0"/>
              <w:right w:val="single" w:color="auto" w:sz="10" w:space="0"/>
              <w:insideV w:val="single" w:sz="10" w:space="0"/>
            </w:tcBorders>
            <w:vAlign w:val="center"/>
          </w:tcPr>
          <w:p w14:paraId="17A08A0E">
            <w:pPr>
              <w:jc w:val="center"/>
            </w:pPr>
            <w:r>
              <w:rPr>
                <w:rFonts w:ascii="宋体" w:hAnsi="宋体" w:eastAsia="宋体"/>
                <w:sz w:val="16"/>
              </w:rPr>
              <w:t>2,978.98</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2872865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7F118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42113B">
            <w:pPr>
              <w:jc w:val="center"/>
            </w:pPr>
            <w:r>
              <w:rPr>
                <w:rFonts w:ascii="宋体" w:hAnsi="宋体" w:eastAsia="宋体"/>
                <w:sz w:val="16"/>
              </w:rPr>
              <w:t>-</w:t>
            </w:r>
          </w:p>
        </w:tc>
      </w:tr>
      <w:tr w14:paraId="0792D09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F8E5F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A8D2F1">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51998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3D0613">
            <w:pPr>
              <w:jc w:val="center"/>
            </w:pPr>
            <w:r>
              <w:rPr>
                <w:rFonts w:ascii="宋体" w:hAnsi="宋体" w:eastAsia="宋体"/>
                <w:sz w:val="16"/>
              </w:rPr>
              <w:t>0.00</w:t>
            </w:r>
          </w:p>
        </w:tc>
        <w:tc>
          <w:tcPr>
            <w:tcW w:w="1597" w:type="dxa"/>
            <w:tcBorders>
              <w:top w:val="single" w:color="auto" w:sz="10" w:space="0"/>
              <w:left w:val="single" w:color="auto" w:sz="10" w:space="0"/>
              <w:bottom w:val="single" w:color="auto" w:sz="10" w:space="0"/>
              <w:right w:val="single" w:color="auto" w:sz="10" w:space="0"/>
              <w:insideV w:val="single" w:sz="10" w:space="0"/>
            </w:tcBorders>
            <w:vAlign w:val="center"/>
          </w:tcPr>
          <w:p w14:paraId="353025C3">
            <w:pPr>
              <w:jc w:val="center"/>
            </w:pPr>
            <w:r>
              <w:rPr>
                <w:rFonts w:ascii="宋体" w:hAnsi="宋体" w:eastAsia="宋体"/>
                <w:sz w:val="16"/>
              </w:rPr>
              <w:t>0.00</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0E961C5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536CC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226850">
            <w:pPr>
              <w:jc w:val="center"/>
            </w:pPr>
            <w:r>
              <w:rPr>
                <w:rFonts w:ascii="宋体" w:hAnsi="宋体" w:eastAsia="宋体"/>
                <w:sz w:val="16"/>
              </w:rPr>
              <w:t>-</w:t>
            </w:r>
          </w:p>
        </w:tc>
      </w:tr>
      <w:tr w14:paraId="6AA6F55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E46419">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E2AF335">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5A195AF">
            <w:pPr>
              <w:jc w:val="center"/>
            </w:pPr>
            <w:r>
              <w:rPr>
                <w:rFonts w:ascii="宋体" w:hAnsi="宋体" w:eastAsia="宋体"/>
                <w:sz w:val="16"/>
              </w:rPr>
              <w:t>实际完成情况</w:t>
            </w:r>
          </w:p>
        </w:tc>
      </w:tr>
      <w:tr w14:paraId="4142E7A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C005A9"/>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29B629E">
            <w:pPr>
              <w:jc w:val="both"/>
            </w:pPr>
            <w:r>
              <w:rPr>
                <w:rFonts w:ascii="宋体" w:hAnsi="宋体" w:eastAsia="宋体"/>
                <w:sz w:val="16"/>
              </w:rPr>
              <w:t>树立以人为本意识，抓好两支队伍建设落实民主集中制，建设廉洁、高效、团结的领导班子，为学校发展贡献力量。加强教育教学管理，提高课堂教学效率，提升学科教研活动的教研深度和广度，丰富教研活动的形式，建设一支高素质的师资队伍，为学校可持续发展奠定基础，巩固、提高教学质量,建立“教研能力提升—改善教学行为—提升教学成绩—反馈、教研能力再提升”的闭合回路教研能力的成长模式,加强学校的指导服务，积极推动高中学校多样化发展，促进学校提升办学质量和办学水平，对学生进行安全防范和环保宣传教育课,满足学生个性化发展，提高育人水平。</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D0F5E83">
            <w:pPr>
              <w:jc w:val="both"/>
            </w:pPr>
            <w:r>
              <w:rPr>
                <w:rFonts w:ascii="宋体" w:hAnsi="宋体" w:eastAsia="宋体"/>
                <w:sz w:val="16"/>
              </w:rPr>
              <w:t>我校围绕教学质量提升、师资队伍建设、学生全面发展等核心维度设定绩效目标：1、严格按照要求落实了在职、县聘教师、校医等人员工资正常发放，按时缴纳社保经费、住房公积金，保障所有人员生产生活正常有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2、较好地完成年初制定的教学和教研工作目标，实施高中学历教育，促进基础教育发展，高中学历教育。</w:t>
            </w:r>
          </w:p>
        </w:tc>
      </w:tr>
      <w:tr w14:paraId="3CA1DAA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D28284">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B045D6">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690C23">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32D5F1">
            <w:pPr>
              <w:jc w:val="center"/>
            </w:pPr>
            <w:r>
              <w:rPr>
                <w:rFonts w:ascii="宋体" w:hAnsi="宋体" w:eastAsia="宋体"/>
                <w:sz w:val="16"/>
              </w:rPr>
              <w:t>预期指标值</w:t>
            </w:r>
          </w:p>
        </w:tc>
        <w:tc>
          <w:tcPr>
            <w:tcW w:w="1597" w:type="dxa"/>
            <w:tcBorders>
              <w:top w:val="single" w:color="auto" w:sz="10" w:space="0"/>
              <w:left w:val="single" w:color="auto" w:sz="10" w:space="0"/>
              <w:bottom w:val="single" w:color="auto" w:sz="10" w:space="0"/>
              <w:right w:val="single" w:color="auto" w:sz="10" w:space="0"/>
              <w:insideV w:val="single" w:sz="10" w:space="0"/>
            </w:tcBorders>
            <w:vAlign w:val="center"/>
          </w:tcPr>
          <w:p w14:paraId="72763A98">
            <w:pPr>
              <w:jc w:val="center"/>
            </w:pPr>
            <w:r>
              <w:rPr>
                <w:rFonts w:ascii="宋体" w:hAnsi="宋体" w:eastAsia="宋体"/>
                <w:sz w:val="16"/>
              </w:rPr>
              <w:t>指标值设定依据</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1C447EB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120A87">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43A8AD">
            <w:pPr>
              <w:jc w:val="center"/>
            </w:pPr>
            <w:r>
              <w:rPr>
                <w:rFonts w:ascii="宋体" w:hAnsi="宋体" w:eastAsia="宋体"/>
                <w:sz w:val="16"/>
              </w:rPr>
              <w:t>得分</w:t>
            </w:r>
          </w:p>
        </w:tc>
      </w:tr>
      <w:tr w14:paraId="2EF5841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03ACDE">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55460E">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8A746B">
            <w:pPr>
              <w:jc w:val="center"/>
            </w:pPr>
            <w:r>
              <w:rPr>
                <w:rFonts w:ascii="宋体" w:hAnsi="宋体" w:eastAsia="宋体"/>
                <w:sz w:val="16"/>
              </w:rPr>
              <w:t>教材考试合格率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0D6C98">
            <w:pPr>
              <w:jc w:val="center"/>
            </w:pPr>
            <w:r>
              <w:rPr>
                <w:rFonts w:ascii="宋体" w:hAnsi="宋体" w:eastAsia="宋体"/>
                <w:sz w:val="16"/>
              </w:rPr>
              <w:t>&gt;=90人</w:t>
            </w:r>
          </w:p>
        </w:tc>
        <w:tc>
          <w:tcPr>
            <w:tcW w:w="1597" w:type="dxa"/>
            <w:tcBorders>
              <w:top w:val="single" w:color="auto" w:sz="10" w:space="0"/>
              <w:left w:val="single" w:color="auto" w:sz="10" w:space="0"/>
              <w:bottom w:val="single" w:color="auto" w:sz="10" w:space="0"/>
              <w:right w:val="single" w:color="auto" w:sz="10" w:space="0"/>
              <w:insideV w:val="single" w:sz="10" w:space="0"/>
            </w:tcBorders>
            <w:vAlign w:val="center"/>
          </w:tcPr>
          <w:p w14:paraId="05D4B066">
            <w:pPr>
              <w:jc w:val="center"/>
            </w:pPr>
            <w:r>
              <w:rPr>
                <w:rFonts w:ascii="宋体" w:hAnsi="宋体" w:eastAsia="宋体"/>
                <w:sz w:val="16"/>
              </w:rPr>
              <w:t>霍城县第二中学2023-2024学年第二学期学校工作计划</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227629CC">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933450">
            <w:pPr>
              <w:jc w:val="center"/>
            </w:pPr>
            <w:r>
              <w:rPr>
                <w:rFonts w:ascii="宋体" w:hAnsi="宋体" w:eastAsia="宋体"/>
                <w:sz w:val="16"/>
              </w:rPr>
              <w:t>160人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A3B49A">
            <w:pPr>
              <w:jc w:val="center"/>
            </w:pPr>
            <w:r>
              <w:rPr>
                <w:rFonts w:ascii="宋体" w:hAnsi="宋体" w:eastAsia="宋体"/>
                <w:sz w:val="16"/>
              </w:rPr>
              <w:t>30</w:t>
            </w:r>
          </w:p>
        </w:tc>
      </w:tr>
      <w:tr w14:paraId="49684AC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56C03F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BA8A5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686A47">
            <w:pPr>
              <w:jc w:val="center"/>
            </w:pPr>
            <w:r>
              <w:rPr>
                <w:rFonts w:ascii="宋体" w:hAnsi="宋体" w:eastAsia="宋体"/>
                <w:sz w:val="16"/>
              </w:rPr>
              <w:t>高考上线率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863699">
            <w:pPr>
              <w:jc w:val="center"/>
            </w:pPr>
            <w:r>
              <w:rPr>
                <w:rFonts w:ascii="宋体" w:hAnsi="宋体" w:eastAsia="宋体"/>
                <w:sz w:val="16"/>
              </w:rPr>
              <w:t>&gt;=92%</w:t>
            </w:r>
          </w:p>
        </w:tc>
        <w:tc>
          <w:tcPr>
            <w:tcW w:w="1597" w:type="dxa"/>
            <w:tcBorders>
              <w:top w:val="single" w:color="auto" w:sz="10" w:space="0"/>
              <w:left w:val="single" w:color="auto" w:sz="10" w:space="0"/>
              <w:bottom w:val="single" w:color="auto" w:sz="10" w:space="0"/>
              <w:right w:val="single" w:color="auto" w:sz="10" w:space="0"/>
              <w:insideV w:val="single" w:sz="10" w:space="0"/>
            </w:tcBorders>
            <w:vAlign w:val="center"/>
          </w:tcPr>
          <w:p w14:paraId="37AFB64F">
            <w:pPr>
              <w:jc w:val="center"/>
            </w:pPr>
            <w:r>
              <w:rPr>
                <w:rFonts w:ascii="宋体" w:hAnsi="宋体" w:eastAsia="宋体"/>
                <w:sz w:val="16"/>
              </w:rPr>
              <w:t>霍城县第二中学2023-2024学年第二学期学校工作计划</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089765BA">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861E97">
            <w:pPr>
              <w:jc w:val="center"/>
            </w:pPr>
            <w:r>
              <w:rPr>
                <w:rFonts w:ascii="宋体" w:hAnsi="宋体" w:eastAsia="宋体"/>
                <w:sz w:val="16"/>
              </w:rPr>
              <w:t>99.84%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6CA1FE">
            <w:pPr>
              <w:jc w:val="center"/>
            </w:pPr>
            <w:r>
              <w:rPr>
                <w:rFonts w:ascii="宋体" w:hAnsi="宋体" w:eastAsia="宋体"/>
                <w:sz w:val="16"/>
              </w:rPr>
              <w:t>30</w:t>
            </w:r>
          </w:p>
        </w:tc>
      </w:tr>
      <w:tr w14:paraId="6F2B1A3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9F47F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52A0E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B6FE16">
            <w:pPr>
              <w:jc w:val="center"/>
            </w:pPr>
            <w:r>
              <w:rPr>
                <w:rFonts w:ascii="宋体" w:hAnsi="宋体" w:eastAsia="宋体"/>
                <w:sz w:val="16"/>
              </w:rPr>
              <w:t>学业水平测试过关率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1FBD1B">
            <w:pPr>
              <w:jc w:val="center"/>
            </w:pPr>
            <w:r>
              <w:rPr>
                <w:rFonts w:ascii="宋体" w:hAnsi="宋体" w:eastAsia="宋体"/>
                <w:sz w:val="16"/>
              </w:rPr>
              <w:t>&gt;=72%</w:t>
            </w:r>
          </w:p>
        </w:tc>
        <w:tc>
          <w:tcPr>
            <w:tcW w:w="1597" w:type="dxa"/>
            <w:tcBorders>
              <w:top w:val="single" w:color="auto" w:sz="10" w:space="0"/>
              <w:left w:val="single" w:color="auto" w:sz="10" w:space="0"/>
              <w:bottom w:val="single" w:color="auto" w:sz="10" w:space="0"/>
              <w:right w:val="single" w:color="auto" w:sz="10" w:space="0"/>
              <w:insideV w:val="single" w:sz="10" w:space="0"/>
            </w:tcBorders>
            <w:vAlign w:val="center"/>
          </w:tcPr>
          <w:p w14:paraId="3A7FA321">
            <w:pPr>
              <w:jc w:val="center"/>
            </w:pPr>
            <w:r>
              <w:rPr>
                <w:rFonts w:ascii="宋体" w:hAnsi="宋体" w:eastAsia="宋体"/>
                <w:sz w:val="16"/>
              </w:rPr>
              <w:t>霍城县第二中学2023-2024学年第二学期学校工作计划</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5AAEE82A">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9ED8B7">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8BA676">
            <w:pPr>
              <w:jc w:val="center"/>
            </w:pPr>
            <w:r>
              <w:rPr>
                <w:rFonts w:ascii="宋体" w:hAnsi="宋体" w:eastAsia="宋体"/>
                <w:sz w:val="16"/>
              </w:rPr>
              <w:t>30</w:t>
            </w:r>
          </w:p>
        </w:tc>
      </w:tr>
    </w:tbl>
    <w:p w14:paraId="7F082DE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776"/>
        <w:gridCol w:w="632"/>
        <w:gridCol w:w="632"/>
        <w:gridCol w:w="632"/>
        <w:gridCol w:w="632"/>
        <w:gridCol w:w="632"/>
        <w:gridCol w:w="632"/>
        <w:gridCol w:w="632"/>
        <w:gridCol w:w="632"/>
      </w:tblGrid>
      <w:tr w14:paraId="190A2B29">
        <w:tblPrEx>
          <w:tblCellMar>
            <w:top w:w="0" w:type="dxa"/>
            <w:left w:w="108" w:type="dxa"/>
            <w:bottom w:w="0" w:type="dxa"/>
            <w:right w:w="108" w:type="dxa"/>
          </w:tblCellMar>
        </w:tblPrEx>
        <w:tc>
          <w:tcPr>
            <w:tcW w:w="8848" w:type="dxa"/>
            <w:gridSpan w:val="14"/>
            <w:vAlign w:val="center"/>
          </w:tcPr>
          <w:p w14:paraId="34197D18">
            <w:pPr>
              <w:jc w:val="center"/>
            </w:pPr>
            <w:r>
              <w:rPr>
                <w:rFonts w:ascii="宋体" w:hAnsi="宋体" w:eastAsia="宋体"/>
                <w:sz w:val="24"/>
              </w:rPr>
              <w:t>项目支出绩效自评表</w:t>
            </w:r>
          </w:p>
        </w:tc>
      </w:tr>
      <w:tr w14:paraId="0DB0E8A7">
        <w:tblPrEx>
          <w:tblCellMar>
            <w:top w:w="0" w:type="dxa"/>
            <w:left w:w="108" w:type="dxa"/>
            <w:bottom w:w="0" w:type="dxa"/>
            <w:right w:w="108" w:type="dxa"/>
          </w:tblCellMar>
        </w:tblPrEx>
        <w:tc>
          <w:tcPr>
            <w:tcW w:w="8848" w:type="dxa"/>
            <w:gridSpan w:val="14"/>
            <w:vAlign w:val="center"/>
          </w:tcPr>
          <w:p w14:paraId="6B6B6DA0">
            <w:pPr>
              <w:jc w:val="center"/>
            </w:pPr>
            <w:r>
              <w:rPr>
                <w:rFonts w:ascii="宋体" w:hAnsi="宋体" w:eastAsia="宋体"/>
                <w:sz w:val="24"/>
              </w:rPr>
              <w:t>(2024年度)</w:t>
            </w:r>
          </w:p>
        </w:tc>
      </w:tr>
      <w:tr w14:paraId="582B6A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374B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05DE52B">
            <w:pPr>
              <w:jc w:val="center"/>
            </w:pPr>
            <w:r>
              <w:rPr>
                <w:rFonts w:ascii="宋体" w:hAnsi="宋体" w:eastAsia="宋体"/>
                <w:sz w:val="16"/>
              </w:rPr>
              <w:t>天山英才培养计划</w:t>
            </w:r>
          </w:p>
        </w:tc>
      </w:tr>
      <w:tr w14:paraId="334B961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D339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6482C0">
            <w:pPr>
              <w:jc w:val="center"/>
            </w:pPr>
            <w:r>
              <w:rPr>
                <w:rFonts w:ascii="宋体" w:hAnsi="宋体" w:eastAsia="宋体"/>
                <w:sz w:val="16"/>
              </w:rPr>
              <w:t>霍城县第二中学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3A9A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E746E5">
            <w:pPr>
              <w:jc w:val="center"/>
            </w:pPr>
            <w:r>
              <w:rPr>
                <w:rFonts w:ascii="宋体" w:hAnsi="宋体" w:eastAsia="宋体"/>
                <w:sz w:val="16"/>
              </w:rPr>
              <w:t>霍城县第二中学</w:t>
            </w:r>
          </w:p>
        </w:tc>
      </w:tr>
      <w:tr w14:paraId="56B18F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C85EDF">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5AF3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A33B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6DF8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6EF6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C56D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83D8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A98EA">
            <w:pPr>
              <w:jc w:val="center"/>
            </w:pPr>
            <w:r>
              <w:rPr>
                <w:rFonts w:ascii="宋体" w:hAnsi="宋体" w:eastAsia="宋体"/>
                <w:sz w:val="16"/>
              </w:rPr>
              <w:t>得分</w:t>
            </w:r>
          </w:p>
        </w:tc>
      </w:tr>
      <w:tr w14:paraId="2BB56A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DBF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97C8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63A12">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A81DF">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814FF">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64D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0D0C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7591E">
            <w:pPr>
              <w:jc w:val="center"/>
            </w:pPr>
            <w:r>
              <w:rPr>
                <w:rFonts w:ascii="宋体" w:hAnsi="宋体" w:eastAsia="宋体"/>
                <w:sz w:val="16"/>
              </w:rPr>
              <w:t>10.00</w:t>
            </w:r>
          </w:p>
        </w:tc>
      </w:tr>
      <w:tr w14:paraId="172351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1084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0AE8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86D8B">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F2EBC">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0C7D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112D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752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54DC2">
            <w:pPr>
              <w:jc w:val="center"/>
            </w:pPr>
            <w:r>
              <w:rPr>
                <w:rFonts w:ascii="宋体" w:hAnsi="宋体" w:eastAsia="宋体"/>
                <w:sz w:val="16"/>
              </w:rPr>
              <w:t>—</w:t>
            </w:r>
          </w:p>
        </w:tc>
      </w:tr>
      <w:tr w14:paraId="7C2175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883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CEF2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B57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D8B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332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0124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562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E728C">
            <w:pPr>
              <w:jc w:val="center"/>
            </w:pPr>
            <w:r>
              <w:rPr>
                <w:rFonts w:ascii="宋体" w:hAnsi="宋体" w:eastAsia="宋体"/>
                <w:sz w:val="16"/>
              </w:rPr>
              <w:t>—</w:t>
            </w:r>
          </w:p>
        </w:tc>
      </w:tr>
      <w:tr w14:paraId="3BC4367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8153B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310CD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B2A5C7">
            <w:pPr>
              <w:jc w:val="center"/>
            </w:pPr>
            <w:r>
              <w:rPr>
                <w:rFonts w:ascii="宋体" w:hAnsi="宋体" w:eastAsia="宋体"/>
                <w:sz w:val="16"/>
              </w:rPr>
              <w:t>实际完成情况</w:t>
            </w:r>
          </w:p>
        </w:tc>
      </w:tr>
      <w:tr w14:paraId="7C2DD8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3311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CE9C74">
            <w:pPr>
              <w:jc w:val="both"/>
            </w:pPr>
            <w:r>
              <w:rPr>
                <w:rFonts w:ascii="宋体" w:hAnsi="宋体" w:eastAsia="宋体"/>
                <w:sz w:val="16"/>
              </w:rPr>
              <w:t>通过文件精神要求培养一批教育教学名师。按照上级文件精神，按需使用专项资金，保证此项目按计划实施。根据伊州财行</w:t>
            </w:r>
            <w:r>
              <w:rPr>
                <w:rFonts w:hint="eastAsia" w:ascii="宋体" w:hAnsi="宋体"/>
                <w:sz w:val="16"/>
                <w:lang w:eastAsia="zh-CN"/>
              </w:rPr>
              <w:t>〔2024〕3号</w:t>
            </w:r>
            <w:r>
              <w:rPr>
                <w:rFonts w:ascii="宋体" w:hAnsi="宋体" w:eastAsia="宋体"/>
                <w:sz w:val="16"/>
              </w:rPr>
              <w:t>文件精神，拨付新疆人才发展基金2024年度第一轮支持资金为了改善受援学校办学教育管理水平，进一步提高乡村教师队伍素质，切实推进霍城县基础教育事业发展。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2FEFFC">
            <w:pPr>
              <w:jc w:val="both"/>
            </w:pPr>
            <w:r>
              <w:rPr>
                <w:rFonts w:ascii="宋体" w:hAnsi="宋体" w:eastAsia="宋体"/>
                <w:sz w:val="16"/>
              </w:rPr>
              <w:br w:type="textWrapping"/>
            </w:r>
            <w:r>
              <w:rPr>
                <w:rFonts w:hint="eastAsia" w:ascii="宋体" w:hAnsi="宋体"/>
                <w:sz w:val="16"/>
                <w:lang w:eastAsia="zh-CN"/>
              </w:rPr>
              <w:t>截至</w:t>
            </w:r>
            <w:r>
              <w:rPr>
                <w:rFonts w:ascii="宋体" w:hAnsi="宋体" w:eastAsia="宋体"/>
                <w:sz w:val="16"/>
              </w:rPr>
              <w:t>2024年底开展了工作室的组建，器材、设备设施、图书资料购置，开展了教师理论学习和教育理论的提升工作，结合项目内容，组织开展了专题课堂教学研究研讨活动，以及其他常规项目活动。聘请授课专家4名，培训4次，从而提高了地区教育教学管理水平。</w:t>
            </w:r>
          </w:p>
        </w:tc>
      </w:tr>
      <w:tr w14:paraId="48D2D8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99600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9616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EB90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FB28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524C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4C412">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BFFC1">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5305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6DA12">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2A1C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31B7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1624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B4EC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01BC9">
            <w:pPr>
              <w:jc w:val="center"/>
            </w:pPr>
            <w:r>
              <w:rPr>
                <w:rFonts w:ascii="宋体" w:hAnsi="宋体" w:eastAsia="宋体"/>
                <w:sz w:val="16"/>
              </w:rPr>
              <w:t>偏差原因分析及改进措施</w:t>
            </w:r>
          </w:p>
        </w:tc>
      </w:tr>
      <w:tr w14:paraId="268024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EEF6C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45D28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D18DD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5B956">
            <w:pPr>
              <w:jc w:val="center"/>
            </w:pPr>
            <w:r>
              <w:rPr>
                <w:rFonts w:ascii="宋体" w:hAnsi="宋体" w:eastAsia="宋体"/>
                <w:sz w:val="16"/>
              </w:rPr>
              <w:t>购置实验器材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BF6F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E3463">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D3444">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061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126B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185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6BC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86C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E2E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AE774">
            <w:pPr>
              <w:jc w:val="center"/>
            </w:pPr>
          </w:p>
        </w:tc>
      </w:tr>
      <w:tr w14:paraId="0B5DAD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4B7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47F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571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C54D5">
            <w:pPr>
              <w:jc w:val="center"/>
            </w:pPr>
            <w:r>
              <w:rPr>
                <w:rFonts w:ascii="宋体" w:hAnsi="宋体" w:eastAsia="宋体"/>
                <w:sz w:val="16"/>
              </w:rPr>
              <w:t>聘请专家人数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B5FE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A4DF5">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D4EBD">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23C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1589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3BF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662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CD0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1B8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A7CC5">
            <w:pPr>
              <w:jc w:val="center"/>
            </w:pPr>
          </w:p>
        </w:tc>
      </w:tr>
      <w:tr w14:paraId="394070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C49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EF92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316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5E72A">
            <w:pPr>
              <w:jc w:val="center"/>
            </w:pPr>
            <w:r>
              <w:rPr>
                <w:rFonts w:ascii="宋体" w:hAnsi="宋体" w:eastAsia="宋体"/>
                <w:sz w:val="16"/>
              </w:rPr>
              <w:t>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8221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AF9B5">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98E80">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0AC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C524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DDE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B90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684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7C6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CBFDA">
            <w:pPr>
              <w:jc w:val="center"/>
            </w:pPr>
          </w:p>
        </w:tc>
      </w:tr>
      <w:tr w14:paraId="16E9E2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1D55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9C1C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310C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15A19">
            <w:pPr>
              <w:jc w:val="center"/>
            </w:pPr>
            <w:r>
              <w:rPr>
                <w:rFonts w:ascii="宋体" w:hAnsi="宋体" w:eastAsia="宋体"/>
                <w:sz w:val="16"/>
              </w:rPr>
              <w:t>生活补助人数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B716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4303E">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F2E53">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509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2BF4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D4C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4D8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1BA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E34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66B51">
            <w:pPr>
              <w:jc w:val="center"/>
            </w:pPr>
          </w:p>
        </w:tc>
      </w:tr>
      <w:tr w14:paraId="17B98A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224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2473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4E0C2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38238">
            <w:pPr>
              <w:jc w:val="center"/>
            </w:pPr>
            <w:r>
              <w:rPr>
                <w:rFonts w:ascii="宋体" w:hAnsi="宋体" w:eastAsia="宋体"/>
                <w:sz w:val="16"/>
              </w:rPr>
              <w:t>购置实验器材验收合格率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FDD1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D1A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526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A8E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1786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9C8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14A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250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BC7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10762">
            <w:pPr>
              <w:jc w:val="center"/>
            </w:pPr>
          </w:p>
        </w:tc>
      </w:tr>
      <w:tr w14:paraId="6A5CF9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4FCE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FCFA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4116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67A3A">
            <w:pPr>
              <w:jc w:val="center"/>
            </w:pPr>
            <w:r>
              <w:rPr>
                <w:rFonts w:ascii="宋体" w:hAnsi="宋体" w:eastAsia="宋体"/>
                <w:sz w:val="16"/>
              </w:rPr>
              <w:t>实验器材质量合格率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E391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F12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9AF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C13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E3DB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175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7B9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9E7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B44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2AC7B">
            <w:pPr>
              <w:jc w:val="center"/>
            </w:pPr>
          </w:p>
        </w:tc>
      </w:tr>
      <w:tr w14:paraId="5B6C5E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966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86BD2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EA01F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DC3B3">
            <w:pPr>
              <w:jc w:val="center"/>
            </w:pPr>
            <w:r>
              <w:rPr>
                <w:rFonts w:ascii="宋体" w:hAnsi="宋体" w:eastAsia="宋体"/>
                <w:sz w:val="16"/>
              </w:rPr>
              <w:t>培训完成率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9A01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D3B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A8D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FC1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BF21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6CA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C35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8A6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CCB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5A095">
            <w:pPr>
              <w:jc w:val="center"/>
            </w:pPr>
          </w:p>
        </w:tc>
      </w:tr>
      <w:tr w14:paraId="330DE6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7DC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8E7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FDBB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1EDB8">
            <w:pPr>
              <w:jc w:val="center"/>
            </w:pPr>
            <w:r>
              <w:rPr>
                <w:rFonts w:ascii="宋体" w:hAnsi="宋体" w:eastAsia="宋体"/>
                <w:sz w:val="16"/>
              </w:rPr>
              <w:t>购买实验器材完成时间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5A38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1D980">
            <w:pPr>
              <w:jc w:val="center"/>
            </w:pPr>
            <w:r>
              <w:rPr>
                <w:rFonts w:ascii="宋体" w:hAnsi="宋体" w:eastAsia="宋体"/>
                <w:sz w:val="16"/>
              </w:rPr>
              <w:t>2024年11月25日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9FE04">
            <w:pPr>
              <w:jc w:val="center"/>
            </w:pPr>
            <w:r>
              <w:rPr>
                <w:rFonts w:ascii="宋体" w:hAnsi="宋体" w:eastAsia="宋体"/>
                <w:sz w:val="16"/>
              </w:rPr>
              <w:t>2024年11月25日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FFF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B9BC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0CE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9B0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E20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57D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9B819">
            <w:pPr>
              <w:jc w:val="center"/>
            </w:pPr>
          </w:p>
        </w:tc>
      </w:tr>
      <w:tr w14:paraId="648393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704D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FA7D1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A5FF2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5AB7F">
            <w:pPr>
              <w:jc w:val="center"/>
            </w:pPr>
            <w:r>
              <w:rPr>
                <w:rFonts w:ascii="宋体" w:hAnsi="宋体" w:eastAsia="宋体"/>
                <w:sz w:val="16"/>
              </w:rPr>
              <w:t>聘请专家授课费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0F2E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3ED42">
            <w:pPr>
              <w:jc w:val="center"/>
            </w:pPr>
            <w:r>
              <w:rPr>
                <w:rFonts w:ascii="宋体" w:hAnsi="宋体" w:eastAsia="宋体"/>
                <w:sz w:val="16"/>
              </w:rPr>
              <w:t>&lt;=10000元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04F7C">
            <w:pPr>
              <w:jc w:val="center"/>
            </w:pPr>
            <w:r>
              <w:rPr>
                <w:rFonts w:ascii="宋体" w:hAnsi="宋体" w:eastAsia="宋体"/>
                <w:sz w:val="16"/>
              </w:rPr>
              <w:t>10000元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719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ADB1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764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9F3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934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C86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F7D4B">
            <w:pPr>
              <w:jc w:val="center"/>
            </w:pPr>
          </w:p>
        </w:tc>
      </w:tr>
      <w:tr w14:paraId="6A609F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697D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70B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B1A6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A70FF">
            <w:pPr>
              <w:jc w:val="center"/>
            </w:pPr>
            <w:r>
              <w:rPr>
                <w:rFonts w:ascii="宋体" w:hAnsi="宋体" w:eastAsia="宋体"/>
                <w:sz w:val="16"/>
              </w:rPr>
              <w:t>培训费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BBD7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46CBB">
            <w:pPr>
              <w:jc w:val="center"/>
            </w:pPr>
            <w:r>
              <w:rPr>
                <w:rFonts w:ascii="宋体" w:hAnsi="宋体" w:eastAsia="宋体"/>
                <w:sz w:val="16"/>
              </w:rPr>
              <w:t>&lt;=10000元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F68D1">
            <w:pPr>
              <w:jc w:val="center"/>
            </w:pPr>
            <w:r>
              <w:rPr>
                <w:rFonts w:ascii="宋体" w:hAnsi="宋体" w:eastAsia="宋体"/>
                <w:sz w:val="16"/>
              </w:rPr>
              <w:t>10000元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187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C8FF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980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02E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DA4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2CE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64554">
            <w:pPr>
              <w:jc w:val="center"/>
            </w:pPr>
          </w:p>
        </w:tc>
      </w:tr>
      <w:tr w14:paraId="3A10C2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E0D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15D7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DF9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B11AC">
            <w:pPr>
              <w:jc w:val="center"/>
            </w:pPr>
            <w:r>
              <w:rPr>
                <w:rFonts w:ascii="宋体" w:hAnsi="宋体" w:eastAsia="宋体"/>
                <w:sz w:val="16"/>
              </w:rPr>
              <w:t>生活补助费用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7161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901C3">
            <w:pPr>
              <w:jc w:val="center"/>
            </w:pPr>
            <w:r>
              <w:rPr>
                <w:rFonts w:ascii="宋体" w:hAnsi="宋体" w:eastAsia="宋体"/>
                <w:sz w:val="16"/>
              </w:rPr>
              <w:t>&lt;=30000元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55252">
            <w:pPr>
              <w:jc w:val="center"/>
            </w:pPr>
            <w:r>
              <w:rPr>
                <w:rFonts w:ascii="宋体" w:hAnsi="宋体" w:eastAsia="宋体"/>
                <w:sz w:val="16"/>
              </w:rPr>
              <w:t>30000元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C70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FF18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B82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9F6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B6D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0501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0D4B5">
            <w:pPr>
              <w:jc w:val="center"/>
            </w:pPr>
          </w:p>
        </w:tc>
      </w:tr>
      <w:tr w14:paraId="3FEFE0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AB5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952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2AD1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14AFF">
            <w:pPr>
              <w:jc w:val="center"/>
            </w:pPr>
            <w:r>
              <w:rPr>
                <w:rFonts w:ascii="宋体" w:hAnsi="宋体" w:eastAsia="宋体"/>
                <w:sz w:val="16"/>
              </w:rPr>
              <w:t>实验器材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914B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646A9">
            <w:pPr>
              <w:jc w:val="center"/>
            </w:pPr>
            <w:r>
              <w:rPr>
                <w:rFonts w:ascii="宋体" w:hAnsi="宋体" w:eastAsia="宋体"/>
                <w:sz w:val="16"/>
              </w:rPr>
              <w:t>&lt;=50000元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225CB">
            <w:pPr>
              <w:jc w:val="center"/>
            </w:pPr>
            <w:r>
              <w:rPr>
                <w:rFonts w:ascii="宋体" w:hAnsi="宋体" w:eastAsia="宋体"/>
                <w:sz w:val="16"/>
              </w:rPr>
              <w:t>50000元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216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E7A0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EB6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04F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2FF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33A2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F4D34">
            <w:pPr>
              <w:jc w:val="center"/>
            </w:pPr>
          </w:p>
        </w:tc>
      </w:tr>
      <w:tr w14:paraId="5A78FC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34B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8026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8C84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EE955">
            <w:pPr>
              <w:jc w:val="center"/>
            </w:pPr>
            <w:r>
              <w:rPr>
                <w:rFonts w:ascii="宋体" w:hAnsi="宋体" w:eastAsia="宋体"/>
                <w:sz w:val="16"/>
              </w:rPr>
              <w:t>提高地区教育教学管理水平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D665C">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52AC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A78AA">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741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60266">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A58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498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EBC8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DD2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5355E">
            <w:pPr>
              <w:jc w:val="center"/>
            </w:pPr>
          </w:p>
        </w:tc>
      </w:tr>
      <w:tr w14:paraId="5E5DB7B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0DEB48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198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E20D4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07CD8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C159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6CBB4">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C4A15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CE482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97D63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BABD5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4E1242"/>
        </w:tc>
      </w:tr>
    </w:tbl>
    <w:p w14:paraId="6335E91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43ECE20">
        <w:tblPrEx>
          <w:tblCellMar>
            <w:top w:w="0" w:type="dxa"/>
            <w:left w:w="108" w:type="dxa"/>
            <w:bottom w:w="0" w:type="dxa"/>
            <w:right w:w="108" w:type="dxa"/>
          </w:tblCellMar>
        </w:tblPrEx>
        <w:tc>
          <w:tcPr>
            <w:tcW w:w="8848" w:type="dxa"/>
            <w:gridSpan w:val="14"/>
            <w:vAlign w:val="center"/>
          </w:tcPr>
          <w:p w14:paraId="45A6AE22">
            <w:pPr>
              <w:jc w:val="center"/>
            </w:pPr>
            <w:r>
              <w:rPr>
                <w:rFonts w:ascii="宋体" w:hAnsi="宋体" w:eastAsia="宋体"/>
                <w:sz w:val="24"/>
              </w:rPr>
              <w:t>项目支出绩效自评表</w:t>
            </w:r>
          </w:p>
        </w:tc>
      </w:tr>
      <w:tr w14:paraId="338E6CED">
        <w:tblPrEx>
          <w:tblCellMar>
            <w:top w:w="0" w:type="dxa"/>
            <w:left w:w="108" w:type="dxa"/>
            <w:bottom w:w="0" w:type="dxa"/>
            <w:right w:w="108" w:type="dxa"/>
          </w:tblCellMar>
        </w:tblPrEx>
        <w:tc>
          <w:tcPr>
            <w:tcW w:w="8848" w:type="dxa"/>
            <w:gridSpan w:val="14"/>
            <w:vAlign w:val="center"/>
          </w:tcPr>
          <w:p w14:paraId="001B4B3A">
            <w:pPr>
              <w:jc w:val="center"/>
            </w:pPr>
            <w:r>
              <w:rPr>
                <w:rFonts w:ascii="宋体" w:hAnsi="宋体" w:eastAsia="宋体"/>
                <w:sz w:val="24"/>
              </w:rPr>
              <w:t>(2024年度)</w:t>
            </w:r>
          </w:p>
        </w:tc>
      </w:tr>
      <w:tr w14:paraId="193DB13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FB31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F26D57C">
            <w:pPr>
              <w:jc w:val="center"/>
            </w:pPr>
            <w:r>
              <w:rPr>
                <w:rFonts w:ascii="宋体" w:hAnsi="宋体" w:eastAsia="宋体"/>
                <w:sz w:val="16"/>
              </w:rPr>
              <w:t>霍城县第二中学捐款资金（</w:t>
            </w:r>
            <w:bookmarkStart w:id="0" w:name="_GoBack"/>
            <w:r>
              <w:rPr>
                <w:rFonts w:hint="eastAsia" w:ascii="宋体" w:hAnsi="宋体"/>
                <w:sz w:val="16"/>
                <w:lang w:eastAsia="zh-CN"/>
              </w:rPr>
              <w:t>自有</w:t>
            </w:r>
            <w:bookmarkEnd w:id="0"/>
            <w:r>
              <w:rPr>
                <w:rFonts w:ascii="宋体" w:hAnsi="宋体" w:eastAsia="宋体"/>
                <w:sz w:val="16"/>
              </w:rPr>
              <w:t>资金）</w:t>
            </w:r>
          </w:p>
        </w:tc>
      </w:tr>
      <w:tr w14:paraId="5BCE03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2722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151E72">
            <w:pPr>
              <w:jc w:val="center"/>
            </w:pPr>
            <w:r>
              <w:rPr>
                <w:rFonts w:ascii="宋体" w:hAnsi="宋体" w:eastAsia="宋体"/>
                <w:sz w:val="16"/>
              </w:rPr>
              <w:t>霍城县第二中学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4C64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E41977">
            <w:pPr>
              <w:jc w:val="center"/>
            </w:pPr>
            <w:r>
              <w:rPr>
                <w:rFonts w:ascii="宋体" w:hAnsi="宋体" w:eastAsia="宋体"/>
                <w:sz w:val="16"/>
              </w:rPr>
              <w:t>霍城县第二中学</w:t>
            </w:r>
          </w:p>
        </w:tc>
      </w:tr>
      <w:tr w14:paraId="103AA5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31DACE">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6FBB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7289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FD49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3D38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95F4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3681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DBBBA">
            <w:pPr>
              <w:jc w:val="center"/>
            </w:pPr>
            <w:r>
              <w:rPr>
                <w:rFonts w:ascii="宋体" w:hAnsi="宋体" w:eastAsia="宋体"/>
                <w:sz w:val="16"/>
              </w:rPr>
              <w:t>得分</w:t>
            </w:r>
          </w:p>
        </w:tc>
      </w:tr>
      <w:tr w14:paraId="1D6425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BE91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015E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2930A">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1C8A0">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0F48D">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DBE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A5EC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32413">
            <w:pPr>
              <w:jc w:val="center"/>
            </w:pPr>
            <w:r>
              <w:rPr>
                <w:rFonts w:ascii="宋体" w:hAnsi="宋体" w:eastAsia="宋体"/>
                <w:sz w:val="16"/>
              </w:rPr>
              <w:t>10.00</w:t>
            </w:r>
          </w:p>
        </w:tc>
      </w:tr>
      <w:tr w14:paraId="79828A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017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E7AC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C49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3D2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FB1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9001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63C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CAA4B">
            <w:pPr>
              <w:jc w:val="center"/>
            </w:pPr>
            <w:r>
              <w:rPr>
                <w:rFonts w:ascii="宋体" w:hAnsi="宋体" w:eastAsia="宋体"/>
                <w:sz w:val="16"/>
              </w:rPr>
              <w:t>—</w:t>
            </w:r>
          </w:p>
        </w:tc>
      </w:tr>
      <w:tr w14:paraId="1C6589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78C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6332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25964">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896AF">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1CB1B">
            <w:pPr>
              <w:jc w:val="center"/>
              <w:rPr>
                <w:rFonts w:hint="default" w:eastAsia="宋体"/>
                <w:lang w:val="en-US" w:eastAsia="zh-CN"/>
              </w:rPr>
            </w:pPr>
            <w:r>
              <w:rPr>
                <w:rFonts w:ascii="宋体" w:hAnsi="宋体" w:eastAsia="宋体"/>
                <w:sz w:val="16"/>
              </w:rPr>
              <w:t>1</w:t>
            </w:r>
            <w:r>
              <w:rPr>
                <w:rFonts w:hint="eastAsia" w:ascii="宋体" w:hAnsi="宋体"/>
                <w:sz w:val="16"/>
                <w:lang w:val="en-US" w:eastAsia="zh-CN"/>
              </w:rPr>
              <w:t>.00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98FC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B0B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0FEEC">
            <w:pPr>
              <w:jc w:val="center"/>
            </w:pPr>
            <w:r>
              <w:rPr>
                <w:rFonts w:ascii="宋体" w:hAnsi="宋体" w:eastAsia="宋体"/>
                <w:sz w:val="16"/>
              </w:rPr>
              <w:t>—</w:t>
            </w:r>
          </w:p>
        </w:tc>
      </w:tr>
      <w:tr w14:paraId="7552D7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83271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AADD5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B7F716">
            <w:pPr>
              <w:jc w:val="center"/>
            </w:pPr>
            <w:r>
              <w:rPr>
                <w:rFonts w:ascii="宋体" w:hAnsi="宋体" w:eastAsia="宋体"/>
                <w:sz w:val="16"/>
              </w:rPr>
              <w:t>实际完成情况</w:t>
            </w:r>
          </w:p>
        </w:tc>
      </w:tr>
      <w:tr w14:paraId="1E3AFB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3E74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412E8E">
            <w:pPr>
              <w:jc w:val="both"/>
            </w:pPr>
            <w:r>
              <w:rPr>
                <w:rFonts w:ascii="宋体" w:hAnsi="宋体" w:eastAsia="宋体"/>
                <w:sz w:val="16"/>
              </w:rPr>
              <w:t>为进一步促进清水河镇学校素质教育高质量发展，新疆成济工程咨询有限责任公司自愿向霍城县第二中学捐赠壹万元。用于支持霍城县第二中学篮球队师生于2024年7月10日参加自治区第二十届中学生校园篮球赛比赛相关的各项支出，力争取得较好成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E5E48E">
            <w:pPr>
              <w:jc w:val="both"/>
            </w:pPr>
            <w:r>
              <w:rPr>
                <w:rFonts w:ascii="宋体" w:hAnsi="宋体" w:eastAsia="宋体"/>
                <w:sz w:val="16"/>
              </w:rPr>
              <w:t>圆满结束2024年7月10日参加自治区第二十届中学生校园篮球赛比赛，通过参加比赛增强了学生团队合作意识，促进了11名参赛学生身心健康，取得了较好成绩。</w:t>
            </w:r>
          </w:p>
        </w:tc>
      </w:tr>
      <w:tr w14:paraId="6C0282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D1DE8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1D3B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554C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C4B0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0181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BC98A">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DD0A6">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A00B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4CD72">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3853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011A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5D9C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24A0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E5665">
            <w:pPr>
              <w:jc w:val="center"/>
            </w:pPr>
            <w:r>
              <w:rPr>
                <w:rFonts w:ascii="宋体" w:hAnsi="宋体" w:eastAsia="宋体"/>
                <w:sz w:val="16"/>
              </w:rPr>
              <w:t>偏差原因分析及改进措施</w:t>
            </w:r>
          </w:p>
        </w:tc>
      </w:tr>
      <w:tr w14:paraId="3C92B5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C985A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765D5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C2C31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017B4">
            <w:pPr>
              <w:jc w:val="center"/>
            </w:pPr>
            <w:r>
              <w:rPr>
                <w:rFonts w:ascii="宋体" w:hAnsi="宋体" w:eastAsia="宋体"/>
                <w:sz w:val="16"/>
              </w:rPr>
              <w:t>派出参加比赛篮球队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165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D2581">
            <w:pPr>
              <w:jc w:val="center"/>
            </w:pPr>
            <w:r>
              <w:rPr>
                <w:rFonts w:ascii="宋体" w:hAnsi="宋体" w:eastAsia="宋体"/>
                <w:sz w:val="16"/>
              </w:rPr>
              <w:t>=1支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B0315">
            <w:pPr>
              <w:jc w:val="center"/>
            </w:pPr>
            <w:r>
              <w:rPr>
                <w:rFonts w:ascii="宋体" w:hAnsi="宋体" w:eastAsia="宋体"/>
                <w:sz w:val="16"/>
              </w:rPr>
              <w:t>1支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4F8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27A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AD8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C5E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D0FA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605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A8691">
            <w:pPr>
              <w:jc w:val="center"/>
            </w:pPr>
          </w:p>
        </w:tc>
      </w:tr>
      <w:tr w14:paraId="761834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623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05CE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813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155C5">
            <w:pPr>
              <w:jc w:val="center"/>
            </w:pPr>
            <w:r>
              <w:rPr>
                <w:rFonts w:ascii="宋体" w:hAnsi="宋体" w:eastAsia="宋体"/>
                <w:sz w:val="16"/>
              </w:rPr>
              <w:t>比赛参赛人数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654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EAC11">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A9646">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72E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F86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3D6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15F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C94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C3B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9001A">
            <w:pPr>
              <w:jc w:val="center"/>
            </w:pPr>
          </w:p>
        </w:tc>
      </w:tr>
      <w:tr w14:paraId="02BDFB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0B2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D06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1AA5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E3C21">
            <w:pPr>
              <w:jc w:val="center"/>
            </w:pPr>
            <w:r>
              <w:rPr>
                <w:rFonts w:ascii="宋体" w:hAnsi="宋体" w:eastAsia="宋体"/>
                <w:sz w:val="16"/>
              </w:rPr>
              <w:t>比赛参赛完成率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6EF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C99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457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108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654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5AA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B46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4E6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804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C3D82">
            <w:pPr>
              <w:jc w:val="center"/>
            </w:pPr>
          </w:p>
        </w:tc>
      </w:tr>
      <w:tr w14:paraId="5FD32C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660C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D16A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1E75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6E63E">
            <w:pPr>
              <w:jc w:val="center"/>
            </w:pPr>
            <w:r>
              <w:rPr>
                <w:rFonts w:ascii="宋体" w:hAnsi="宋体" w:eastAsia="宋体"/>
                <w:sz w:val="16"/>
              </w:rPr>
              <w:t>按时参加比赛及时率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2C1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E55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07F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F56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CF2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5FF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80D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EE3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56E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C536C">
            <w:pPr>
              <w:jc w:val="center"/>
            </w:pPr>
          </w:p>
        </w:tc>
      </w:tr>
      <w:tr w14:paraId="48174D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BCEE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9508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9C07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AE8FC">
            <w:pPr>
              <w:jc w:val="center"/>
            </w:pPr>
            <w:r>
              <w:rPr>
                <w:rFonts w:ascii="宋体" w:hAnsi="宋体" w:eastAsia="宋体"/>
                <w:sz w:val="16"/>
              </w:rPr>
              <w:t>参赛队员人均费用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E809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6B8C5">
            <w:pPr>
              <w:jc w:val="center"/>
            </w:pPr>
            <w:r>
              <w:rPr>
                <w:rFonts w:ascii="宋体" w:hAnsi="宋体" w:eastAsia="宋体"/>
                <w:sz w:val="16"/>
              </w:rPr>
              <w:t>&lt;=909元/人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330C8">
            <w:pPr>
              <w:jc w:val="center"/>
            </w:pPr>
            <w:r>
              <w:rPr>
                <w:rFonts w:ascii="宋体" w:hAnsi="宋体" w:eastAsia="宋体"/>
                <w:sz w:val="16"/>
              </w:rPr>
              <w:t>909元/人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376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8773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6EC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8A1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DCE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4183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9ED78">
            <w:pPr>
              <w:jc w:val="center"/>
            </w:pPr>
          </w:p>
        </w:tc>
      </w:tr>
      <w:tr w14:paraId="261FE0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8A0D2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6D005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DEA53">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3F378">
            <w:pPr>
              <w:jc w:val="center"/>
            </w:pPr>
            <w:r>
              <w:rPr>
                <w:rFonts w:ascii="宋体" w:hAnsi="宋体" w:eastAsia="宋体"/>
                <w:sz w:val="16"/>
              </w:rPr>
              <w:t>解决资金不足问题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EFDF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5F00F">
            <w:pPr>
              <w:jc w:val="center"/>
            </w:pPr>
            <w:r>
              <w:rPr>
                <w:rFonts w:ascii="宋体" w:hAnsi="宋体" w:eastAsia="宋体"/>
                <w:sz w:val="16"/>
              </w:rPr>
              <w:t>有效解决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B3DD8">
            <w:pPr>
              <w:jc w:val="center"/>
            </w:pPr>
            <w:r>
              <w:rPr>
                <w:rFonts w:ascii="宋体" w:hAnsi="宋体" w:eastAsia="宋体"/>
                <w:sz w:val="16"/>
              </w:rPr>
              <w:t>有所解决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C7D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08F4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59C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B2F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1D38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324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F24CE">
            <w:pPr>
              <w:jc w:val="center"/>
            </w:pPr>
          </w:p>
        </w:tc>
      </w:tr>
      <w:tr w14:paraId="7AA494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841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98C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3A43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C4774">
            <w:pPr>
              <w:jc w:val="center"/>
            </w:pPr>
            <w:r>
              <w:rPr>
                <w:rFonts w:ascii="宋体" w:hAnsi="宋体" w:eastAsia="宋体"/>
                <w:sz w:val="16"/>
              </w:rPr>
              <w:t>学校素质教育高质量发展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1DF6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1C606">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A4F27">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097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18B2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967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17D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9DC8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3C5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37873">
            <w:pPr>
              <w:jc w:val="center"/>
            </w:pPr>
          </w:p>
        </w:tc>
      </w:tr>
      <w:tr w14:paraId="7F336F9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4605DB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88C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72433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EA672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0D94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BB126">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3FC70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674E8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3B4B8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F42B7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980EC7"/>
        </w:tc>
      </w:tr>
    </w:tbl>
    <w:p w14:paraId="4BA60837">
      <w:r>
        <w:br w:type="page"/>
      </w:r>
    </w:p>
    <w:p w14:paraId="4EDB81BE">
      <w:pPr>
        <w:spacing w:line="640" w:lineRule="exact"/>
        <w:ind w:firstLine="640"/>
        <w:jc w:val="both"/>
        <w:outlineLvl w:val="2"/>
      </w:pPr>
      <w:r>
        <w:rPr>
          <w:rFonts w:ascii="黑体" w:hAnsi="黑体" w:eastAsia="黑体"/>
          <w:sz w:val="32"/>
        </w:rPr>
        <w:t>十二、其他需说明的事项</w:t>
      </w:r>
    </w:p>
    <w:p w14:paraId="7B0EB658">
      <w:pPr>
        <w:spacing w:line="580" w:lineRule="exact"/>
        <w:ind w:firstLine="640"/>
        <w:jc w:val="both"/>
      </w:pPr>
      <w:r>
        <w:rPr>
          <w:rFonts w:ascii="仿宋_GB2312" w:hAnsi="仿宋_GB2312" w:eastAsia="仿宋_GB2312"/>
          <w:b w:val="0"/>
          <w:sz w:val="32"/>
        </w:rPr>
        <w:t>本单位无其他需说明的事项。</w:t>
      </w:r>
    </w:p>
    <w:p w14:paraId="07EBDC4C">
      <w:r>
        <w:br w:type="page"/>
      </w:r>
    </w:p>
    <w:p w14:paraId="0E1AE49E">
      <w:pPr>
        <w:spacing w:line="240" w:lineRule="auto"/>
        <w:jc w:val="center"/>
        <w:outlineLvl w:val="1"/>
      </w:pPr>
      <w:r>
        <w:rPr>
          <w:rFonts w:ascii="黑体" w:hAnsi="黑体" w:eastAsia="黑体"/>
          <w:sz w:val="32"/>
        </w:rPr>
        <w:t>第三部分 专业名词解释</w:t>
      </w:r>
    </w:p>
    <w:p w14:paraId="4516D50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9850CA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01AF7F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DBA39F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C2441E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33C0E6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8DE237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F9E56C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64F291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EC162D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FEC06C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C43070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93ED8E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6F7FE5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1C74B0C">
      <w:r>
        <w:br w:type="page"/>
      </w:r>
    </w:p>
    <w:p w14:paraId="49453962">
      <w:pPr>
        <w:spacing w:line="240" w:lineRule="auto"/>
        <w:jc w:val="center"/>
        <w:outlineLvl w:val="1"/>
      </w:pPr>
      <w:r>
        <w:rPr>
          <w:rFonts w:ascii="黑体" w:hAnsi="黑体" w:eastAsia="黑体"/>
          <w:sz w:val="32"/>
        </w:rPr>
        <w:t>第四部分 部门决算报表（见附表）</w:t>
      </w:r>
    </w:p>
    <w:p w14:paraId="18DD72E1">
      <w:pPr>
        <w:spacing w:line="240" w:lineRule="auto"/>
        <w:ind w:firstLine="640"/>
        <w:jc w:val="both"/>
      </w:pPr>
      <w:r>
        <w:rPr>
          <w:rFonts w:ascii="仿宋_GB2312" w:hAnsi="仿宋_GB2312" w:eastAsia="仿宋_GB2312"/>
          <w:b w:val="0"/>
          <w:sz w:val="32"/>
        </w:rPr>
        <w:t>一、《收入支出决算总表》</w:t>
      </w:r>
    </w:p>
    <w:p w14:paraId="22C464C4">
      <w:pPr>
        <w:spacing w:line="240" w:lineRule="auto"/>
        <w:ind w:firstLine="640"/>
        <w:jc w:val="both"/>
      </w:pPr>
      <w:r>
        <w:rPr>
          <w:rFonts w:ascii="仿宋_GB2312" w:hAnsi="仿宋_GB2312" w:eastAsia="仿宋_GB2312"/>
          <w:b w:val="0"/>
          <w:sz w:val="32"/>
        </w:rPr>
        <w:t>二、《收入决算表》</w:t>
      </w:r>
    </w:p>
    <w:p w14:paraId="1D46E8AF">
      <w:pPr>
        <w:spacing w:line="240" w:lineRule="auto"/>
        <w:ind w:firstLine="640"/>
        <w:jc w:val="both"/>
      </w:pPr>
      <w:r>
        <w:rPr>
          <w:rFonts w:ascii="仿宋_GB2312" w:hAnsi="仿宋_GB2312" w:eastAsia="仿宋_GB2312"/>
          <w:b w:val="0"/>
          <w:sz w:val="32"/>
        </w:rPr>
        <w:t>三、《支出决算表》</w:t>
      </w:r>
    </w:p>
    <w:p w14:paraId="749DBD75">
      <w:pPr>
        <w:spacing w:line="240" w:lineRule="auto"/>
        <w:ind w:firstLine="640"/>
        <w:jc w:val="both"/>
      </w:pPr>
      <w:r>
        <w:rPr>
          <w:rFonts w:ascii="仿宋_GB2312" w:hAnsi="仿宋_GB2312" w:eastAsia="仿宋_GB2312"/>
          <w:b w:val="0"/>
          <w:sz w:val="32"/>
        </w:rPr>
        <w:t>四、《财政拨款收入支出决算总表》</w:t>
      </w:r>
    </w:p>
    <w:p w14:paraId="7B9FCFBE">
      <w:pPr>
        <w:spacing w:line="240" w:lineRule="auto"/>
        <w:ind w:firstLine="640"/>
        <w:jc w:val="both"/>
      </w:pPr>
      <w:r>
        <w:rPr>
          <w:rFonts w:ascii="仿宋_GB2312" w:hAnsi="仿宋_GB2312" w:eastAsia="仿宋_GB2312"/>
          <w:b w:val="0"/>
          <w:sz w:val="32"/>
        </w:rPr>
        <w:t>五、《一般公共预算财政拨款支出决算表》</w:t>
      </w:r>
    </w:p>
    <w:p w14:paraId="03314768">
      <w:pPr>
        <w:spacing w:line="240" w:lineRule="auto"/>
        <w:ind w:firstLine="640"/>
        <w:jc w:val="both"/>
      </w:pPr>
      <w:r>
        <w:rPr>
          <w:rFonts w:ascii="仿宋_GB2312" w:hAnsi="仿宋_GB2312" w:eastAsia="仿宋_GB2312"/>
          <w:b w:val="0"/>
          <w:sz w:val="32"/>
        </w:rPr>
        <w:t>六、《一般公共预算财政拨款基本支出决算表》</w:t>
      </w:r>
    </w:p>
    <w:p w14:paraId="3D434E96">
      <w:pPr>
        <w:spacing w:line="240" w:lineRule="auto"/>
        <w:ind w:firstLine="640"/>
        <w:jc w:val="both"/>
      </w:pPr>
      <w:r>
        <w:rPr>
          <w:rFonts w:ascii="仿宋_GB2312" w:hAnsi="仿宋_GB2312" w:eastAsia="仿宋_GB2312"/>
          <w:b w:val="0"/>
          <w:sz w:val="32"/>
        </w:rPr>
        <w:t>七、《政府性基金预算财政拨款收入支出决算表》</w:t>
      </w:r>
    </w:p>
    <w:p w14:paraId="18F9ED92">
      <w:pPr>
        <w:spacing w:line="240" w:lineRule="auto"/>
        <w:ind w:firstLine="640"/>
        <w:jc w:val="both"/>
      </w:pPr>
      <w:r>
        <w:rPr>
          <w:rFonts w:ascii="仿宋_GB2312" w:hAnsi="仿宋_GB2312" w:eastAsia="仿宋_GB2312"/>
          <w:b w:val="0"/>
          <w:sz w:val="32"/>
        </w:rPr>
        <w:t>八、《国有资本经营预算财政拨款收入支出决算表》</w:t>
      </w:r>
    </w:p>
    <w:p w14:paraId="4873467E">
      <w:pPr>
        <w:spacing w:line="240" w:lineRule="auto"/>
        <w:ind w:firstLine="640"/>
        <w:jc w:val="both"/>
      </w:pPr>
      <w:r>
        <w:rPr>
          <w:rFonts w:ascii="仿宋_GB2312" w:hAnsi="仿宋_GB2312" w:eastAsia="仿宋_GB2312"/>
          <w:b w:val="0"/>
          <w:sz w:val="32"/>
        </w:rPr>
        <w:t>九、《财政拨款“三公”经费支出决算表》</w:t>
      </w:r>
    </w:p>
    <w:p w14:paraId="1F1E9C17">
      <w:pPr>
        <w:spacing w:line="240" w:lineRule="auto"/>
        <w:ind w:firstLine="640"/>
        <w:jc w:val="both"/>
      </w:pPr>
    </w:p>
    <w:p w14:paraId="6A24B5CC">
      <w:pPr>
        <w:spacing w:line="240" w:lineRule="auto"/>
        <w:ind w:firstLine="640"/>
        <w:jc w:val="both"/>
      </w:pPr>
    </w:p>
    <w:p w14:paraId="43A628EE">
      <w:pPr>
        <w:spacing w:line="240" w:lineRule="auto"/>
        <w:ind w:firstLine="640"/>
        <w:jc w:val="both"/>
      </w:pPr>
    </w:p>
    <w:p w14:paraId="3ABCF129">
      <w:pPr>
        <w:spacing w:line="240" w:lineRule="auto"/>
        <w:ind w:firstLine="640"/>
        <w:jc w:val="both"/>
      </w:pPr>
    </w:p>
    <w:p w14:paraId="3F283C4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05916EE-F61E-4336-8709-5C0A6A1D9AB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73C7B2A7-4624-4ABB-B1E1-B623C0D25F03}"/>
  </w:font>
  <w:font w:name="仿宋_GB2312">
    <w:panose1 w:val="02010609030101010101"/>
    <w:charset w:val="86"/>
    <w:family w:val="modern"/>
    <w:pitch w:val="default"/>
    <w:sig w:usb0="00000001" w:usb1="080E0000" w:usb2="00000000" w:usb3="00000000" w:csb0="00040000" w:csb1="00000000"/>
    <w:embedRegular r:id="rId3" w:fontKey="{6BFEA31C-2DC3-4B8F-981A-09D08AD02B7F}"/>
  </w:font>
  <w:font w:name="楷体_GB2312">
    <w:panose1 w:val="02010609030101010101"/>
    <w:charset w:val="86"/>
    <w:family w:val="auto"/>
    <w:pitch w:val="default"/>
    <w:sig w:usb0="00000001" w:usb1="080E0000" w:usb2="00000000" w:usb3="00000000" w:csb0="00040000" w:csb1="00000000"/>
    <w:embedRegular r:id="rId4" w:fontKey="{EA462429-6794-4E5B-9F4D-A4F2CDF65B2C}"/>
  </w:font>
  <w:font w:name="WPSEMBED1">
    <w:panose1 w:val="02010609030101010101"/>
    <w:charset w:val="86"/>
    <w:family w:val="auto"/>
    <w:pitch w:val="default"/>
    <w:sig w:usb0="00000001" w:usb1="080E0000" w:usb2="00000000" w:usb3="00000000" w:csb0="00040000"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78A3F92"/>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DA3718F"/>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4681</Words>
  <Characters>5500</Characters>
  <Lines>0</Lines>
  <Paragraphs>0</Paragraphs>
  <TotalTime>5</TotalTime>
  <ScaleCrop>false</ScaleCrop>
  <LinksUpToDate>false</LinksUpToDate>
  <CharactersWithSpaces>5514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2025-09-25T04:53:30Z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