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霍城县第一人民医院（霍城县江苏医院）2024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30F6E15">
      <w:r>
        <w:br w:type="page"/>
      </w:r>
    </w:p>
    <w:p w14:paraId="7D029530">
      <w:pPr>
        <w:spacing w:line="640" w:lineRule="exact"/>
        <w:jc w:val="center"/>
        <w:outlineLvl w:val="1"/>
      </w:pPr>
      <w:r>
        <w:rPr>
          <w:rFonts w:ascii="黑体" w:hAnsi="黑体" w:eastAsia="黑体"/>
          <w:sz w:val="32"/>
        </w:rPr>
        <w:t>第一部分 单位概况</w:t>
      </w:r>
    </w:p>
    <w:p w14:paraId="00CF3EEA">
      <w:pPr>
        <w:spacing w:line="640" w:lineRule="exact"/>
        <w:ind w:firstLine="640"/>
        <w:jc w:val="both"/>
        <w:outlineLvl w:val="2"/>
      </w:pPr>
      <w:r>
        <w:rPr>
          <w:rFonts w:ascii="黑体" w:hAnsi="黑体" w:eastAsia="黑体"/>
          <w:sz w:val="32"/>
        </w:rPr>
        <w:t>一、主要职能</w:t>
      </w:r>
    </w:p>
    <w:p w14:paraId="658992D5">
      <w:pPr>
        <w:spacing w:line="580" w:lineRule="exact"/>
        <w:ind w:firstLine="640"/>
        <w:jc w:val="both"/>
      </w:pPr>
      <w:r>
        <w:rPr>
          <w:rFonts w:ascii="仿宋_GB2312" w:hAnsi="仿宋_GB2312" w:eastAsia="仿宋_GB2312"/>
          <w:sz w:val="32"/>
        </w:rPr>
        <w:t>负责对全县常见病、多发病的医疗诊治工作，担负着院内外急诊急救、妇幼保健、儿童计免、防疫监测、新型农村合作医疗及城镇弱势群体和城镇居民的医疗保健、健康宣教等医疗卫生的教学、科研工作</w:t>
      </w:r>
      <w:r>
        <w:rPr>
          <w:rFonts w:hint="eastAsia" w:ascii="仿宋_GB2312" w:hAnsi="仿宋_GB2312" w:eastAsia="仿宋_GB2312"/>
          <w:sz w:val="32"/>
          <w:lang w:eastAsia="zh-CN"/>
        </w:rPr>
        <w:t>；</w:t>
      </w:r>
      <w:r>
        <w:rPr>
          <w:rFonts w:ascii="仿宋_GB2312" w:hAnsi="仿宋_GB2312" w:eastAsia="仿宋_GB2312"/>
          <w:sz w:val="32"/>
        </w:rPr>
        <w:t>承担全县突发公共卫生事件的救治任务。</w:t>
      </w:r>
    </w:p>
    <w:p w14:paraId="465321A2">
      <w:pPr>
        <w:spacing w:line="640" w:lineRule="exact"/>
        <w:ind w:firstLine="640"/>
        <w:jc w:val="both"/>
        <w:outlineLvl w:val="2"/>
      </w:pPr>
      <w:r>
        <w:rPr>
          <w:rFonts w:ascii="黑体" w:hAnsi="黑体" w:eastAsia="黑体"/>
          <w:sz w:val="32"/>
        </w:rPr>
        <w:t>二、机构设置及人员情况</w:t>
      </w:r>
    </w:p>
    <w:p w14:paraId="38DC339E">
      <w:pPr>
        <w:spacing w:line="580" w:lineRule="exact"/>
        <w:ind w:firstLine="640"/>
        <w:jc w:val="both"/>
      </w:pPr>
      <w:r>
        <w:rPr>
          <w:rFonts w:ascii="仿宋_GB2312" w:hAnsi="仿宋_GB2312" w:eastAsia="仿宋_GB2312"/>
          <w:sz w:val="32"/>
        </w:rPr>
        <w:t>霍城县第一人民医院（霍城县江苏医院）2024年度，实有人数436人，其中：在职人员267人，减少2人；离休人员1人，增加0人；退休人员168人,增加17人。</w:t>
      </w:r>
    </w:p>
    <w:p w14:paraId="0B93F75F">
      <w:pPr>
        <w:spacing w:line="580" w:lineRule="exact"/>
        <w:ind w:firstLine="640"/>
        <w:jc w:val="both"/>
      </w:pPr>
      <w:r>
        <w:rPr>
          <w:rFonts w:ascii="仿宋_GB2312" w:hAnsi="仿宋_GB2312" w:eastAsia="仿宋_GB2312"/>
          <w:sz w:val="32"/>
        </w:rPr>
        <w:t>霍城县第一人民医院（霍城县江苏医院）无下属预算单位，下设50个科室，分别是：心血管神经内科、呼吸与危重症医学科、肾病周围介入科、内分泌老年病科、消化肿瘤科、普外乳甲科、胸泌外科、骨科、儿科、新生儿科、妇产科、中医风湿免疫科、皮肤科、眼耳鼻喉科、口腔科、急诊科、康复医学科、重症医学科、感染科、手麻科、高压氧科、临床心理科、疼痛科、血液科、营养科、检验科、病理科、放射科、心功能科、超声科、药剂科、输血科、党政办、人力资源运营部、信息科、医务科、公共卫生科、护理部、院感科、医保科、财务科、设备科、总务科、安保消防科、质控科、采购办、档案室、病案管理科、健康管理科、综合门诊（群众服务部）。</w:t>
      </w:r>
    </w:p>
    <w:p w14:paraId="761FE562">
      <w:r>
        <w:br w:type="page"/>
      </w:r>
    </w:p>
    <w:p w14:paraId="7275CFA1">
      <w:pPr>
        <w:spacing w:line="240" w:lineRule="auto"/>
        <w:jc w:val="center"/>
        <w:outlineLvl w:val="1"/>
      </w:pPr>
      <w:r>
        <w:rPr>
          <w:rFonts w:ascii="黑体" w:hAnsi="黑体" w:eastAsia="黑体"/>
          <w:sz w:val="32"/>
        </w:rPr>
        <w:t>第二部分 部门决算情况说明</w:t>
      </w:r>
    </w:p>
    <w:p w14:paraId="64913BB7">
      <w:pPr>
        <w:spacing w:line="640" w:lineRule="exact"/>
        <w:ind w:firstLine="640"/>
        <w:jc w:val="both"/>
        <w:outlineLvl w:val="2"/>
      </w:pPr>
      <w:r>
        <w:rPr>
          <w:rFonts w:ascii="黑体" w:hAnsi="黑体" w:eastAsia="黑体"/>
          <w:sz w:val="32"/>
        </w:rPr>
        <w:t>一、收入支出决算总体情况说明</w:t>
      </w:r>
    </w:p>
    <w:p w14:paraId="6F5C3BB6">
      <w:pPr>
        <w:spacing w:line="580" w:lineRule="exact"/>
        <w:ind w:firstLine="640"/>
        <w:jc w:val="both"/>
      </w:pPr>
      <w:r>
        <w:rPr>
          <w:rFonts w:ascii="仿宋_GB2312" w:hAnsi="仿宋_GB2312" w:eastAsia="仿宋_GB2312"/>
          <w:b/>
          <w:sz w:val="32"/>
        </w:rPr>
        <w:t>2024年度收入总计18,699.61万元，</w:t>
      </w:r>
      <w:r>
        <w:rPr>
          <w:rFonts w:ascii="仿宋_GB2312" w:hAnsi="仿宋_GB2312" w:eastAsia="仿宋_GB2312"/>
          <w:b w:val="0"/>
          <w:sz w:val="32"/>
        </w:rPr>
        <w:t>其中：本年收入合计18,698.93万元，使用非财政拨款结余（含专用结余）0.68万元，年初结转和结余0.00万元。</w:t>
      </w:r>
    </w:p>
    <w:p w14:paraId="52CE7691">
      <w:pPr>
        <w:spacing w:line="580" w:lineRule="exact"/>
        <w:ind w:firstLine="640"/>
        <w:jc w:val="both"/>
      </w:pPr>
      <w:r>
        <w:rPr>
          <w:rFonts w:ascii="仿宋_GB2312" w:hAnsi="仿宋_GB2312" w:eastAsia="仿宋_GB2312"/>
          <w:b/>
          <w:sz w:val="32"/>
        </w:rPr>
        <w:t>2024年度支出总计18,699.61万元，</w:t>
      </w:r>
      <w:r>
        <w:rPr>
          <w:rFonts w:ascii="仿宋_GB2312" w:hAnsi="仿宋_GB2312" w:eastAsia="仿宋_GB2312"/>
          <w:b w:val="0"/>
          <w:sz w:val="32"/>
        </w:rPr>
        <w:t>其中：本年支出合计18,699.61万元，结余分配0.00万元，年末结转和结余0.00万元。</w:t>
      </w:r>
    </w:p>
    <w:p w14:paraId="083D4D73">
      <w:pPr>
        <w:spacing w:line="580" w:lineRule="exact"/>
        <w:ind w:firstLine="640"/>
        <w:jc w:val="both"/>
      </w:pPr>
      <w:r>
        <w:rPr>
          <w:rFonts w:ascii="仿宋_GB2312" w:hAnsi="仿宋_GB2312" w:eastAsia="仿宋_GB2312"/>
          <w:b w:val="0"/>
          <w:sz w:val="32"/>
        </w:rPr>
        <w:t>收入支出总体与上年相比，减少5,530.61万元，下降22.83%，主要原因是：本年在职人员减少，在职人员经费、退休死亡抚恤金支出、退休人员基本医疗较上年减少；受DRG的影响，次均费用降低，单位事业收入降低，相应的卫生耗材等商品服务支出减少。</w:t>
      </w:r>
    </w:p>
    <w:p w14:paraId="058451C8">
      <w:pPr>
        <w:spacing w:line="640" w:lineRule="exact"/>
        <w:ind w:firstLine="640"/>
        <w:jc w:val="both"/>
        <w:outlineLvl w:val="2"/>
      </w:pPr>
      <w:r>
        <w:rPr>
          <w:rFonts w:ascii="黑体" w:hAnsi="黑体" w:eastAsia="黑体"/>
          <w:sz w:val="32"/>
        </w:rPr>
        <w:t>二、收入决算情况说明</w:t>
      </w:r>
    </w:p>
    <w:p w14:paraId="20080B76">
      <w:pPr>
        <w:spacing w:line="580" w:lineRule="exact"/>
        <w:ind w:firstLine="640"/>
        <w:jc w:val="both"/>
      </w:pPr>
      <w:r>
        <w:rPr>
          <w:rFonts w:ascii="仿宋_GB2312" w:hAnsi="仿宋_GB2312" w:eastAsia="仿宋_GB2312"/>
          <w:b/>
          <w:sz w:val="32"/>
        </w:rPr>
        <w:t>本年收入18,698.93万元，</w:t>
      </w:r>
      <w:r>
        <w:rPr>
          <w:rFonts w:ascii="仿宋_GB2312" w:hAnsi="仿宋_GB2312" w:eastAsia="仿宋_GB2312"/>
          <w:b w:val="0"/>
          <w:sz w:val="32"/>
        </w:rPr>
        <w:t>其中：财政拨款收入3,425.77万元，占18.32%；上级补助收入0.00万元，占0.00%；事业收入14,948.95万元，占79.95%；经营收入0.00万元，占0.00%；附属单位上缴收入0.00万元，占0.00%；其他收入324.20万元，占1.73%。</w:t>
      </w:r>
    </w:p>
    <w:p w14:paraId="5D433CF1">
      <w:pPr>
        <w:spacing w:line="640" w:lineRule="exact"/>
        <w:ind w:firstLine="640"/>
        <w:jc w:val="both"/>
        <w:outlineLvl w:val="2"/>
      </w:pPr>
      <w:r>
        <w:rPr>
          <w:rFonts w:ascii="黑体" w:hAnsi="黑体" w:eastAsia="黑体"/>
          <w:sz w:val="32"/>
        </w:rPr>
        <w:t>三、支出决算情况说明</w:t>
      </w:r>
    </w:p>
    <w:p w14:paraId="5E580DB3">
      <w:pPr>
        <w:spacing w:line="580" w:lineRule="exact"/>
        <w:ind w:firstLine="640"/>
        <w:jc w:val="both"/>
      </w:pPr>
      <w:r>
        <w:rPr>
          <w:rFonts w:ascii="仿宋_GB2312" w:hAnsi="仿宋_GB2312" w:eastAsia="仿宋_GB2312"/>
          <w:b/>
          <w:sz w:val="32"/>
        </w:rPr>
        <w:t>本年支出18,699.61万元，</w:t>
      </w:r>
      <w:r>
        <w:rPr>
          <w:rFonts w:ascii="仿宋_GB2312" w:hAnsi="仿宋_GB2312" w:eastAsia="仿宋_GB2312"/>
          <w:b w:val="0"/>
          <w:sz w:val="32"/>
        </w:rPr>
        <w:t>其中：基本支出18,202.43万元，占97.34%；项目支出497.18万元，占2.66%；上缴上级支出0.00万元，占0.00%；经营支出0.00万元，占0.00%；对附属单位补助支出0.00万元，占0.00%。</w:t>
      </w:r>
    </w:p>
    <w:p w14:paraId="22C457AB">
      <w:pPr>
        <w:spacing w:line="640" w:lineRule="exact"/>
        <w:ind w:firstLine="640"/>
        <w:jc w:val="both"/>
        <w:outlineLvl w:val="2"/>
      </w:pPr>
      <w:r>
        <w:rPr>
          <w:rFonts w:ascii="黑体" w:hAnsi="黑体" w:eastAsia="黑体"/>
          <w:sz w:val="32"/>
        </w:rPr>
        <w:t>四、财政拨款收入支出决算总体情况说明</w:t>
      </w:r>
    </w:p>
    <w:p w14:paraId="65F53530">
      <w:pPr>
        <w:spacing w:line="580" w:lineRule="exact"/>
        <w:ind w:firstLine="640"/>
        <w:jc w:val="both"/>
      </w:pPr>
      <w:r>
        <w:rPr>
          <w:rFonts w:ascii="仿宋_GB2312" w:hAnsi="仿宋_GB2312" w:eastAsia="仿宋_GB2312"/>
          <w:b/>
          <w:sz w:val="32"/>
        </w:rPr>
        <w:t>2024年度财政拨款收入总计3,425.77万元，</w:t>
      </w:r>
      <w:r>
        <w:rPr>
          <w:rFonts w:ascii="仿宋_GB2312" w:hAnsi="仿宋_GB2312" w:eastAsia="仿宋_GB2312"/>
          <w:b w:val="0"/>
          <w:sz w:val="32"/>
        </w:rPr>
        <w:t>其中：年初财政拨款结转和结余0.00万元，本年财政拨款收入3,425.77万元。</w:t>
      </w:r>
      <w:r>
        <w:rPr>
          <w:rFonts w:ascii="仿宋_GB2312" w:hAnsi="仿宋_GB2312" w:eastAsia="仿宋_GB2312"/>
          <w:b/>
          <w:sz w:val="32"/>
        </w:rPr>
        <w:t>财政拨款支出总计3,425.77万元，</w:t>
      </w:r>
      <w:r>
        <w:rPr>
          <w:rFonts w:ascii="仿宋_GB2312" w:hAnsi="仿宋_GB2312" w:eastAsia="仿宋_GB2312"/>
          <w:b w:val="0"/>
          <w:sz w:val="32"/>
        </w:rPr>
        <w:t>其中：年末财政拨款结转和结余0.00万元，本年财政拨款支出3,425.77万元。</w:t>
      </w:r>
    </w:p>
    <w:p w14:paraId="376ED18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减少12.52万元，下降0.36%，主要原因是：本年在职人员减少，在职人员经费、退休死亡抚恤金支出、退休人员基本医疗较上年减少。</w:t>
      </w:r>
      <w:r>
        <w:rPr>
          <w:rFonts w:ascii="仿宋_GB2312" w:hAnsi="仿宋_GB2312" w:eastAsia="仿宋_GB2312"/>
          <w:b/>
          <w:sz w:val="32"/>
        </w:rPr>
        <w:t>与年初预算相比，</w:t>
      </w:r>
      <w:r>
        <w:rPr>
          <w:rFonts w:ascii="仿宋_GB2312" w:hAnsi="仿宋_GB2312" w:eastAsia="仿宋_GB2312"/>
          <w:b w:val="0"/>
          <w:sz w:val="32"/>
        </w:rPr>
        <w:t>年初预算数2,963.48万元，决算数3,425.77万元，预决算差异率15.60%，主要原因是：年中追加人员工资、社保、公积金基数调增部分资金；追加2024年中央医疗服务与保障能力提升（医疗卫生机构能力建设）补助资金、2024年新疆人才发展基金第一轮支出资金、2024年中央财政医疗服务与保障能力提升（公立医院综合改革）补助资金、2024年中央重大传染病防控经费补助资金、2024年中央专项彩票公益金支持地方社会公益事业发展项目（儿童护齿行动）资金，导致预决算存在差异。</w:t>
      </w:r>
    </w:p>
    <w:p w14:paraId="76FD0FFD">
      <w:pPr>
        <w:spacing w:line="640" w:lineRule="exact"/>
        <w:ind w:firstLine="640"/>
        <w:jc w:val="both"/>
        <w:outlineLvl w:val="2"/>
      </w:pPr>
      <w:r>
        <w:rPr>
          <w:rFonts w:ascii="黑体" w:hAnsi="黑体" w:eastAsia="黑体"/>
          <w:sz w:val="32"/>
        </w:rPr>
        <w:t>五、一般公共预算财政拨款支出决算情况说明</w:t>
      </w:r>
    </w:p>
    <w:p w14:paraId="3C0A0292">
      <w:pPr>
        <w:spacing w:line="640" w:lineRule="exact"/>
        <w:ind w:firstLine="640"/>
        <w:jc w:val="both"/>
        <w:outlineLvl w:val="3"/>
      </w:pPr>
      <w:r>
        <w:rPr>
          <w:rFonts w:ascii="楷体_GB2312" w:hAnsi="楷体_GB2312" w:eastAsia="楷体_GB2312"/>
          <w:b/>
          <w:sz w:val="32"/>
        </w:rPr>
        <w:t>（一）一般公共预算财政拨款支出决算总体情况</w:t>
      </w:r>
    </w:p>
    <w:p w14:paraId="56493900">
      <w:pPr>
        <w:spacing w:line="580" w:lineRule="exact"/>
        <w:ind w:firstLine="640"/>
        <w:jc w:val="both"/>
      </w:pPr>
      <w:r>
        <w:rPr>
          <w:rFonts w:ascii="仿宋_GB2312" w:hAnsi="仿宋_GB2312" w:eastAsia="仿宋_GB2312"/>
          <w:b/>
          <w:sz w:val="32"/>
        </w:rPr>
        <w:t>2024年度一般公共预算财政拨款支出3,421.87万元，</w:t>
      </w:r>
      <w:r>
        <w:rPr>
          <w:rFonts w:ascii="仿宋_GB2312" w:hAnsi="仿宋_GB2312" w:eastAsia="仿宋_GB2312"/>
          <w:b w:val="0"/>
          <w:sz w:val="32"/>
        </w:rPr>
        <w:t>占本年支出合计的18.30%。</w:t>
      </w:r>
      <w:r>
        <w:rPr>
          <w:rFonts w:ascii="仿宋_GB2312" w:hAnsi="仿宋_GB2312" w:eastAsia="仿宋_GB2312"/>
          <w:b/>
          <w:sz w:val="32"/>
        </w:rPr>
        <w:t>与上年相比，</w:t>
      </w:r>
      <w:r>
        <w:rPr>
          <w:rFonts w:ascii="仿宋_GB2312" w:hAnsi="仿宋_GB2312" w:eastAsia="仿宋_GB2312"/>
          <w:b w:val="0"/>
          <w:sz w:val="32"/>
        </w:rPr>
        <w:t>减少16.42万元，下降0.48%，主要原因是：本年在职人员减少，在职人员经费、退休死亡抚恤金支出、退休人员基本医疗较上年减少。</w:t>
      </w:r>
      <w:r>
        <w:rPr>
          <w:rFonts w:ascii="仿宋_GB2312" w:hAnsi="仿宋_GB2312" w:eastAsia="仿宋_GB2312"/>
          <w:b/>
          <w:sz w:val="32"/>
        </w:rPr>
        <w:t>与年初预算相比,</w:t>
      </w:r>
      <w:r>
        <w:rPr>
          <w:rFonts w:ascii="仿宋_GB2312" w:hAnsi="仿宋_GB2312" w:eastAsia="仿宋_GB2312"/>
          <w:b w:val="0"/>
          <w:sz w:val="32"/>
        </w:rPr>
        <w:t>年初预算数2,963.48万元，决算数3,421.87万元，预决算差异率15.47%，主要原因是：年中追加人员工资、社保、公积金基数调增部分资金；追加2024年中央医疗服务与保障能力提升（医疗卫生机构能力建设）补助资金、2024年新疆人才发展基金第一轮支出资金、2024年中央财政医疗服务与保障能力提升（公立医院综合改革）补助资金、2024年中央重大传染病防控经费补助资金，导致预决算存在差异。</w:t>
      </w:r>
    </w:p>
    <w:p w14:paraId="64245BEE">
      <w:pPr>
        <w:spacing w:line="640" w:lineRule="exact"/>
        <w:ind w:firstLine="640"/>
        <w:jc w:val="both"/>
        <w:outlineLvl w:val="3"/>
      </w:pPr>
      <w:r>
        <w:rPr>
          <w:rFonts w:ascii="楷体_GB2312" w:hAnsi="楷体_GB2312" w:eastAsia="楷体_GB2312"/>
          <w:b/>
          <w:sz w:val="32"/>
        </w:rPr>
        <w:t>（二）一般公共预算财政拨款支出决算结构情况</w:t>
      </w:r>
    </w:p>
    <w:p w14:paraId="208A05C0">
      <w:pPr>
        <w:spacing w:line="580" w:lineRule="exact"/>
        <w:ind w:firstLine="640"/>
        <w:jc w:val="both"/>
      </w:pPr>
      <w:r>
        <w:rPr>
          <w:rFonts w:ascii="仿宋_GB2312" w:hAnsi="仿宋_GB2312" w:eastAsia="仿宋_GB2312"/>
          <w:b w:val="0"/>
          <w:sz w:val="32"/>
        </w:rPr>
        <w:t>1.社会保障和就业支出(类)593.58万元,占17.35%。</w:t>
      </w:r>
    </w:p>
    <w:p w14:paraId="3FBF7C23">
      <w:pPr>
        <w:spacing w:line="580" w:lineRule="exact"/>
        <w:ind w:firstLine="640"/>
        <w:jc w:val="both"/>
      </w:pPr>
      <w:r>
        <w:rPr>
          <w:rFonts w:ascii="仿宋_GB2312" w:hAnsi="仿宋_GB2312" w:eastAsia="仿宋_GB2312"/>
          <w:b w:val="0"/>
          <w:sz w:val="32"/>
        </w:rPr>
        <w:t>2.卫生健康支出(类)2,558.30万元,占74.76%。</w:t>
      </w:r>
    </w:p>
    <w:p w14:paraId="69CFC4EC">
      <w:pPr>
        <w:spacing w:line="580" w:lineRule="exact"/>
        <w:ind w:firstLine="640"/>
        <w:jc w:val="both"/>
      </w:pPr>
      <w:r>
        <w:rPr>
          <w:rFonts w:ascii="仿宋_GB2312" w:hAnsi="仿宋_GB2312" w:eastAsia="仿宋_GB2312"/>
          <w:b w:val="0"/>
          <w:sz w:val="32"/>
        </w:rPr>
        <w:t>3.住房保障支出(类)270.00万元,占7.89%。</w:t>
      </w:r>
    </w:p>
    <w:p w14:paraId="29B6F653">
      <w:pPr>
        <w:spacing w:line="640" w:lineRule="exact"/>
        <w:ind w:firstLine="640"/>
        <w:jc w:val="both"/>
        <w:outlineLvl w:val="3"/>
      </w:pPr>
      <w:r>
        <w:rPr>
          <w:rFonts w:ascii="楷体_GB2312" w:hAnsi="楷体_GB2312" w:eastAsia="楷体_GB2312"/>
          <w:b/>
          <w:sz w:val="32"/>
        </w:rPr>
        <w:t>（三）一般公共预算财政拨款支出决算具体情况</w:t>
      </w:r>
    </w:p>
    <w:p w14:paraId="35B7B3B7">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1.社会保障和就业支出(类)行政事业单位养老支出(款)事业单位离退休(项):支出决算数为140.68万元，比上年决算增加93.02万元，增长195.17%,主要原因是：本年增加退休人员基础绩效奖，退休费支出增加。</w:t>
      </w:r>
    </w:p>
    <w:p w14:paraId="485AD06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302.20万元，比上年决算增加2.88万元，增长0.96%,主要原因是：本年在职人员工资调增，养老缴费基数上涨，相应支出增加。</w:t>
      </w:r>
    </w:p>
    <w:p w14:paraId="16066528">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3.社会保障和就业支出(类)行政事业单位养老支出(款)机关事业单位职业年金缴费支出(项):支出决算数为150.69万元，比上年决算增加1.16万元，增长0.78%,主要原因是：本年新增退休人员，职业年金缴费支出增加。</w:t>
      </w:r>
    </w:p>
    <w:p w14:paraId="0788DB78">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4.社会保障和就业支出(类)抚恤(款)死亡抚恤(项):支出决算数为0.00万元，比上年决算减少83.98万元，下降100.00%,主要原因是：本年无新增死亡人员，死亡抚恤支出较上年减少。</w:t>
      </w:r>
    </w:p>
    <w:p w14:paraId="2E15E85D">
      <w:pPr>
        <w:spacing w:line="580" w:lineRule="exact"/>
        <w:ind w:firstLine="640"/>
        <w:jc w:val="both"/>
      </w:pPr>
      <w:r>
        <w:rPr>
          <w:rFonts w:ascii="仿宋_GB2312" w:hAnsi="仿宋_GB2312" w:eastAsia="仿宋_GB2312"/>
          <w:b w:val="0"/>
          <w:sz w:val="32"/>
        </w:rPr>
        <w:t>5.卫生健康支出(类)卫生健康管理事务(款)其他卫生健康管理事务支出(项):支出决算数为0.00万元，比上年决算减少140.00万元，下降100.00%,主要原因是：本年未安排中央医疗服务与保障能力提升（医疗卫生机构能力建设）补助资金。</w:t>
      </w:r>
    </w:p>
    <w:p w14:paraId="4B59A2E2">
      <w:pPr>
        <w:spacing w:line="580" w:lineRule="exact"/>
        <w:ind w:firstLine="640"/>
        <w:jc w:val="both"/>
      </w:pPr>
      <w:r>
        <w:rPr>
          <w:rFonts w:ascii="仿宋_GB2312" w:hAnsi="仿宋_GB2312" w:eastAsia="仿宋_GB2312"/>
          <w:b w:val="0"/>
          <w:sz w:val="32"/>
        </w:rPr>
        <w:t>6.卫生健康支出(类)公立医院(款)综合医院(项):支出决算数为2,017.32万元，比上年决算减少91.55万元，下降4.34%,主要原因是：本年在职人员</w:t>
      </w:r>
      <w:r>
        <w:rPr>
          <w:rFonts w:hint="eastAsia" w:ascii="仿宋_GB2312" w:hAnsi="仿宋_GB2312" w:eastAsia="仿宋_GB2312"/>
          <w:b w:val="0"/>
          <w:sz w:val="32"/>
          <w:lang w:val="en-US" w:eastAsia="zh-CN"/>
        </w:rPr>
        <w:t>减少</w:t>
      </w:r>
      <w:r>
        <w:rPr>
          <w:rFonts w:ascii="仿宋_GB2312" w:hAnsi="仿宋_GB2312" w:eastAsia="仿宋_GB2312"/>
          <w:b w:val="0"/>
          <w:sz w:val="32"/>
        </w:rPr>
        <w:t>，相关人员经费减少；在职人员年终一次性奖励金支出较上年减少。</w:t>
      </w:r>
    </w:p>
    <w:p w14:paraId="0221129D">
      <w:pPr>
        <w:spacing w:line="580" w:lineRule="exact"/>
        <w:ind w:firstLine="640"/>
        <w:jc w:val="both"/>
      </w:pPr>
      <w:r>
        <w:rPr>
          <w:rFonts w:ascii="仿宋_GB2312" w:hAnsi="仿宋_GB2312" w:eastAsia="仿宋_GB2312"/>
          <w:b w:val="0"/>
          <w:sz w:val="32"/>
        </w:rPr>
        <w:t>7.卫生健康支出(类)公立医院(款)其他公立医院支出(项):支出决算数为58.95万元，比上年决算减少27.47万元，下降31.79%,主要原因是：本年中央医疗服务与保障能力提升（公立医院综合改革）补助资金较上年减少。</w:t>
      </w:r>
    </w:p>
    <w:p w14:paraId="03388C60">
      <w:pPr>
        <w:spacing w:line="580" w:lineRule="exact"/>
        <w:ind w:firstLine="640"/>
        <w:jc w:val="both"/>
      </w:pPr>
      <w:r>
        <w:rPr>
          <w:rFonts w:ascii="仿宋_GB2312" w:hAnsi="仿宋_GB2312" w:eastAsia="仿宋_GB2312"/>
          <w:b w:val="0"/>
          <w:sz w:val="32"/>
        </w:rPr>
        <w:t>8.卫生健康支出(类)基层医疗卫生机构(款)其他基层医疗卫生机构支出(项):支出决算数为201.45万元，比上年决算增加201.45万元，增长100.00%,主要原因是：本年增加2024年中央医疗服务与保障能力提升（医疗卫生机构能力建设）补助资金。</w:t>
      </w:r>
    </w:p>
    <w:p w14:paraId="49EAFABB">
      <w:pPr>
        <w:spacing w:line="580" w:lineRule="exact"/>
        <w:ind w:firstLine="640"/>
        <w:jc w:val="both"/>
      </w:pPr>
      <w:r>
        <w:rPr>
          <w:rFonts w:ascii="仿宋_GB2312" w:hAnsi="仿宋_GB2312" w:eastAsia="仿宋_GB2312"/>
          <w:b w:val="0"/>
          <w:sz w:val="32"/>
        </w:rPr>
        <w:t>9.卫生健康支出(类)公共卫生(款)重大公共卫生服务(项):支出决算数为113.21万元，比上年决算增加88.61万元，增长360.20%,主要原因是：本年中央重大传染病防控补助资金拨付较上年增加。</w:t>
      </w:r>
    </w:p>
    <w:p w14:paraId="1ECC13A7">
      <w:pPr>
        <w:spacing w:line="580" w:lineRule="exact"/>
        <w:ind w:firstLine="640"/>
        <w:jc w:val="both"/>
      </w:pPr>
      <w:r>
        <w:rPr>
          <w:rFonts w:ascii="仿宋_GB2312" w:hAnsi="仿宋_GB2312" w:eastAsia="仿宋_GB2312"/>
          <w:b w:val="0"/>
          <w:sz w:val="32"/>
        </w:rPr>
        <w:t>10.卫生健康支出(类)公共卫生(款)其他公共卫生支出(项):支出决算数为14.67万元，比上年决算增加12.69万元，增长640.91%,主要原因是：本年自治区公共卫生服务（地方公共卫生）补助资金较上年增加。</w:t>
      </w:r>
    </w:p>
    <w:p w14:paraId="6474BF28">
      <w:pPr>
        <w:spacing w:line="580" w:lineRule="exact"/>
        <w:ind w:firstLine="640"/>
        <w:jc w:val="both"/>
      </w:pPr>
      <w:r>
        <w:rPr>
          <w:rFonts w:ascii="仿宋_GB2312" w:hAnsi="仿宋_GB2312" w:eastAsia="仿宋_GB2312"/>
          <w:b w:val="0"/>
          <w:sz w:val="32"/>
        </w:rPr>
        <w:t>11.卫生健康支出(类)行政事业单位医疗(款)事业单位医疗(项):支出决算数为152.70万元，比上年决算减少81.88万元，下降34.90%,主要原因是：因退休人员医疗保险制度改革，退休人员基本医疗不再由单位缴纳，导致经费较上年减少。</w:t>
      </w:r>
    </w:p>
    <w:p w14:paraId="37AF7E73">
      <w:pPr>
        <w:spacing w:line="580" w:lineRule="exact"/>
        <w:ind w:firstLine="640"/>
        <w:jc w:val="both"/>
      </w:pPr>
      <w:r>
        <w:rPr>
          <w:rFonts w:ascii="仿宋_GB2312" w:hAnsi="仿宋_GB2312" w:eastAsia="仿宋_GB2312"/>
          <w:b w:val="0"/>
          <w:sz w:val="32"/>
        </w:rPr>
        <w:t>12.住房保障支出(类)住房改革支出(款)住房公积金(项):支出决算数为270.00万元，比上年决算增加8.64万元，增长3.31%,主要原因是：本年在职人员工资调增，住房公积金基数上涨，相应支出增加。</w:t>
      </w:r>
    </w:p>
    <w:p w14:paraId="25056CEF">
      <w:pPr>
        <w:spacing w:line="640" w:lineRule="exact"/>
        <w:ind w:firstLine="640"/>
        <w:jc w:val="both"/>
        <w:outlineLvl w:val="2"/>
      </w:pPr>
      <w:r>
        <w:rPr>
          <w:rFonts w:ascii="黑体" w:hAnsi="黑体" w:eastAsia="黑体"/>
          <w:sz w:val="32"/>
        </w:rPr>
        <w:t>六、一般公共预算财政拨款基本支出决算情况说明</w:t>
      </w:r>
    </w:p>
    <w:p w14:paraId="0A5DD671">
      <w:pPr>
        <w:spacing w:line="580" w:lineRule="exact"/>
        <w:ind w:firstLine="640"/>
        <w:jc w:val="both"/>
      </w:pPr>
      <w:r>
        <w:rPr>
          <w:rFonts w:ascii="仿宋_GB2312" w:hAnsi="仿宋_GB2312" w:eastAsia="仿宋_GB2312"/>
          <w:b w:val="0"/>
          <w:sz w:val="32"/>
        </w:rPr>
        <w:t>2024年度一般公共预算财政拨款基本支出2,928.59万元，其中：</w:t>
      </w:r>
      <w:r>
        <w:rPr>
          <w:rFonts w:ascii="仿宋_GB2312" w:hAnsi="仿宋_GB2312" w:eastAsia="仿宋_GB2312"/>
          <w:b/>
          <w:sz w:val="32"/>
        </w:rPr>
        <w:t>人员经费2,928.59万元，</w:t>
      </w:r>
      <w:r>
        <w:rPr>
          <w:rFonts w:ascii="仿宋_GB2312" w:hAnsi="仿宋_GB2312" w:eastAsia="仿宋_GB2312"/>
          <w:b w:val="0"/>
          <w:sz w:val="32"/>
        </w:rPr>
        <w:t>包括：基本工资、津贴补贴、绩效工资、机关事业单位基本养老保险缴费、职业年金缴费、职工基本医疗保险缴费、住房公积金、离休费、退休费、生活补助、医疗费补助、奖励金。</w:t>
      </w:r>
    </w:p>
    <w:p w14:paraId="64862936">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CD8C3D5">
      <w:pPr>
        <w:spacing w:line="640" w:lineRule="exact"/>
        <w:ind w:firstLine="640"/>
        <w:jc w:val="both"/>
        <w:outlineLvl w:val="2"/>
      </w:pPr>
      <w:r>
        <w:rPr>
          <w:rFonts w:ascii="黑体" w:hAnsi="黑体" w:eastAsia="黑体"/>
          <w:sz w:val="32"/>
        </w:rPr>
        <w:t>七、政府性基金预算财政拨款收入支出决算情况说明</w:t>
      </w:r>
    </w:p>
    <w:p w14:paraId="053551DA">
      <w:pPr>
        <w:spacing w:line="580" w:lineRule="exact"/>
        <w:ind w:firstLine="640"/>
        <w:jc w:val="both"/>
      </w:pPr>
      <w:r>
        <w:rPr>
          <w:rFonts w:ascii="仿宋_GB2312" w:hAnsi="仿宋_GB2312" w:eastAsia="仿宋_GB2312"/>
          <w:b/>
          <w:sz w:val="32"/>
        </w:rPr>
        <w:t>2024年度政府性基金预算财政拨款收入总计3.90万元，</w:t>
      </w:r>
      <w:r>
        <w:rPr>
          <w:rFonts w:ascii="仿宋_GB2312" w:hAnsi="仿宋_GB2312" w:eastAsia="仿宋_GB2312"/>
          <w:b w:val="0"/>
          <w:sz w:val="32"/>
        </w:rPr>
        <w:t>其中：年初结转和结余0.00万元，本年收入3.90万元。</w:t>
      </w:r>
      <w:r>
        <w:rPr>
          <w:rFonts w:ascii="仿宋_GB2312" w:hAnsi="仿宋_GB2312" w:eastAsia="仿宋_GB2312"/>
          <w:b/>
          <w:sz w:val="32"/>
        </w:rPr>
        <w:t>政府性基金预算财政拨款支出总计3.90万元，</w:t>
      </w:r>
      <w:r>
        <w:rPr>
          <w:rFonts w:ascii="仿宋_GB2312" w:hAnsi="仿宋_GB2312" w:eastAsia="仿宋_GB2312"/>
          <w:b w:val="0"/>
          <w:sz w:val="32"/>
        </w:rPr>
        <w:t>其中：年末结转和结余0.00万元，本年支出3.90万元。</w:t>
      </w:r>
    </w:p>
    <w:p w14:paraId="08B84DE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增加3.90万元，增长100.00%，主要原因是：本年增加2024年中央专项彩票公益金支持地方社会公益事业发展项目（儿童护齿行动）资金。</w:t>
      </w:r>
      <w:r>
        <w:rPr>
          <w:rFonts w:ascii="仿宋_GB2312" w:hAnsi="仿宋_GB2312" w:eastAsia="仿宋_GB2312"/>
          <w:b/>
          <w:sz w:val="32"/>
        </w:rPr>
        <w:t>与年初预算相比，</w:t>
      </w:r>
      <w:r>
        <w:rPr>
          <w:rFonts w:ascii="仿宋_GB2312" w:hAnsi="仿宋_GB2312" w:eastAsia="仿宋_GB2312"/>
          <w:b w:val="0"/>
          <w:sz w:val="32"/>
        </w:rPr>
        <w:t>年初预算数0.00万元，决算数3.90万元，预决算差异率100.00%，主要原因是：年中追加2024年中央专项彩票公益金支持地方社会公益事业发展项目（儿童护齿行动）资金。</w:t>
      </w:r>
    </w:p>
    <w:p w14:paraId="59CDA016">
      <w:pPr>
        <w:spacing w:line="580" w:lineRule="exact"/>
        <w:ind w:firstLine="640"/>
        <w:jc w:val="both"/>
      </w:pPr>
      <w:r>
        <w:rPr>
          <w:rFonts w:ascii="仿宋_GB2312" w:hAnsi="仿宋_GB2312" w:eastAsia="仿宋_GB2312"/>
          <w:b w:val="0"/>
          <w:sz w:val="32"/>
        </w:rPr>
        <w:t>政府性基金预算财政拨款支出3.90万元。</w:t>
      </w:r>
    </w:p>
    <w:p w14:paraId="2BC1899F">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3.90万元，比上年决算增加3.90万元，增长100.00%,主要原因是：本年增加2024年中央专项彩票公益金支持地方社会公益事业发展项目（儿童护齿行动）资金。</w:t>
      </w:r>
    </w:p>
    <w:p w14:paraId="371896B3">
      <w:pPr>
        <w:spacing w:line="640" w:lineRule="exact"/>
        <w:ind w:firstLine="640"/>
        <w:jc w:val="both"/>
        <w:outlineLvl w:val="2"/>
      </w:pPr>
      <w:r>
        <w:rPr>
          <w:rFonts w:ascii="黑体" w:hAnsi="黑体" w:eastAsia="黑体"/>
          <w:sz w:val="32"/>
        </w:rPr>
        <w:t>八、国有资本经营预算财政拨款收入支出决算情况说明</w:t>
      </w:r>
    </w:p>
    <w:p w14:paraId="57CA4B5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2006053">
      <w:pPr>
        <w:spacing w:line="640" w:lineRule="exact"/>
        <w:ind w:firstLine="640"/>
        <w:jc w:val="both"/>
        <w:outlineLvl w:val="2"/>
      </w:pPr>
      <w:r>
        <w:rPr>
          <w:rFonts w:ascii="黑体" w:hAnsi="黑体" w:eastAsia="黑体"/>
          <w:sz w:val="32"/>
        </w:rPr>
        <w:t>九、财政拨款“三公”经费支出决算情况说明</w:t>
      </w:r>
    </w:p>
    <w:p w14:paraId="1E6589C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5E5B5A1">
      <w:pPr>
        <w:spacing w:line="580" w:lineRule="exact"/>
        <w:ind w:firstLine="640"/>
        <w:jc w:val="both"/>
      </w:pPr>
      <w:r>
        <w:rPr>
          <w:rFonts w:ascii="仿宋_GB2312" w:hAnsi="仿宋_GB2312" w:eastAsia="仿宋_GB2312"/>
          <w:b/>
          <w:sz w:val="32"/>
        </w:rPr>
        <w:t>具体情况如下：</w:t>
      </w:r>
    </w:p>
    <w:p w14:paraId="7242827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CA53F8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12辆，与公务用车保有量差异原因是：差异车辆为医院救护车，车辆费用未使用财政拨款公务用车运行维护费支付，由</w:t>
      </w:r>
      <w:r>
        <w:rPr>
          <w:rFonts w:hint="eastAsia" w:ascii="仿宋_GB2312" w:hAnsi="仿宋_GB2312" w:eastAsia="仿宋_GB2312"/>
          <w:b w:val="0"/>
          <w:sz w:val="32"/>
          <w:lang w:val="en-US" w:eastAsia="zh-CN"/>
        </w:rPr>
        <w:t>单位</w:t>
      </w:r>
      <w:bookmarkStart w:id="0" w:name="_GoBack"/>
      <w:bookmarkEnd w:id="0"/>
      <w:r>
        <w:rPr>
          <w:rFonts w:ascii="仿宋_GB2312" w:hAnsi="仿宋_GB2312" w:eastAsia="仿宋_GB2312"/>
          <w:b w:val="0"/>
          <w:sz w:val="32"/>
        </w:rPr>
        <w:t>自有资金保障。</w:t>
      </w:r>
    </w:p>
    <w:p w14:paraId="29D9663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535886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22796C8">
      <w:pPr>
        <w:spacing w:line="640" w:lineRule="exact"/>
        <w:ind w:firstLine="640"/>
        <w:jc w:val="both"/>
        <w:outlineLvl w:val="2"/>
      </w:pPr>
      <w:r>
        <w:rPr>
          <w:rFonts w:ascii="黑体" w:hAnsi="黑体" w:eastAsia="黑体"/>
          <w:sz w:val="32"/>
        </w:rPr>
        <w:t>十、其他重要事项的情况说明</w:t>
      </w:r>
    </w:p>
    <w:p w14:paraId="4344BA38">
      <w:pPr>
        <w:spacing w:line="640" w:lineRule="exact"/>
        <w:ind w:firstLine="640"/>
        <w:jc w:val="both"/>
        <w:outlineLvl w:val="3"/>
      </w:pPr>
      <w:r>
        <w:rPr>
          <w:rFonts w:ascii="楷体_GB2312" w:hAnsi="楷体_GB2312" w:eastAsia="楷体_GB2312"/>
          <w:b/>
          <w:sz w:val="32"/>
        </w:rPr>
        <w:t>（一）机关运行经费及公用经费支出情况</w:t>
      </w:r>
    </w:p>
    <w:p w14:paraId="7F4893BE">
      <w:pPr>
        <w:spacing w:line="580" w:lineRule="exact"/>
        <w:ind w:firstLine="640"/>
        <w:jc w:val="both"/>
      </w:pPr>
      <w:r>
        <w:rPr>
          <w:rFonts w:ascii="仿宋_GB2312" w:hAnsi="仿宋_GB2312" w:eastAsia="仿宋_GB2312"/>
          <w:b w:val="0"/>
          <w:sz w:val="32"/>
        </w:rPr>
        <w:t>2024年度霍城县第一人民医院（霍城县江苏医院）（事业单位）公用经费支出0.00万元，比上年增加0.00万元，增长0.00%，主要原因是：2023年与2024年均未安排公用经费支出。</w:t>
      </w:r>
    </w:p>
    <w:p w14:paraId="56C49DD2">
      <w:pPr>
        <w:spacing w:line="640" w:lineRule="exact"/>
        <w:ind w:firstLine="640"/>
        <w:jc w:val="both"/>
        <w:outlineLvl w:val="3"/>
      </w:pPr>
      <w:r>
        <w:rPr>
          <w:rFonts w:ascii="楷体_GB2312" w:hAnsi="楷体_GB2312" w:eastAsia="楷体_GB2312"/>
          <w:b/>
          <w:sz w:val="32"/>
        </w:rPr>
        <w:t>（二）政府采购情况</w:t>
      </w:r>
    </w:p>
    <w:p w14:paraId="14F9E172">
      <w:pPr>
        <w:spacing w:line="580" w:lineRule="exact"/>
        <w:ind w:firstLine="640"/>
        <w:jc w:val="both"/>
      </w:pPr>
      <w:r>
        <w:rPr>
          <w:rFonts w:ascii="仿宋_GB2312" w:hAnsi="仿宋_GB2312" w:eastAsia="仿宋_GB2312"/>
          <w:b w:val="0"/>
          <w:sz w:val="32"/>
        </w:rPr>
        <w:t>2024年度政府采购支出总额1,203.41万元，其中：政府采购货物支出296.02万元、政府采购工程支出88.49万元、政府采购服务支出818.90万元。</w:t>
      </w:r>
    </w:p>
    <w:p w14:paraId="56E58290">
      <w:pPr>
        <w:spacing w:line="580" w:lineRule="exact"/>
        <w:ind w:firstLine="640"/>
        <w:jc w:val="both"/>
      </w:pPr>
      <w:r>
        <w:rPr>
          <w:rFonts w:ascii="仿宋_GB2312" w:hAnsi="仿宋_GB2312" w:eastAsia="仿宋_GB2312"/>
          <w:b w:val="0"/>
          <w:sz w:val="32"/>
        </w:rPr>
        <w:t>授予中小企业合同金额1,180.96万元，占政府采购支出总额的98.13%，其中：授予小微企业合同金额993.28万元，占政府采购支出总额的82.54%。</w:t>
      </w:r>
    </w:p>
    <w:p w14:paraId="0A130C49">
      <w:pPr>
        <w:spacing w:line="640" w:lineRule="exact"/>
        <w:ind w:firstLine="640"/>
        <w:jc w:val="both"/>
        <w:outlineLvl w:val="3"/>
      </w:pPr>
      <w:r>
        <w:rPr>
          <w:rFonts w:ascii="楷体_GB2312" w:hAnsi="楷体_GB2312" w:eastAsia="楷体_GB2312"/>
          <w:b/>
          <w:sz w:val="32"/>
        </w:rPr>
        <w:t>（三）国有资产占用情况说明</w:t>
      </w:r>
    </w:p>
    <w:p w14:paraId="064B9AC3">
      <w:pPr>
        <w:spacing w:line="580" w:lineRule="exact"/>
        <w:ind w:firstLine="640"/>
        <w:jc w:val="both"/>
      </w:pPr>
      <w:r>
        <w:rPr>
          <w:rFonts w:ascii="仿宋_GB2312" w:hAnsi="仿宋_GB2312" w:eastAsia="仿宋_GB2312"/>
          <w:b w:val="0"/>
          <w:sz w:val="32"/>
        </w:rPr>
        <w:t>截至2024年12月31日，房屋65,893.42平方米，价值24,913.96万元。车辆12辆，价值587.76万元，其中：副部（省）级及以上领导用车0辆、主要负责人用车0辆、机要通信用车0辆、应急保障用车0辆、执法执勤用车0辆、特种专业技术用车11辆、离退休干部服务用车0辆、其他用车1辆，其他用车主要是：单位业务用车。单价100万元（含）以上设备（不含车辆）32台（套）。</w:t>
      </w:r>
    </w:p>
    <w:p w14:paraId="32B9951D">
      <w:pPr>
        <w:spacing w:line="640" w:lineRule="exact"/>
        <w:ind w:firstLine="640"/>
        <w:jc w:val="both"/>
        <w:outlineLvl w:val="2"/>
      </w:pPr>
      <w:r>
        <w:rPr>
          <w:rFonts w:ascii="黑体" w:hAnsi="黑体" w:eastAsia="黑体"/>
          <w:sz w:val="32"/>
        </w:rPr>
        <w:t>十一、预算绩效的情况说明</w:t>
      </w:r>
    </w:p>
    <w:p w14:paraId="77A613A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18,699.61万元，实际执行总额18,699.61万元；预算绩效评价项目2个，全年预算数15,373.83万元，全年执行数15,373.83万元。预算绩效管理取得的成效：一是通过预算绩效管理，确保医院资金、人力资源的有效利用；二是通过设定明确的绩效指标，医院能够更好地监测和评估医疗服务质量。发现的问题及原因：一是预算绩效管理不够明确和细化，应根据医院的实际情况进行个性化设置，预算执行力度还需进一步加强。二是内控制度需进一步完善，随着资金管理改革的进一步推进，</w:t>
      </w:r>
      <w:r>
        <w:rPr>
          <w:rFonts w:hint="eastAsia" w:ascii="仿宋_GB2312" w:hAnsi="仿宋_GB2312" w:eastAsia="仿宋_GB2312"/>
          <w:b w:val="0"/>
          <w:sz w:val="32"/>
          <w:lang w:eastAsia="zh-CN"/>
        </w:rPr>
        <w:t>本单位</w:t>
      </w:r>
      <w:r>
        <w:rPr>
          <w:rFonts w:ascii="仿宋_GB2312" w:hAnsi="仿宋_GB2312" w:eastAsia="仿宋_GB2312"/>
          <w:b w:val="0"/>
          <w:sz w:val="32"/>
        </w:rPr>
        <w:t>相关科室进行了相应的优化，建立健全了财务管理制度、固定资产管理制度、费用报销审批等制度，但仍需进一步强化财务约束监督体制。下一步改进措施：一是进一步规范财务管理，对本单位当年度的各项工作开展做到心中有数，统筹安排，合理配置，在以后工作中，坚持做到合理安排预算资金，不断完善支出结构，优化资金使用率，进一步完善预算管理体制。二是加强内控体系建设，建立健全内部控制制度，构建完善的财务监督管理制度，加强对</w:t>
      </w:r>
      <w:r>
        <w:rPr>
          <w:rFonts w:hint="eastAsia" w:ascii="仿宋_GB2312" w:hAnsi="仿宋_GB2312" w:eastAsia="仿宋_GB2312"/>
          <w:b w:val="0"/>
          <w:sz w:val="32"/>
          <w:lang w:eastAsia="zh-CN"/>
        </w:rPr>
        <w:t>本单位</w:t>
      </w:r>
      <w:r>
        <w:rPr>
          <w:rFonts w:ascii="仿宋_GB2312" w:hAnsi="仿宋_GB2312" w:eastAsia="仿宋_GB2312"/>
          <w:b w:val="0"/>
          <w:sz w:val="32"/>
        </w:rPr>
        <w:t>的财务收支活动的全面监督，使</w:t>
      </w:r>
      <w:r>
        <w:rPr>
          <w:rFonts w:hint="eastAsia" w:ascii="仿宋_GB2312" w:hAnsi="仿宋_GB2312" w:eastAsia="仿宋_GB2312"/>
          <w:b w:val="0"/>
          <w:sz w:val="32"/>
          <w:lang w:eastAsia="zh-CN"/>
        </w:rPr>
        <w:t>本单位</w:t>
      </w:r>
      <w:r>
        <w:rPr>
          <w:rFonts w:ascii="仿宋_GB2312" w:hAnsi="仿宋_GB2312" w:eastAsia="仿宋_GB2312"/>
          <w:b w:val="0"/>
          <w:sz w:val="32"/>
        </w:rPr>
        <w:t>财务运行得到基本制度保障，优化业财融合监督流程。具体附整体支出绩效自评表，项目支出绩效自评表和评价报告。</w:t>
      </w:r>
    </w:p>
    <w:p w14:paraId="7F8673E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0095345">
        <w:tblPrEx>
          <w:tblCellMar>
            <w:top w:w="0" w:type="dxa"/>
            <w:left w:w="108" w:type="dxa"/>
            <w:bottom w:w="0" w:type="dxa"/>
            <w:right w:w="108" w:type="dxa"/>
          </w:tblCellMar>
        </w:tblPrEx>
        <w:tc>
          <w:tcPr>
            <w:tcW w:w="8840" w:type="dxa"/>
            <w:gridSpan w:val="8"/>
            <w:vAlign w:val="center"/>
          </w:tcPr>
          <w:p w14:paraId="2D41CC53">
            <w:pPr>
              <w:jc w:val="center"/>
            </w:pPr>
            <w:r>
              <w:rPr>
                <w:rFonts w:ascii="宋体" w:hAnsi="宋体" w:eastAsia="宋体"/>
                <w:sz w:val="24"/>
              </w:rPr>
              <w:t>单位整体支出绩效自评表</w:t>
            </w:r>
          </w:p>
        </w:tc>
      </w:tr>
      <w:tr w14:paraId="77C4731E">
        <w:tblPrEx>
          <w:tblCellMar>
            <w:top w:w="0" w:type="dxa"/>
            <w:left w:w="108" w:type="dxa"/>
            <w:bottom w:w="0" w:type="dxa"/>
            <w:right w:w="108" w:type="dxa"/>
          </w:tblCellMar>
        </w:tblPrEx>
        <w:tc>
          <w:tcPr>
            <w:tcW w:w="8840" w:type="dxa"/>
            <w:gridSpan w:val="8"/>
            <w:vAlign w:val="center"/>
          </w:tcPr>
          <w:p w14:paraId="324D14B3">
            <w:pPr>
              <w:jc w:val="center"/>
            </w:pPr>
            <w:r>
              <w:rPr>
                <w:rFonts w:ascii="宋体" w:hAnsi="宋体" w:eastAsia="宋体"/>
                <w:sz w:val="24"/>
              </w:rPr>
              <w:t>（2024年度）</w:t>
            </w:r>
          </w:p>
        </w:tc>
      </w:tr>
      <w:tr w14:paraId="7EEA098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03FB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74B19D">
            <w:pPr>
              <w:jc w:val="center"/>
            </w:pPr>
            <w:r>
              <w:rPr>
                <w:rFonts w:ascii="宋体" w:hAnsi="宋体" w:eastAsia="宋体"/>
                <w:sz w:val="16"/>
              </w:rPr>
              <w:t>霍城县第一人民医院（霍城县江苏医院）</w:t>
            </w:r>
          </w:p>
        </w:tc>
      </w:tr>
      <w:tr w14:paraId="44BDC62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52902">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FC77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675B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46660">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78D36F">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B685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CE40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F1A144">
            <w:pPr>
              <w:jc w:val="center"/>
            </w:pPr>
            <w:r>
              <w:rPr>
                <w:rFonts w:ascii="宋体" w:hAnsi="宋体" w:eastAsia="宋体"/>
                <w:sz w:val="16"/>
              </w:rPr>
              <w:t>得分</w:t>
            </w:r>
          </w:p>
        </w:tc>
      </w:tr>
      <w:tr w14:paraId="1B11F0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9ED96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BAAE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A82D6">
            <w:pPr>
              <w:jc w:val="center"/>
            </w:pPr>
            <w:r>
              <w:rPr>
                <w:rFonts w:ascii="宋体" w:hAnsi="宋体" w:eastAsia="宋体"/>
                <w:sz w:val="16"/>
              </w:rPr>
              <w:t>21,248.88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3C111">
            <w:pPr>
              <w:jc w:val="center"/>
            </w:pPr>
            <w:r>
              <w:rPr>
                <w:rFonts w:ascii="宋体" w:hAnsi="宋体" w:eastAsia="宋体"/>
                <w:sz w:val="16"/>
              </w:rPr>
              <w:t>18,699.61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84F855">
            <w:pPr>
              <w:jc w:val="center"/>
            </w:pPr>
            <w:r>
              <w:rPr>
                <w:rFonts w:ascii="宋体" w:hAnsi="宋体" w:eastAsia="宋体"/>
                <w:sz w:val="16"/>
              </w:rPr>
              <w:t>18,699.61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029B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9E90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86B2F">
            <w:pPr>
              <w:jc w:val="center"/>
            </w:pPr>
            <w:r>
              <w:rPr>
                <w:rFonts w:ascii="宋体" w:hAnsi="宋体" w:eastAsia="宋体"/>
                <w:sz w:val="16"/>
              </w:rPr>
              <w:t>10</w:t>
            </w:r>
          </w:p>
        </w:tc>
      </w:tr>
      <w:tr w14:paraId="16E343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10AC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96726">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B9C0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73F1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83B9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F0CD6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A6EC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1E029">
            <w:pPr>
              <w:jc w:val="center"/>
            </w:pPr>
            <w:r>
              <w:rPr>
                <w:rFonts w:ascii="宋体" w:hAnsi="宋体" w:eastAsia="宋体"/>
                <w:sz w:val="16"/>
              </w:rPr>
              <w:t>-</w:t>
            </w:r>
          </w:p>
        </w:tc>
      </w:tr>
      <w:tr w14:paraId="1B4FB5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D34B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A46C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CBAD1">
            <w:pPr>
              <w:jc w:val="center"/>
            </w:pPr>
            <w:r>
              <w:rPr>
                <w:rFonts w:ascii="宋体" w:hAnsi="宋体" w:eastAsia="宋体"/>
                <w:sz w:val="16"/>
              </w:rPr>
              <w:t>2,963.48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0C802">
            <w:pPr>
              <w:jc w:val="center"/>
            </w:pPr>
            <w:r>
              <w:rPr>
                <w:rFonts w:ascii="宋体" w:hAnsi="宋体" w:eastAsia="宋体"/>
                <w:sz w:val="16"/>
              </w:rPr>
              <w:t>3,425.77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F6B65">
            <w:pPr>
              <w:jc w:val="center"/>
            </w:pPr>
            <w:r>
              <w:rPr>
                <w:rFonts w:ascii="宋体" w:hAnsi="宋体" w:eastAsia="宋体"/>
                <w:sz w:val="16"/>
              </w:rPr>
              <w:t>3,425.77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B393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E190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27FA5">
            <w:pPr>
              <w:jc w:val="center"/>
            </w:pPr>
            <w:r>
              <w:rPr>
                <w:rFonts w:ascii="宋体" w:hAnsi="宋体" w:eastAsia="宋体"/>
                <w:sz w:val="16"/>
              </w:rPr>
              <w:t>-</w:t>
            </w:r>
          </w:p>
        </w:tc>
      </w:tr>
      <w:tr w14:paraId="0AF106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FE561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86E0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817EC">
            <w:pPr>
              <w:jc w:val="center"/>
            </w:pPr>
            <w:r>
              <w:rPr>
                <w:rFonts w:ascii="宋体" w:hAnsi="宋体" w:eastAsia="宋体"/>
                <w:sz w:val="16"/>
              </w:rPr>
              <w:t>18,285.40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1E3B4">
            <w:pPr>
              <w:jc w:val="center"/>
            </w:pPr>
            <w:r>
              <w:rPr>
                <w:rFonts w:ascii="宋体" w:hAnsi="宋体" w:eastAsia="宋体"/>
                <w:sz w:val="16"/>
              </w:rPr>
              <w:t>15,273.84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9B2B4">
            <w:pPr>
              <w:jc w:val="center"/>
            </w:pPr>
            <w:r>
              <w:rPr>
                <w:rFonts w:ascii="宋体" w:hAnsi="宋体" w:eastAsia="宋体"/>
                <w:sz w:val="16"/>
              </w:rPr>
              <w:t>15,273.84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2788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7F66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1F9F62">
            <w:pPr>
              <w:jc w:val="center"/>
            </w:pPr>
            <w:r>
              <w:rPr>
                <w:rFonts w:ascii="宋体" w:hAnsi="宋体" w:eastAsia="宋体"/>
                <w:sz w:val="16"/>
              </w:rPr>
              <w:t>-</w:t>
            </w:r>
          </w:p>
        </w:tc>
      </w:tr>
      <w:tr w14:paraId="65F1AA9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68DF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FA756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584CC9">
            <w:pPr>
              <w:jc w:val="center"/>
            </w:pPr>
            <w:r>
              <w:rPr>
                <w:rFonts w:ascii="宋体" w:hAnsi="宋体" w:eastAsia="宋体"/>
                <w:sz w:val="16"/>
              </w:rPr>
              <w:t>实际完成情况</w:t>
            </w:r>
          </w:p>
        </w:tc>
      </w:tr>
      <w:tr w14:paraId="29B90B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91025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D0AAF6">
            <w:pPr>
              <w:jc w:val="both"/>
            </w:pPr>
            <w:r>
              <w:rPr>
                <w:rFonts w:ascii="宋体" w:hAnsi="宋体" w:eastAsia="宋体"/>
                <w:sz w:val="16"/>
              </w:rPr>
              <w:t>贯彻落实</w:t>
            </w:r>
            <w:r>
              <w:rPr>
                <w:rFonts w:hint="eastAsia" w:ascii="宋体" w:hAnsi="宋体"/>
                <w:sz w:val="16"/>
                <w:lang w:eastAsia="zh-CN"/>
              </w:rPr>
              <w:t>党中央、国务院</w:t>
            </w:r>
            <w:r>
              <w:rPr>
                <w:rFonts w:ascii="宋体" w:hAnsi="宋体" w:eastAsia="宋体"/>
                <w:sz w:val="16"/>
              </w:rPr>
              <w:t>决策部署，推动“十四五”时期公立医院实现高质量发展，进一步加大对我院科室建设、诊疗技术、装备、医师职业技术提升等方面的投入，积极与自治区、州级医院建立专科联盟，以专家带教，实时临床远程诊疗、临床实训、培训等方式，带动重点专科、全科医学带头人，提升医疗技术水平，加快医院高素质人才梯队建设。将深化公立医院改革作为保障和改善民生的重要举措，确保公立医院的公益性，提高医疗质量和服务水平，减轻群众看病负担，保障医院正常运行。</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1785A7">
            <w:pPr>
              <w:jc w:val="both"/>
            </w:pPr>
            <w:r>
              <w:rPr>
                <w:rFonts w:hint="eastAsia" w:ascii="宋体" w:hAnsi="宋体"/>
                <w:sz w:val="16"/>
                <w:lang w:eastAsia="zh-CN"/>
              </w:rPr>
              <w:t>1.</w:t>
            </w:r>
            <w:r>
              <w:rPr>
                <w:rFonts w:ascii="宋体" w:hAnsi="宋体" w:eastAsia="宋体"/>
                <w:sz w:val="16"/>
              </w:rPr>
              <w:t>提高了县域内的就诊率，2024年完成门急诊人次273784人次，较上年增幅18.56%，出院者平均住院天数6.11天，较上年缩短了3.6%，医疗服务收入占比36.46%；</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2、为推进县级医疗卫生事业高水平发展，让群众在家门口就能享受到优质医疗服务，我院成立医务、护理、院感、药剂等联合指导组，根据《乡镇卫生院服务能力评价指南(2019年版)》及《霍城县第一人民</w:t>
            </w:r>
            <w:r>
              <w:rPr>
                <w:rFonts w:hint="eastAsia" w:ascii="宋体" w:hAnsi="宋体"/>
                <w:sz w:val="16"/>
                <w:lang w:eastAsia="zh-CN"/>
              </w:rPr>
              <w:t>医院</w:t>
            </w:r>
            <w:r>
              <w:rPr>
                <w:rFonts w:ascii="宋体" w:hAnsi="宋体" w:eastAsia="宋体"/>
                <w:sz w:val="16"/>
              </w:rPr>
              <w:t>质量考核标准》对东片区乡镇卫生院及其村卫生室进行指导2次并派11名骨干到六个乡镇开展指导工作；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3、通过加强医疗技术培训，我院举办州级继续医学教育项目培训班《临床合理用血管理培训班</w:t>
            </w:r>
            <w:r>
              <w:rPr>
                <w:rFonts w:hint="eastAsia" w:ascii="宋体" w:hAnsi="宋体"/>
                <w:sz w:val="16"/>
                <w:lang w:eastAsia="zh-CN"/>
              </w:rPr>
              <w:t>》《</w:t>
            </w:r>
            <w:r>
              <w:rPr>
                <w:rFonts w:ascii="宋体" w:hAnsi="宋体" w:eastAsia="宋体"/>
                <w:sz w:val="16"/>
              </w:rPr>
              <w:t>霍城县孕产妇保健及管理培训班</w:t>
            </w:r>
            <w:r>
              <w:rPr>
                <w:rFonts w:hint="eastAsia" w:ascii="宋体" w:hAnsi="宋体"/>
                <w:sz w:val="16"/>
                <w:lang w:eastAsia="zh-CN"/>
              </w:rPr>
              <w:t>》《</w:t>
            </w:r>
            <w:r>
              <w:rPr>
                <w:rFonts w:ascii="宋体" w:hAnsi="宋体" w:eastAsia="宋体"/>
                <w:sz w:val="16"/>
              </w:rPr>
              <w:t>慢性气道疾病的规范化管理及诊治新进展学习班》《心脏康复理论及应用》学习班等4期，承接自治区级《临床心电图新技术及新进展学习班》《超声新技术及新进展学习班》《口腔种植牙的牙周支持技术》《骨盆髋臼骨折微创技术的应用》等4期学习班；</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为给患者提供更优质的医疗技术，我院与西京医院、自治区人民医院签订联合体协议书，呼吸与危重症医学科、普外微创外科、肛肠外科签订专科联盟合作协议；与新疆医科大学附属肿瘤医院签订新疆肿瘤防治联盟合作协议书；与新疆军区总医院签订肿瘤疾病专科联盟；与新疆医科大学第五附属医院、伊犁州妇幼保健院签订医疗联合体合作协议书；与伊犁州友谊医院签订普外科、医学影像、眼科等13个科室签订专科联盟合作协议；成立“张洪新”、“王德全”、“黄伟”等名医专家工作室，开展带教、手术、业务查房、教学等业务指导；</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5、我院各科室依托援疆及周边上级医院优势申报了新技术、新项目共计14项。申报州级科技项目3项，联合上级医院开展《心血管高危人群</w:t>
            </w:r>
            <w:r>
              <w:rPr>
                <w:rFonts w:hint="eastAsia" w:ascii="宋体" w:hAnsi="宋体"/>
                <w:sz w:val="16"/>
                <w:lang w:eastAsia="zh-CN"/>
              </w:rPr>
              <w:t>早期</w:t>
            </w:r>
            <w:r>
              <w:rPr>
                <w:rFonts w:ascii="宋体" w:hAnsi="宋体" w:eastAsia="宋体"/>
                <w:sz w:val="16"/>
              </w:rPr>
              <w:t>筛查与综合干预项目》《床旁盲插鼻肠管在急性缺血性卒中患者中误吸发生率的观察》项目2项，并助推霍城县第一人民医院房颤中心、脑卒中中心顺利通过复审、获批慢病管理中心建设单位及包虫病定点医疗机构，帮助医院尽快适应DRG运营管理新角色。</w:t>
            </w:r>
          </w:p>
        </w:tc>
      </w:tr>
      <w:tr w14:paraId="3AEE5AA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ED2A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E1C2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E1AB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E372E">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6563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01DF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FD0B2">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81AB8">
            <w:pPr>
              <w:jc w:val="center"/>
            </w:pPr>
            <w:r>
              <w:rPr>
                <w:rFonts w:ascii="宋体" w:hAnsi="宋体" w:eastAsia="宋体"/>
                <w:sz w:val="16"/>
              </w:rPr>
              <w:t>得分</w:t>
            </w:r>
          </w:p>
        </w:tc>
      </w:tr>
      <w:tr w14:paraId="1870D7F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2733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9B09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D47EFB">
            <w:pPr>
              <w:jc w:val="center"/>
            </w:pPr>
            <w:r>
              <w:rPr>
                <w:rFonts w:ascii="宋体" w:hAnsi="宋体" w:eastAsia="宋体"/>
                <w:sz w:val="16"/>
              </w:rPr>
              <w:t>门急诊人次增幅</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85545">
            <w:pPr>
              <w:jc w:val="center"/>
            </w:pPr>
            <w:r>
              <w:rPr>
                <w:rFonts w:ascii="宋体" w:hAnsi="宋体" w:eastAsia="宋体"/>
                <w:sz w:val="16"/>
              </w:rPr>
              <w:t>&gt;=3%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49D53">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3FE6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1F401">
            <w:pPr>
              <w:jc w:val="center"/>
            </w:pPr>
            <w:r>
              <w:rPr>
                <w:rFonts w:ascii="宋体" w:hAnsi="宋体" w:eastAsia="宋体"/>
                <w:sz w:val="16"/>
              </w:rPr>
              <w:t>18.56%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4CD12">
            <w:pPr>
              <w:jc w:val="center"/>
            </w:pPr>
            <w:r>
              <w:rPr>
                <w:rFonts w:ascii="宋体" w:hAnsi="宋体" w:eastAsia="宋体"/>
                <w:sz w:val="16"/>
              </w:rPr>
              <w:t>10</w:t>
            </w:r>
          </w:p>
        </w:tc>
      </w:tr>
      <w:tr w14:paraId="5892C5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11208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32E9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F7C11">
            <w:pPr>
              <w:jc w:val="center"/>
            </w:pPr>
            <w:r>
              <w:rPr>
                <w:rFonts w:ascii="宋体" w:hAnsi="宋体" w:eastAsia="宋体"/>
                <w:sz w:val="16"/>
              </w:rPr>
              <w:t>卫生技术人员中专科及以上学历占比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A9491">
            <w:pPr>
              <w:jc w:val="center"/>
            </w:pPr>
            <w:r>
              <w:rPr>
                <w:rFonts w:ascii="宋体" w:hAnsi="宋体" w:eastAsia="宋体"/>
                <w:sz w:val="16"/>
              </w:rPr>
              <w:t>&gt;=70%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DE283">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13C7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39648">
            <w:pPr>
              <w:jc w:val="center"/>
            </w:pPr>
            <w:r>
              <w:rPr>
                <w:rFonts w:ascii="宋体" w:hAnsi="宋体" w:eastAsia="宋体"/>
                <w:sz w:val="16"/>
              </w:rPr>
              <w:t>96.06%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5803A">
            <w:pPr>
              <w:jc w:val="center"/>
            </w:pPr>
            <w:r>
              <w:rPr>
                <w:rFonts w:ascii="宋体" w:hAnsi="宋体" w:eastAsia="宋体"/>
                <w:sz w:val="16"/>
              </w:rPr>
              <w:t>10</w:t>
            </w:r>
          </w:p>
        </w:tc>
      </w:tr>
      <w:tr w14:paraId="22D093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3B64C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2C2C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59EB8">
            <w:pPr>
              <w:jc w:val="center"/>
            </w:pPr>
            <w:r>
              <w:rPr>
                <w:rFonts w:ascii="宋体" w:hAnsi="宋体" w:eastAsia="宋体"/>
                <w:sz w:val="16"/>
              </w:rPr>
              <w:t>出院者平均住院天数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7AE0D2">
            <w:pPr>
              <w:jc w:val="center"/>
            </w:pPr>
            <w:r>
              <w:rPr>
                <w:rFonts w:ascii="宋体" w:hAnsi="宋体" w:eastAsia="宋体"/>
                <w:sz w:val="16"/>
              </w:rPr>
              <w:t>&lt;=8天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A74E9">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AD40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B7B7C">
            <w:pPr>
              <w:jc w:val="center"/>
            </w:pPr>
            <w:r>
              <w:rPr>
                <w:rFonts w:ascii="宋体" w:hAnsi="宋体" w:eastAsia="宋体"/>
                <w:sz w:val="16"/>
              </w:rPr>
              <w:t>6.11天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2C647">
            <w:pPr>
              <w:jc w:val="center"/>
            </w:pPr>
            <w:r>
              <w:rPr>
                <w:rFonts w:ascii="宋体" w:hAnsi="宋体" w:eastAsia="宋体"/>
                <w:sz w:val="16"/>
              </w:rPr>
              <w:t>10</w:t>
            </w:r>
          </w:p>
        </w:tc>
      </w:tr>
      <w:tr w14:paraId="47CFD9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C777B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F549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A5FE4">
            <w:pPr>
              <w:jc w:val="center"/>
            </w:pPr>
            <w:r>
              <w:rPr>
                <w:rFonts w:ascii="宋体" w:hAnsi="宋体" w:eastAsia="宋体"/>
                <w:sz w:val="16"/>
              </w:rPr>
              <w:t>医疗服务收入(不含药品、耗材、检查、化验收入)占医疗收入比例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AD3B68">
            <w:pPr>
              <w:jc w:val="center"/>
            </w:pPr>
            <w:r>
              <w:rPr>
                <w:rFonts w:ascii="宋体" w:hAnsi="宋体" w:eastAsia="宋体"/>
                <w:sz w:val="16"/>
              </w:rPr>
              <w:t>&gt;=35%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09338">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001A9">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9631E">
            <w:pPr>
              <w:jc w:val="center"/>
            </w:pPr>
            <w:r>
              <w:rPr>
                <w:rFonts w:ascii="宋体" w:hAnsi="宋体" w:eastAsia="宋体"/>
                <w:sz w:val="16"/>
              </w:rPr>
              <w:t>36.46%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B0082">
            <w:pPr>
              <w:jc w:val="center"/>
            </w:pPr>
            <w:r>
              <w:rPr>
                <w:rFonts w:ascii="宋体" w:hAnsi="宋体" w:eastAsia="宋体"/>
                <w:sz w:val="16"/>
              </w:rPr>
              <w:t>12</w:t>
            </w:r>
          </w:p>
        </w:tc>
      </w:tr>
      <w:tr w14:paraId="41E151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BDE7B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D14E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6C24C">
            <w:pPr>
              <w:jc w:val="center"/>
            </w:pPr>
            <w:r>
              <w:rPr>
                <w:rFonts w:ascii="宋体" w:hAnsi="宋体" w:eastAsia="宋体"/>
                <w:sz w:val="16"/>
              </w:rPr>
              <w:t>重点专科建设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3E674C">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F6D31">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77627A">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8AACF">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6BF339">
            <w:pPr>
              <w:jc w:val="center"/>
            </w:pPr>
            <w:r>
              <w:rPr>
                <w:rFonts w:ascii="宋体" w:hAnsi="宋体" w:eastAsia="宋体"/>
                <w:sz w:val="16"/>
              </w:rPr>
              <w:t>12</w:t>
            </w:r>
          </w:p>
        </w:tc>
      </w:tr>
      <w:tr w14:paraId="1E7EBE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54081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4922A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3E4B9">
            <w:pPr>
              <w:jc w:val="center"/>
            </w:pPr>
            <w:r>
              <w:rPr>
                <w:rFonts w:ascii="宋体" w:hAnsi="宋体" w:eastAsia="宋体"/>
                <w:sz w:val="16"/>
              </w:rPr>
              <w:t>成立名医专家工作室</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D381F">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936D5">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6F9EF">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81576A">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053EC">
            <w:pPr>
              <w:jc w:val="center"/>
            </w:pPr>
            <w:r>
              <w:rPr>
                <w:rFonts w:ascii="宋体" w:hAnsi="宋体" w:eastAsia="宋体"/>
                <w:sz w:val="16"/>
              </w:rPr>
              <w:t>12</w:t>
            </w:r>
          </w:p>
        </w:tc>
      </w:tr>
      <w:tr w14:paraId="4B28C3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E4AC1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5CEB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B3BB6">
            <w:pPr>
              <w:jc w:val="center"/>
            </w:pPr>
            <w:r>
              <w:rPr>
                <w:rFonts w:ascii="宋体" w:hAnsi="宋体" w:eastAsia="宋体"/>
                <w:sz w:val="16"/>
              </w:rPr>
              <w:t>出院患者诊断符合率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8273E3">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7CD82">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6D1BC">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D5BF3">
            <w:pPr>
              <w:jc w:val="center"/>
            </w:pPr>
            <w:r>
              <w:rPr>
                <w:rFonts w:ascii="宋体" w:hAnsi="宋体" w:eastAsia="宋体"/>
                <w:sz w:val="16"/>
              </w:rPr>
              <w:t>97.56%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C653F">
            <w:pPr>
              <w:jc w:val="center"/>
            </w:pPr>
            <w:r>
              <w:rPr>
                <w:rFonts w:ascii="宋体" w:hAnsi="宋体" w:eastAsia="宋体"/>
                <w:sz w:val="16"/>
              </w:rPr>
              <w:t>12</w:t>
            </w:r>
          </w:p>
        </w:tc>
      </w:tr>
      <w:tr w14:paraId="2078402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E9247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759DC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F2A7C">
            <w:pPr>
              <w:jc w:val="center"/>
            </w:pPr>
            <w:r>
              <w:rPr>
                <w:rFonts w:ascii="宋体" w:hAnsi="宋体" w:eastAsia="宋体"/>
                <w:sz w:val="16"/>
              </w:rPr>
              <w:t>入院三日确诊率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4D7E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4C4F3">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122BC">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ABDEC">
            <w:pPr>
              <w:jc w:val="center"/>
            </w:pPr>
            <w:r>
              <w:rPr>
                <w:rFonts w:ascii="宋体" w:hAnsi="宋体" w:eastAsia="宋体"/>
                <w:sz w:val="16"/>
              </w:rPr>
              <w: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BCB52">
            <w:pPr>
              <w:jc w:val="center"/>
            </w:pPr>
            <w:r>
              <w:rPr>
                <w:rFonts w:ascii="宋体" w:hAnsi="宋体" w:eastAsia="宋体"/>
                <w:sz w:val="16"/>
              </w:rPr>
              <w:t>12</w:t>
            </w:r>
          </w:p>
        </w:tc>
      </w:tr>
    </w:tbl>
    <w:p w14:paraId="3DE93C60">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05"/>
        <w:gridCol w:w="613"/>
        <w:gridCol w:w="776"/>
        <w:gridCol w:w="776"/>
        <w:gridCol w:w="776"/>
        <w:gridCol w:w="630"/>
        <w:gridCol w:w="605"/>
        <w:gridCol w:w="605"/>
        <w:gridCol w:w="606"/>
        <w:gridCol w:w="606"/>
        <w:gridCol w:w="630"/>
      </w:tblGrid>
      <w:tr w14:paraId="0756AADB">
        <w:tblPrEx>
          <w:tblCellMar>
            <w:top w:w="0" w:type="dxa"/>
            <w:left w:w="108" w:type="dxa"/>
            <w:bottom w:w="0" w:type="dxa"/>
            <w:right w:w="108" w:type="dxa"/>
          </w:tblCellMar>
        </w:tblPrEx>
        <w:tc>
          <w:tcPr>
            <w:tcW w:w="8848" w:type="dxa"/>
            <w:gridSpan w:val="14"/>
            <w:vAlign w:val="center"/>
          </w:tcPr>
          <w:p w14:paraId="2AC22E00">
            <w:pPr>
              <w:jc w:val="center"/>
            </w:pPr>
            <w:r>
              <w:rPr>
                <w:rFonts w:ascii="宋体" w:hAnsi="宋体" w:eastAsia="宋体"/>
                <w:sz w:val="24"/>
              </w:rPr>
              <w:t>项目支出绩效自评表</w:t>
            </w:r>
          </w:p>
        </w:tc>
      </w:tr>
      <w:tr w14:paraId="3A91E5A1">
        <w:tblPrEx>
          <w:tblCellMar>
            <w:top w:w="0" w:type="dxa"/>
            <w:left w:w="108" w:type="dxa"/>
            <w:bottom w:w="0" w:type="dxa"/>
            <w:right w:w="108" w:type="dxa"/>
          </w:tblCellMar>
        </w:tblPrEx>
        <w:tc>
          <w:tcPr>
            <w:tcW w:w="8848" w:type="dxa"/>
            <w:gridSpan w:val="14"/>
            <w:vAlign w:val="center"/>
          </w:tcPr>
          <w:p w14:paraId="47239DD9">
            <w:pPr>
              <w:jc w:val="center"/>
            </w:pPr>
            <w:r>
              <w:rPr>
                <w:rFonts w:ascii="宋体" w:hAnsi="宋体" w:eastAsia="宋体"/>
                <w:sz w:val="24"/>
              </w:rPr>
              <w:t>(2024年度)</w:t>
            </w:r>
          </w:p>
        </w:tc>
      </w:tr>
      <w:tr w14:paraId="5576F9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87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1E463D">
            <w:pPr>
              <w:jc w:val="center"/>
            </w:pPr>
            <w:r>
              <w:rPr>
                <w:rFonts w:ascii="宋体" w:hAnsi="宋体" w:eastAsia="宋体"/>
                <w:sz w:val="16"/>
              </w:rPr>
              <w:t>智力援疆创新拓展人才计划</w:t>
            </w:r>
            <w:r>
              <w:rPr>
                <w:rFonts w:hint="eastAsia" w:ascii="宋体" w:hAnsi="宋体"/>
                <w:sz w:val="16"/>
                <w:lang w:eastAsia="zh-CN"/>
              </w:rPr>
              <w:t>－</w:t>
            </w:r>
            <w:r>
              <w:rPr>
                <w:rFonts w:ascii="宋体" w:hAnsi="宋体" w:eastAsia="宋体"/>
                <w:sz w:val="16"/>
              </w:rPr>
              <w:t>医疗人才“组团式”援疆项目</w:t>
            </w:r>
          </w:p>
        </w:tc>
      </w:tr>
      <w:tr w14:paraId="534EB9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02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ED12A1">
            <w:pPr>
              <w:jc w:val="center"/>
            </w:pPr>
            <w:r>
              <w:rPr>
                <w:rFonts w:ascii="宋体" w:hAnsi="宋体" w:eastAsia="宋体"/>
                <w:sz w:val="16"/>
              </w:rPr>
              <w:t>霍城县第一人民医院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F5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F811A8">
            <w:pPr>
              <w:jc w:val="center"/>
            </w:pPr>
            <w:r>
              <w:rPr>
                <w:rFonts w:ascii="宋体" w:hAnsi="宋体" w:eastAsia="宋体"/>
                <w:sz w:val="16"/>
              </w:rPr>
              <w:t>霍城县第一人民医院（霍城县江苏医院）</w:t>
            </w:r>
          </w:p>
        </w:tc>
      </w:tr>
      <w:tr w14:paraId="24A68F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3FD2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31C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B1B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790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C5E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ACB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F487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2D1E2">
            <w:pPr>
              <w:jc w:val="center"/>
            </w:pPr>
            <w:r>
              <w:rPr>
                <w:rFonts w:ascii="宋体" w:hAnsi="宋体" w:eastAsia="宋体"/>
                <w:sz w:val="16"/>
              </w:rPr>
              <w:t>得分</w:t>
            </w:r>
          </w:p>
        </w:tc>
      </w:tr>
      <w:tr w14:paraId="1A210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845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89A6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860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C40E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10F8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DE1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64DC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325C">
            <w:pPr>
              <w:jc w:val="center"/>
            </w:pPr>
            <w:r>
              <w:rPr>
                <w:rFonts w:ascii="宋体" w:hAnsi="宋体" w:eastAsia="宋体"/>
                <w:sz w:val="16"/>
              </w:rPr>
              <w:t>10.00</w:t>
            </w:r>
          </w:p>
        </w:tc>
      </w:tr>
      <w:tr w14:paraId="6FB4EC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3EF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A79D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D64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F15A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6B31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458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D50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10FC">
            <w:pPr>
              <w:jc w:val="center"/>
            </w:pPr>
            <w:r>
              <w:rPr>
                <w:rFonts w:ascii="宋体" w:hAnsi="宋体" w:eastAsia="宋体"/>
                <w:sz w:val="16"/>
              </w:rPr>
              <w:t>—</w:t>
            </w:r>
          </w:p>
        </w:tc>
      </w:tr>
      <w:tr w14:paraId="40B76D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EB5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336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071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09C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914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B42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4ED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73FC">
            <w:pPr>
              <w:jc w:val="center"/>
            </w:pPr>
            <w:r>
              <w:rPr>
                <w:rFonts w:ascii="宋体" w:hAnsi="宋体" w:eastAsia="宋体"/>
                <w:sz w:val="16"/>
              </w:rPr>
              <w:t>—</w:t>
            </w:r>
          </w:p>
        </w:tc>
      </w:tr>
      <w:tr w14:paraId="5F03DA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7FA6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8333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B88A29">
            <w:pPr>
              <w:jc w:val="center"/>
            </w:pPr>
            <w:r>
              <w:rPr>
                <w:rFonts w:ascii="宋体" w:hAnsi="宋体" w:eastAsia="宋体"/>
                <w:sz w:val="16"/>
              </w:rPr>
              <w:t>实际完成情况</w:t>
            </w:r>
          </w:p>
        </w:tc>
      </w:tr>
      <w:tr w14:paraId="655657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0F4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729E27">
            <w:pPr>
              <w:jc w:val="both"/>
            </w:pPr>
            <w:r>
              <w:rPr>
                <w:rFonts w:ascii="宋体" w:hAnsi="宋体" w:eastAsia="宋体"/>
                <w:sz w:val="16"/>
              </w:rPr>
              <w:t>支持江苏省江阴市医疗人才“组团式”援疆团队，提升医院的医疗服务能力和管理水平，加强我院临床人才培养，有效地提高我院医疗技术水平，培养一支带不走的医疗人才队伍，解决群众就医难问题，提升群众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B0DC99">
            <w:pPr>
              <w:jc w:val="both"/>
            </w:pPr>
            <w:r>
              <w:rPr>
                <w:rFonts w:ascii="宋体" w:hAnsi="宋体" w:eastAsia="宋体"/>
                <w:sz w:val="16"/>
              </w:rPr>
              <w:t>2024年度《智力援疆创新拓展人才计划</w:t>
            </w:r>
            <w:r>
              <w:rPr>
                <w:rFonts w:hint="eastAsia" w:ascii="宋体" w:hAnsi="宋体"/>
                <w:sz w:val="16"/>
                <w:lang w:eastAsia="zh-CN"/>
              </w:rPr>
              <w:t>－</w:t>
            </w:r>
            <w:r>
              <w:rPr>
                <w:rFonts w:ascii="宋体" w:hAnsi="宋体" w:eastAsia="宋体"/>
                <w:sz w:val="16"/>
              </w:rPr>
              <w:t>医疗人才组团式援疆项目》圆满完成既定目标，全年预算100万元全额执行，实现县级受援医院6人医疗团队稳定驻点，建成6台远程会诊平板及3条会诊专线并100%通过验收，团队成员到岗率达标率双百。项目通过硬件+人才协同模式，不仅提前完成设备部署（仅调试延期20天即解决），更以96.4%的医护人员满意度凸显服务效能提升，同步培养本地医疗骨干，形成可持续人才梯队，最终以99.94分优秀评级展现资金使用与医疗援疆的双重效益。</w:t>
            </w:r>
          </w:p>
        </w:tc>
      </w:tr>
      <w:tr w14:paraId="0C4990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4020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7D7A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50C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69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FD8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70D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D1A6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E5B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F69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5D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533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3C0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4F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6EA6">
            <w:pPr>
              <w:jc w:val="center"/>
            </w:pPr>
            <w:r>
              <w:rPr>
                <w:rFonts w:ascii="宋体" w:hAnsi="宋体" w:eastAsia="宋体"/>
                <w:sz w:val="16"/>
              </w:rPr>
              <w:t>偏差原因分析及改进措施</w:t>
            </w:r>
          </w:p>
        </w:tc>
      </w:tr>
      <w:tr w14:paraId="18B343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9B0A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696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FA8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E6854">
            <w:pPr>
              <w:jc w:val="center"/>
            </w:pPr>
            <w:r>
              <w:rPr>
                <w:rFonts w:ascii="宋体" w:hAnsi="宋体" w:eastAsia="宋体"/>
                <w:sz w:val="16"/>
              </w:rPr>
              <w:t>县级受援医院团队成员人数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89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CAD6">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27A5">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A6F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70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88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05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99E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03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FE82">
            <w:pPr>
              <w:jc w:val="center"/>
            </w:pPr>
          </w:p>
        </w:tc>
      </w:tr>
      <w:tr w14:paraId="3A975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D33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7F9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162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FEE3">
            <w:pPr>
              <w:jc w:val="center"/>
            </w:pPr>
            <w:r>
              <w:rPr>
                <w:rFonts w:ascii="宋体" w:hAnsi="宋体" w:eastAsia="宋体"/>
                <w:sz w:val="16"/>
              </w:rPr>
              <w:t>购置远程会诊平板数量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4D6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FA8EB">
            <w:pPr>
              <w:jc w:val="center"/>
            </w:pPr>
            <w:r>
              <w:rPr>
                <w:rFonts w:ascii="宋体" w:hAnsi="宋体" w:eastAsia="宋体"/>
                <w:sz w:val="16"/>
              </w:rPr>
              <w:t>&gt;=6台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D9B4">
            <w:pPr>
              <w:jc w:val="center"/>
            </w:pPr>
            <w:r>
              <w:rPr>
                <w:rFonts w:ascii="宋体" w:hAnsi="宋体" w:eastAsia="宋体"/>
                <w:sz w:val="16"/>
              </w:rPr>
              <w:t>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A52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AD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3B0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181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6F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1F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1151">
            <w:pPr>
              <w:jc w:val="center"/>
            </w:pPr>
          </w:p>
        </w:tc>
      </w:tr>
      <w:tr w14:paraId="3F46F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812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31F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750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8E7E">
            <w:pPr>
              <w:jc w:val="center"/>
            </w:pPr>
            <w:r>
              <w:rPr>
                <w:rFonts w:ascii="宋体" w:hAnsi="宋体" w:eastAsia="宋体"/>
                <w:sz w:val="16"/>
              </w:rPr>
              <w:t>购买会诊专线数量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C39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04F74">
            <w:pPr>
              <w:jc w:val="center"/>
            </w:pPr>
            <w:r>
              <w:rPr>
                <w:rFonts w:ascii="宋体" w:hAnsi="宋体" w:eastAsia="宋体"/>
                <w:sz w:val="16"/>
              </w:rPr>
              <w:t>=3条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F274">
            <w:pPr>
              <w:jc w:val="center"/>
            </w:pPr>
            <w:r>
              <w:rPr>
                <w:rFonts w:ascii="宋体" w:hAnsi="宋体" w:eastAsia="宋体"/>
                <w:sz w:val="16"/>
              </w:rPr>
              <w:t>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B7D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E94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A3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BA3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1BA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E5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A5C52">
            <w:pPr>
              <w:jc w:val="center"/>
            </w:pPr>
          </w:p>
        </w:tc>
      </w:tr>
      <w:tr w14:paraId="15DD6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066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EF3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F28C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C585">
            <w:pPr>
              <w:jc w:val="center"/>
            </w:pPr>
            <w:r>
              <w:rPr>
                <w:rFonts w:ascii="宋体" w:hAnsi="宋体" w:eastAsia="宋体"/>
                <w:sz w:val="16"/>
              </w:rPr>
              <w:t>购置远程会诊平板质量合格率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187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2D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40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28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A6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1F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4E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9C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9C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B99D">
            <w:pPr>
              <w:jc w:val="center"/>
            </w:pPr>
          </w:p>
        </w:tc>
      </w:tr>
      <w:tr w14:paraId="700F39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9DA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24E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B6E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0F65B">
            <w:pPr>
              <w:jc w:val="center"/>
            </w:pPr>
            <w:r>
              <w:rPr>
                <w:rFonts w:ascii="宋体" w:hAnsi="宋体" w:eastAsia="宋体"/>
                <w:sz w:val="16"/>
              </w:rPr>
              <w:t>购置远程会诊平板验收合格率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BD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463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221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64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D85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0C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F9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51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94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6399">
            <w:pPr>
              <w:jc w:val="center"/>
            </w:pPr>
          </w:p>
        </w:tc>
      </w:tr>
      <w:tr w14:paraId="45D7D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9F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036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E48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814E">
            <w:pPr>
              <w:jc w:val="center"/>
            </w:pPr>
            <w:r>
              <w:rPr>
                <w:rFonts w:ascii="宋体" w:hAnsi="宋体" w:eastAsia="宋体"/>
                <w:sz w:val="16"/>
              </w:rPr>
              <w:t>团队成员按时到岗率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9C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F9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D5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DC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B32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5A0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72F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DE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D1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D8CB5">
            <w:pPr>
              <w:jc w:val="center"/>
            </w:pPr>
          </w:p>
        </w:tc>
      </w:tr>
      <w:tr w14:paraId="20513C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FDC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9B4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9E7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F8B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06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F9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60D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A3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990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41B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F8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404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4E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3AC2B">
            <w:pPr>
              <w:jc w:val="center"/>
            </w:pPr>
          </w:p>
        </w:tc>
      </w:tr>
      <w:tr w14:paraId="25E341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6CE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940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B6F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4D6E">
            <w:pPr>
              <w:jc w:val="center"/>
            </w:pPr>
            <w:r>
              <w:rPr>
                <w:rFonts w:ascii="宋体" w:hAnsi="宋体" w:eastAsia="宋体"/>
                <w:sz w:val="16"/>
              </w:rPr>
              <w:t>购置设备完成时间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65C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949F">
            <w:pPr>
              <w:jc w:val="center"/>
            </w:pPr>
            <w:r>
              <w:rPr>
                <w:rFonts w:ascii="宋体" w:hAnsi="宋体" w:eastAsia="宋体"/>
                <w:sz w:val="16"/>
              </w:rPr>
              <w:t>=2024年7月30日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860F">
            <w:pPr>
              <w:jc w:val="center"/>
            </w:pPr>
            <w:r>
              <w:rPr>
                <w:rFonts w:ascii="宋体" w:hAnsi="宋体" w:eastAsia="宋体"/>
                <w:sz w:val="16"/>
              </w:rPr>
              <w:t>2024年8月20日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90B0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1CB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BE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1D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8A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572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32DA8">
            <w:pPr>
              <w:jc w:val="center"/>
            </w:pPr>
            <w:r>
              <w:rPr>
                <w:rFonts w:ascii="宋体" w:hAnsi="宋体" w:eastAsia="宋体"/>
                <w:sz w:val="16"/>
              </w:rPr>
              <w:t>偏差原因：计划2024年7月31日完成采购，实际签合同时间为2024年8月20日。</w:t>
            </w:r>
          </w:p>
        </w:tc>
      </w:tr>
      <w:tr w14:paraId="122BA6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7D0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2466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A1A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3F7AB">
            <w:pPr>
              <w:jc w:val="center"/>
            </w:pPr>
            <w:r>
              <w:rPr>
                <w:rFonts w:ascii="宋体" w:hAnsi="宋体" w:eastAsia="宋体"/>
                <w:sz w:val="16"/>
              </w:rPr>
              <w:t>购置远程会诊平板金额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008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2BE9">
            <w:pPr>
              <w:jc w:val="center"/>
            </w:pPr>
            <w:r>
              <w:rPr>
                <w:rFonts w:ascii="宋体" w:hAnsi="宋体" w:eastAsia="宋体"/>
                <w:sz w:val="16"/>
              </w:rPr>
              <w:t>&lt;=24.10万元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7B0D">
            <w:pPr>
              <w:jc w:val="center"/>
            </w:pPr>
            <w:r>
              <w:rPr>
                <w:rFonts w:ascii="宋体" w:hAnsi="宋体" w:eastAsia="宋体"/>
                <w:sz w:val="16"/>
              </w:rPr>
              <w:t>23.8974万元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B5368">
            <w:pPr>
              <w:jc w:val="center"/>
            </w:pPr>
            <w:r>
              <w:rPr>
                <w:rFonts w:ascii="宋体" w:hAnsi="宋体" w:eastAsia="宋体"/>
                <w:sz w:val="16"/>
              </w:rPr>
              <w:t>99.16%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DEDE8">
            <w:pPr>
              <w:jc w:val="center"/>
            </w:pPr>
            <w:r>
              <w:rPr>
                <w:rFonts w:ascii="宋体" w:hAnsi="宋体" w:eastAsia="宋体"/>
                <w:sz w:val="16"/>
              </w:rPr>
              <w:t>6.94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DC4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F16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B9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CD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D365">
            <w:pPr>
              <w:jc w:val="center"/>
            </w:pPr>
            <w:r>
              <w:rPr>
                <w:rFonts w:ascii="宋体" w:hAnsi="宋体" w:eastAsia="宋体"/>
                <w:sz w:val="16"/>
              </w:rPr>
              <w:t>偏差原因：因年初无法确定具体采购金额。</w:t>
            </w:r>
          </w:p>
        </w:tc>
      </w:tr>
      <w:tr w14:paraId="06CCE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5A0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934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503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E2025">
            <w:pPr>
              <w:jc w:val="center"/>
            </w:pPr>
            <w:r>
              <w:rPr>
                <w:rFonts w:ascii="宋体" w:hAnsi="宋体" w:eastAsia="宋体"/>
                <w:sz w:val="16"/>
              </w:rPr>
              <w:t>会诊云视通讯费用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241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CD54">
            <w:pPr>
              <w:jc w:val="center"/>
            </w:pPr>
            <w:r>
              <w:rPr>
                <w:rFonts w:ascii="宋体" w:hAnsi="宋体" w:eastAsia="宋体"/>
                <w:sz w:val="16"/>
              </w:rPr>
              <w:t>&lt;=2.88万元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A6EAA">
            <w:pPr>
              <w:jc w:val="center"/>
            </w:pPr>
            <w:r>
              <w:rPr>
                <w:rFonts w:ascii="宋体" w:hAnsi="宋体" w:eastAsia="宋体"/>
                <w:sz w:val="16"/>
              </w:rPr>
              <w:t>3.0826万元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3E4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5E3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66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3AC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0A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4E1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EAB8">
            <w:pPr>
              <w:jc w:val="center"/>
            </w:pPr>
            <w:r>
              <w:rPr>
                <w:rFonts w:ascii="宋体" w:hAnsi="宋体" w:eastAsia="宋体"/>
                <w:sz w:val="16"/>
              </w:rPr>
              <w:t>偏差原因：由于价格调整，实际采购金额较年初计划偏高。</w:t>
            </w:r>
          </w:p>
        </w:tc>
      </w:tr>
      <w:tr w14:paraId="4E98DD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836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F58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292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6021">
            <w:pPr>
              <w:jc w:val="center"/>
            </w:pPr>
            <w:r>
              <w:rPr>
                <w:rFonts w:ascii="宋体" w:hAnsi="宋体" w:eastAsia="宋体"/>
                <w:sz w:val="16"/>
              </w:rPr>
              <w:t>专家技术指导学术交流费用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7C6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50C5">
            <w:pPr>
              <w:jc w:val="center"/>
            </w:pPr>
            <w:r>
              <w:rPr>
                <w:rFonts w:ascii="宋体" w:hAnsi="宋体" w:eastAsia="宋体"/>
                <w:sz w:val="16"/>
              </w:rPr>
              <w:t>&lt;=73.02万元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25EC">
            <w:pPr>
              <w:jc w:val="center"/>
            </w:pPr>
            <w:r>
              <w:rPr>
                <w:rFonts w:ascii="宋体" w:hAnsi="宋体" w:eastAsia="宋体"/>
                <w:sz w:val="16"/>
              </w:rPr>
              <w:t>73.02万元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224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E2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A50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E5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BD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C1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3673">
            <w:pPr>
              <w:jc w:val="center"/>
            </w:pPr>
          </w:p>
        </w:tc>
      </w:tr>
      <w:tr w14:paraId="4FEDAF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FA9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795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15D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17D9E">
            <w:pPr>
              <w:jc w:val="center"/>
            </w:pPr>
            <w:r>
              <w:rPr>
                <w:rFonts w:ascii="宋体" w:hAnsi="宋体" w:eastAsia="宋体"/>
                <w:sz w:val="16"/>
              </w:rPr>
              <w:t>提升受援医院医疗服务水平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CE0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12EB7">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B2C00">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92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9F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036B">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04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743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4C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C2C0">
            <w:pPr>
              <w:jc w:val="center"/>
            </w:pPr>
          </w:p>
        </w:tc>
      </w:tr>
      <w:tr w14:paraId="71D074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35A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17C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0A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9268">
            <w:pPr>
              <w:jc w:val="center"/>
            </w:pPr>
            <w:r>
              <w:rPr>
                <w:rFonts w:ascii="宋体" w:hAnsi="宋体" w:eastAsia="宋体"/>
                <w:sz w:val="16"/>
              </w:rPr>
              <w:t>医护人员满意度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6B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65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1A935">
            <w:pPr>
              <w:jc w:val="center"/>
            </w:pPr>
            <w:r>
              <w:rPr>
                <w:rFonts w:ascii="宋体" w:hAnsi="宋体" w:eastAsia="宋体"/>
                <w:sz w:val="16"/>
              </w:rPr>
              <w:t>96.4%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6862B">
            <w:pPr>
              <w:jc w:val="center"/>
            </w:pPr>
            <w:r>
              <w:rPr>
                <w:rFonts w:ascii="宋体" w:hAnsi="宋体" w:eastAsia="宋体"/>
                <w:sz w:val="16"/>
              </w:rPr>
              <w:t>101.47%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0E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44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4C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33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5F0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0DCCE">
            <w:pPr>
              <w:jc w:val="center"/>
            </w:pPr>
            <w:r>
              <w:rPr>
                <w:rFonts w:ascii="宋体" w:hAnsi="宋体" w:eastAsia="宋体"/>
                <w:sz w:val="16"/>
              </w:rPr>
              <w:t>偏差原因：满意度实际完成较好。</w:t>
            </w:r>
          </w:p>
        </w:tc>
      </w:tr>
      <w:tr w14:paraId="1D8DA75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80E2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2B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8956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BFFE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ED35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B32C5">
            <w:pPr>
              <w:jc w:val="center"/>
            </w:pPr>
            <w:r>
              <w:rPr>
                <w:rFonts w:ascii="宋体" w:hAnsi="宋体" w:eastAsia="宋体"/>
                <w:sz w:val="16"/>
              </w:rPr>
              <w:t>87.94分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922E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CBE5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E4F3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E57D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74C755"/>
        </w:tc>
      </w:tr>
    </w:tbl>
    <w:p w14:paraId="578FA5E4">
      <w:r>
        <w:br w:type="page"/>
      </w:r>
    </w:p>
    <w:tbl>
      <w:tblPr>
        <w:tblStyle w:val="9"/>
        <w:tblW w:w="0" w:type="auto"/>
        <w:tblInd w:w="0" w:type="dxa"/>
        <w:tblLayout w:type="autofit"/>
        <w:tblCellMar>
          <w:top w:w="0" w:type="dxa"/>
          <w:left w:w="108" w:type="dxa"/>
          <w:bottom w:w="0" w:type="dxa"/>
          <w:right w:w="108" w:type="dxa"/>
        </w:tblCellMar>
      </w:tblPr>
      <w:tblGrid>
        <w:gridCol w:w="607"/>
        <w:gridCol w:w="565"/>
        <w:gridCol w:w="565"/>
        <w:gridCol w:w="607"/>
        <w:gridCol w:w="586"/>
        <w:gridCol w:w="1016"/>
        <w:gridCol w:w="856"/>
        <w:gridCol w:w="776"/>
        <w:gridCol w:w="586"/>
        <w:gridCol w:w="565"/>
        <w:gridCol w:w="565"/>
        <w:gridCol w:w="569"/>
        <w:gridCol w:w="568"/>
        <w:gridCol w:w="629"/>
      </w:tblGrid>
      <w:tr w14:paraId="359E5947">
        <w:tblPrEx>
          <w:tblCellMar>
            <w:top w:w="0" w:type="dxa"/>
            <w:left w:w="108" w:type="dxa"/>
            <w:bottom w:w="0" w:type="dxa"/>
            <w:right w:w="108" w:type="dxa"/>
          </w:tblCellMar>
        </w:tblPrEx>
        <w:tc>
          <w:tcPr>
            <w:tcW w:w="8848" w:type="dxa"/>
            <w:gridSpan w:val="14"/>
            <w:vAlign w:val="center"/>
          </w:tcPr>
          <w:p w14:paraId="75C44F18">
            <w:pPr>
              <w:jc w:val="center"/>
            </w:pPr>
            <w:r>
              <w:rPr>
                <w:rFonts w:ascii="宋体" w:hAnsi="宋体" w:eastAsia="宋体"/>
                <w:sz w:val="24"/>
              </w:rPr>
              <w:t>项目支出绩效自评表</w:t>
            </w:r>
          </w:p>
        </w:tc>
      </w:tr>
      <w:tr w14:paraId="3CA891BE">
        <w:tblPrEx>
          <w:tblCellMar>
            <w:top w:w="0" w:type="dxa"/>
            <w:left w:w="108" w:type="dxa"/>
            <w:bottom w:w="0" w:type="dxa"/>
            <w:right w:w="108" w:type="dxa"/>
          </w:tblCellMar>
        </w:tblPrEx>
        <w:tc>
          <w:tcPr>
            <w:tcW w:w="8848" w:type="dxa"/>
            <w:gridSpan w:val="14"/>
            <w:vAlign w:val="center"/>
          </w:tcPr>
          <w:p w14:paraId="2AD17B2F">
            <w:pPr>
              <w:jc w:val="center"/>
            </w:pPr>
            <w:r>
              <w:rPr>
                <w:rFonts w:ascii="宋体" w:hAnsi="宋体" w:eastAsia="宋体"/>
                <w:sz w:val="24"/>
              </w:rPr>
              <w:t>(2024年度)</w:t>
            </w:r>
          </w:p>
        </w:tc>
      </w:tr>
      <w:tr w14:paraId="732D97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06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2C6A31">
            <w:pPr>
              <w:jc w:val="center"/>
            </w:pPr>
            <w:r>
              <w:rPr>
                <w:rFonts w:ascii="宋体" w:hAnsi="宋体" w:eastAsia="宋体"/>
                <w:sz w:val="16"/>
              </w:rPr>
              <w:t>霍城县第一人民医院运转项目（自有资金）</w:t>
            </w:r>
          </w:p>
        </w:tc>
      </w:tr>
      <w:tr w14:paraId="76E62C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05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C3311E">
            <w:pPr>
              <w:jc w:val="center"/>
            </w:pPr>
            <w:r>
              <w:rPr>
                <w:rFonts w:ascii="宋体" w:hAnsi="宋体" w:eastAsia="宋体"/>
                <w:sz w:val="16"/>
              </w:rPr>
              <w:t>霍城县第一人民医院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32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2A7E76">
            <w:pPr>
              <w:jc w:val="center"/>
            </w:pPr>
            <w:r>
              <w:rPr>
                <w:rFonts w:ascii="宋体" w:hAnsi="宋体" w:eastAsia="宋体"/>
                <w:sz w:val="16"/>
              </w:rPr>
              <w:t>霍城县第一人民医院（霍城县江苏医院）</w:t>
            </w:r>
          </w:p>
        </w:tc>
      </w:tr>
      <w:tr w14:paraId="1ED523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57EF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C53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ACA9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EF9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582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56A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18C8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38AB">
            <w:pPr>
              <w:jc w:val="center"/>
            </w:pPr>
            <w:r>
              <w:rPr>
                <w:rFonts w:ascii="宋体" w:hAnsi="宋体" w:eastAsia="宋体"/>
                <w:sz w:val="16"/>
              </w:rPr>
              <w:t>得分</w:t>
            </w:r>
          </w:p>
        </w:tc>
      </w:tr>
      <w:tr w14:paraId="77D81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00B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CB38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FD293">
            <w:pPr>
              <w:jc w:val="center"/>
            </w:pPr>
            <w:r>
              <w:rPr>
                <w:rFonts w:ascii="宋体" w:hAnsi="宋体" w:eastAsia="宋体"/>
                <w:sz w:val="16"/>
              </w:rPr>
              <w:t>18,285.40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22292">
            <w:pPr>
              <w:jc w:val="center"/>
            </w:pPr>
            <w:r>
              <w:rPr>
                <w:rFonts w:ascii="宋体" w:hAnsi="宋体" w:eastAsia="宋体"/>
                <w:sz w:val="16"/>
              </w:rPr>
              <w:t>15,273.83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15E4A">
            <w:pPr>
              <w:jc w:val="center"/>
            </w:pPr>
            <w:r>
              <w:rPr>
                <w:rFonts w:ascii="宋体" w:hAnsi="宋体" w:eastAsia="宋体"/>
                <w:sz w:val="16"/>
              </w:rPr>
              <w:t>15,273.83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0ED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D8C8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6230">
            <w:pPr>
              <w:jc w:val="center"/>
            </w:pPr>
            <w:r>
              <w:rPr>
                <w:rFonts w:ascii="宋体" w:hAnsi="宋体" w:eastAsia="宋体"/>
                <w:sz w:val="16"/>
              </w:rPr>
              <w:t>10.00</w:t>
            </w:r>
          </w:p>
        </w:tc>
      </w:tr>
      <w:tr w14:paraId="2AA06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6AD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031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B18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A8D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DA7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04F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4E9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DA0F">
            <w:pPr>
              <w:jc w:val="center"/>
            </w:pPr>
            <w:r>
              <w:rPr>
                <w:rFonts w:ascii="宋体" w:hAnsi="宋体" w:eastAsia="宋体"/>
                <w:sz w:val="16"/>
              </w:rPr>
              <w:t>—</w:t>
            </w:r>
          </w:p>
        </w:tc>
      </w:tr>
      <w:tr w14:paraId="163A7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5A6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3A0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8C798">
            <w:pPr>
              <w:jc w:val="center"/>
            </w:pPr>
            <w:r>
              <w:rPr>
                <w:rFonts w:ascii="宋体" w:hAnsi="宋体" w:eastAsia="宋体"/>
                <w:sz w:val="16"/>
              </w:rPr>
              <w:t>18,285.40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464E5">
            <w:pPr>
              <w:jc w:val="center"/>
            </w:pPr>
            <w:r>
              <w:rPr>
                <w:rFonts w:ascii="宋体" w:hAnsi="宋体" w:eastAsia="宋体"/>
                <w:sz w:val="16"/>
              </w:rPr>
              <w:t>15,273.83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4F504">
            <w:pPr>
              <w:jc w:val="center"/>
            </w:pPr>
            <w:r>
              <w:rPr>
                <w:rFonts w:ascii="宋体" w:hAnsi="宋体" w:eastAsia="宋体"/>
                <w:sz w:val="16"/>
              </w:rPr>
              <w:t>15,273.83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F52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656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3397">
            <w:pPr>
              <w:jc w:val="center"/>
            </w:pPr>
            <w:r>
              <w:rPr>
                <w:rFonts w:ascii="宋体" w:hAnsi="宋体" w:eastAsia="宋体"/>
                <w:sz w:val="16"/>
              </w:rPr>
              <w:t>—</w:t>
            </w:r>
          </w:p>
        </w:tc>
      </w:tr>
      <w:tr w14:paraId="10D54E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4650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5A14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92EFA5">
            <w:pPr>
              <w:jc w:val="center"/>
            </w:pPr>
            <w:r>
              <w:rPr>
                <w:rFonts w:ascii="宋体" w:hAnsi="宋体" w:eastAsia="宋体"/>
                <w:sz w:val="16"/>
              </w:rPr>
              <w:t>实际完成情况</w:t>
            </w:r>
          </w:p>
        </w:tc>
      </w:tr>
      <w:tr w14:paraId="23B26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A75F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DF5DED">
            <w:pPr>
              <w:jc w:val="both"/>
            </w:pPr>
            <w:r>
              <w:rPr>
                <w:rFonts w:ascii="宋体" w:hAnsi="宋体" w:eastAsia="宋体"/>
                <w:sz w:val="16"/>
              </w:rPr>
              <w:t>贯彻落实</w:t>
            </w:r>
            <w:r>
              <w:rPr>
                <w:rFonts w:hint="eastAsia" w:ascii="宋体" w:hAnsi="宋体"/>
                <w:sz w:val="16"/>
                <w:lang w:eastAsia="zh-CN"/>
              </w:rPr>
              <w:t>党中央、国务院</w:t>
            </w:r>
            <w:r>
              <w:rPr>
                <w:rFonts w:ascii="宋体" w:hAnsi="宋体" w:eastAsia="宋体"/>
                <w:sz w:val="16"/>
              </w:rPr>
              <w:t>决策部署，推动“十四五”时期公立医院实现高质量发展，进一步加大对我院科室建设、诊疗技术、装备、医师职业技术提升等方面的投入，积极与自治区、州级医院建立专科联盟，以专家带教，实时临床远程诊疗、临床实训、培训等方式，带动重点专科、全科医学带头人，提升医疗技术水平，加快医院高素质人才梯队建设。将深化公立医院改革作为保障和改善民生的重要举措，确保公立医院的公益性，提高医疗质量和服务水平，减轻群众看病负担，保障医院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3BCC9F">
            <w:pPr>
              <w:jc w:val="both"/>
            </w:pPr>
            <w:r>
              <w:rPr>
                <w:rFonts w:ascii="宋体" w:hAnsi="宋体" w:eastAsia="宋体"/>
                <w:sz w:val="16"/>
              </w:rPr>
              <w:t>为推进县级医疗卫生事业高水平发展，让群众在家门口就能享受到优质医疗服务，我院派出进修培训12人，分别前往疆内外上级医院学习交流；通过加强医疗技术培训和引进先进的医疗设备，医疗服务质量得到了明显改善；成立医务、护理、院感、药剂等联合指导组，根据《乡镇卫生院服务能力评价指南(2019年版)》及《霍城县第一人民</w:t>
            </w:r>
            <w:r>
              <w:rPr>
                <w:rFonts w:hint="eastAsia" w:ascii="宋体" w:hAnsi="宋体"/>
                <w:sz w:val="16"/>
                <w:lang w:eastAsia="zh-CN"/>
              </w:rPr>
              <w:t>医院</w:t>
            </w:r>
            <w:r>
              <w:rPr>
                <w:rFonts w:ascii="宋体" w:hAnsi="宋体" w:eastAsia="宋体"/>
                <w:sz w:val="16"/>
              </w:rPr>
              <w:t>质量考核标准》对东片区乡镇卫生院及其村卫生室进行指导2次并派11名骨干到六个乡镇开展指导工作；为给患者提供更优质的医疗技术，我院与西京医院、自治区人民医院签订联合体协议书，呼吸与危重症医学科、普外微创外科、肛肠外科签订专科联盟合作协议；与新疆医科大学附属肿瘤医院签订新疆肿瘤防治联盟合作协议书；与新疆军区总医院签订肿瘤疾病专科联盟；与新疆医科大学第五附属医院、伊犁州妇幼保健院签订医疗联合体合作协议书；与伊犁州友谊医院签订普外科、医学影像、眼科等13个科室签订专科联盟合作协议；成立“张洪新”、“王德全”、“黄伟”等名医专家工作室，开展带教、手术、业务查房、教学等业务指导。</w:t>
            </w:r>
          </w:p>
        </w:tc>
      </w:tr>
      <w:tr w14:paraId="0BECCB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F053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2C7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C121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C2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9C6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0A89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232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2C4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6497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5AE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15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76A0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561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0BBA">
            <w:pPr>
              <w:jc w:val="center"/>
            </w:pPr>
            <w:r>
              <w:rPr>
                <w:rFonts w:ascii="宋体" w:hAnsi="宋体" w:eastAsia="宋体"/>
                <w:sz w:val="16"/>
              </w:rPr>
              <w:t>偏差原因分析及改进措施</w:t>
            </w:r>
          </w:p>
        </w:tc>
      </w:tr>
      <w:tr w14:paraId="12EA99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1E0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1F34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EFF3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184E">
            <w:pPr>
              <w:jc w:val="center"/>
            </w:pPr>
            <w:r>
              <w:rPr>
                <w:rFonts w:ascii="宋体" w:hAnsi="宋体" w:eastAsia="宋体"/>
                <w:sz w:val="16"/>
              </w:rPr>
              <w:t>人员工资发放人数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8E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55909">
            <w:pPr>
              <w:jc w:val="center"/>
            </w:pPr>
            <w:r>
              <w:rPr>
                <w:rFonts w:ascii="宋体" w:hAnsi="宋体" w:eastAsia="宋体"/>
                <w:sz w:val="16"/>
              </w:rPr>
              <w:t>&gt;=635人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EDC8">
            <w:pPr>
              <w:jc w:val="center"/>
            </w:pPr>
            <w:r>
              <w:rPr>
                <w:rFonts w:ascii="宋体" w:hAnsi="宋体" w:eastAsia="宋体"/>
                <w:sz w:val="16"/>
              </w:rPr>
              <w:t>635人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C7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DE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36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313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6C7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BB9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54394">
            <w:pPr>
              <w:jc w:val="center"/>
            </w:pPr>
          </w:p>
        </w:tc>
      </w:tr>
      <w:tr w14:paraId="5F4721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AE6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84A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A54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9C5E">
            <w:pPr>
              <w:jc w:val="center"/>
            </w:pPr>
            <w:r>
              <w:rPr>
                <w:rFonts w:ascii="宋体" w:hAnsi="宋体" w:eastAsia="宋体"/>
                <w:sz w:val="16"/>
              </w:rPr>
              <w:t>外出培训人次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A8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380A">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F5C7A">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D4B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0C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8A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BF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CD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CC8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AEA2">
            <w:pPr>
              <w:jc w:val="center"/>
            </w:pPr>
          </w:p>
        </w:tc>
      </w:tr>
      <w:tr w14:paraId="63955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F8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91D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12E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451EC">
            <w:pPr>
              <w:jc w:val="center"/>
            </w:pPr>
            <w:r>
              <w:rPr>
                <w:rFonts w:ascii="宋体" w:hAnsi="宋体" w:eastAsia="宋体"/>
                <w:sz w:val="16"/>
              </w:rPr>
              <w:t>医疗服务收入(不含药品、耗材、检查、化验收入)占医疗收入比例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DE1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4726E">
            <w:pPr>
              <w:jc w:val="center"/>
            </w:pPr>
            <w:r>
              <w:rPr>
                <w:rFonts w:ascii="宋体" w:hAnsi="宋体" w:eastAsia="宋体"/>
                <w:sz w:val="16"/>
              </w:rPr>
              <w:t>&gt;=35%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B2AE">
            <w:pPr>
              <w:jc w:val="center"/>
            </w:pPr>
            <w:r>
              <w:rPr>
                <w:rFonts w:ascii="宋体" w:hAnsi="宋体" w:eastAsia="宋体"/>
                <w:sz w:val="16"/>
              </w:rPr>
              <w:t>36.46%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D7C6">
            <w:pPr>
              <w:jc w:val="center"/>
            </w:pPr>
            <w:r>
              <w:rPr>
                <w:rFonts w:ascii="宋体" w:hAnsi="宋体" w:eastAsia="宋体"/>
                <w:sz w:val="16"/>
              </w:rPr>
              <w:t>104.17%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E5F7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389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C32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D8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4A1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088C2">
            <w:pPr>
              <w:jc w:val="center"/>
            </w:pPr>
            <w:r>
              <w:rPr>
                <w:rFonts w:ascii="宋体" w:hAnsi="宋体" w:eastAsia="宋体"/>
                <w:sz w:val="16"/>
              </w:rPr>
              <w:t>偏差原因：因DRG、DIP医保政策变更，控费政策收紧，住院量的下降，导致的医疗服务收入较上年下降，但离目标值有偏差。我院需加强成本控制，提升服务效率，优化精准把控绩效目标。</w:t>
            </w:r>
          </w:p>
        </w:tc>
      </w:tr>
      <w:tr w14:paraId="611767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7B5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EC8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F04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9D42B">
            <w:pPr>
              <w:jc w:val="center"/>
            </w:pPr>
            <w:r>
              <w:rPr>
                <w:rFonts w:ascii="宋体" w:hAnsi="宋体" w:eastAsia="宋体"/>
                <w:sz w:val="16"/>
              </w:rPr>
              <w:t>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21C6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7A6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EAE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B3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8D6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E9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802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74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A78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4A2A9">
            <w:pPr>
              <w:jc w:val="center"/>
            </w:pPr>
          </w:p>
        </w:tc>
      </w:tr>
      <w:tr w14:paraId="72F892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1D1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2A2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0A2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7D51C">
            <w:pPr>
              <w:jc w:val="center"/>
            </w:pPr>
            <w:r>
              <w:rPr>
                <w:rFonts w:ascii="宋体" w:hAnsi="宋体" w:eastAsia="宋体"/>
                <w:sz w:val="16"/>
              </w:rPr>
              <w:t>外出培训出勤率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66C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6C93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0C8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E21B">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272B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F5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64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669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96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0A260">
            <w:pPr>
              <w:jc w:val="center"/>
            </w:pPr>
            <w:r>
              <w:rPr>
                <w:rFonts w:ascii="宋体" w:hAnsi="宋体" w:eastAsia="宋体"/>
                <w:sz w:val="16"/>
              </w:rPr>
              <w:t>偏差原因：选派12人分别前往疆内外上级医院学习交流，均按时完成。</w:t>
            </w:r>
          </w:p>
        </w:tc>
      </w:tr>
      <w:tr w14:paraId="58EBB7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E24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1ED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EF5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BCE4">
            <w:pPr>
              <w:jc w:val="center"/>
            </w:pPr>
            <w:r>
              <w:rPr>
                <w:rFonts w:ascii="宋体" w:hAnsi="宋体" w:eastAsia="宋体"/>
                <w:sz w:val="16"/>
              </w:rPr>
              <w:t>工资按时发放及时率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BB0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B8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E1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A6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B133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07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45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D08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A96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0F41">
            <w:pPr>
              <w:jc w:val="center"/>
            </w:pPr>
          </w:p>
        </w:tc>
      </w:tr>
      <w:tr w14:paraId="1FC7B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361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42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A43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70BBA">
            <w:pPr>
              <w:jc w:val="center"/>
            </w:pPr>
            <w:r>
              <w:rPr>
                <w:rFonts w:ascii="宋体" w:hAnsi="宋体" w:eastAsia="宋体"/>
                <w:sz w:val="16"/>
              </w:rPr>
              <w:t>培训按时完成率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CA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5056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294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398B9">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6D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C89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E1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EB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1BB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15B6">
            <w:pPr>
              <w:jc w:val="center"/>
            </w:pPr>
            <w:r>
              <w:rPr>
                <w:rFonts w:ascii="宋体" w:hAnsi="宋体" w:eastAsia="宋体"/>
                <w:sz w:val="16"/>
              </w:rPr>
              <w:t>偏差原因：选派12人分别前往疆内外上级医院学习交流，均按时完成。</w:t>
            </w:r>
          </w:p>
        </w:tc>
      </w:tr>
      <w:tr w14:paraId="20D95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D8F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3AB7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1B1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17A8">
            <w:pPr>
              <w:jc w:val="center"/>
            </w:pPr>
            <w:r>
              <w:rPr>
                <w:rFonts w:ascii="宋体" w:hAnsi="宋体" w:eastAsia="宋体"/>
                <w:sz w:val="16"/>
              </w:rPr>
              <w:t>人员工资支出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9F9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54C6">
            <w:pPr>
              <w:jc w:val="center"/>
            </w:pPr>
            <w:r>
              <w:rPr>
                <w:rFonts w:ascii="宋体" w:hAnsi="宋体" w:eastAsia="宋体"/>
                <w:sz w:val="16"/>
              </w:rPr>
              <w:t>&lt;=5193.48万元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FCE09">
            <w:pPr>
              <w:jc w:val="center"/>
            </w:pPr>
            <w:r>
              <w:rPr>
                <w:rFonts w:ascii="宋体" w:hAnsi="宋体" w:eastAsia="宋体"/>
                <w:sz w:val="16"/>
              </w:rPr>
              <w:t>5193.48万元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898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CA8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F2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C14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C8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E4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26C90">
            <w:pPr>
              <w:jc w:val="center"/>
            </w:pPr>
          </w:p>
        </w:tc>
      </w:tr>
      <w:tr w14:paraId="27A5CD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356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92F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E4A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8F660">
            <w:pPr>
              <w:jc w:val="center"/>
            </w:pPr>
            <w:r>
              <w:rPr>
                <w:rFonts w:ascii="宋体" w:hAnsi="宋体" w:eastAsia="宋体"/>
                <w:sz w:val="16"/>
              </w:rPr>
              <w:t>培训及差旅经费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A1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A718">
            <w:pPr>
              <w:jc w:val="center"/>
            </w:pPr>
            <w:r>
              <w:rPr>
                <w:rFonts w:ascii="宋体" w:hAnsi="宋体" w:eastAsia="宋体"/>
                <w:sz w:val="16"/>
              </w:rPr>
              <w:t>&lt;=60.21万元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6450">
            <w:pPr>
              <w:jc w:val="center"/>
            </w:pPr>
            <w:r>
              <w:rPr>
                <w:rFonts w:ascii="宋体" w:hAnsi="宋体" w:eastAsia="宋体"/>
                <w:sz w:val="16"/>
              </w:rPr>
              <w:t>60.21万元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143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D62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37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38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78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84C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132C">
            <w:pPr>
              <w:jc w:val="center"/>
            </w:pPr>
          </w:p>
        </w:tc>
      </w:tr>
      <w:tr w14:paraId="4AA23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C73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87B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677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2A7F">
            <w:pPr>
              <w:jc w:val="center"/>
            </w:pPr>
            <w:r>
              <w:rPr>
                <w:rFonts w:ascii="宋体" w:hAnsi="宋体" w:eastAsia="宋体"/>
                <w:sz w:val="16"/>
              </w:rPr>
              <w:t>医疗耗材支出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E4B3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B4AA">
            <w:pPr>
              <w:jc w:val="center"/>
            </w:pPr>
            <w:r>
              <w:rPr>
                <w:rFonts w:ascii="宋体" w:hAnsi="宋体" w:eastAsia="宋体"/>
                <w:sz w:val="16"/>
              </w:rPr>
              <w:t>&lt;=10020.14万元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AD15B">
            <w:pPr>
              <w:jc w:val="center"/>
            </w:pPr>
            <w:r>
              <w:rPr>
                <w:rFonts w:ascii="宋体" w:hAnsi="宋体" w:eastAsia="宋体"/>
                <w:sz w:val="16"/>
              </w:rPr>
              <w:t>10020.14万元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E9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8BE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06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18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CD0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08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FD04">
            <w:pPr>
              <w:jc w:val="center"/>
            </w:pPr>
          </w:p>
        </w:tc>
      </w:tr>
      <w:tr w14:paraId="478F2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22D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BFC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69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BB87">
            <w:pPr>
              <w:jc w:val="center"/>
            </w:pPr>
            <w:r>
              <w:rPr>
                <w:rFonts w:ascii="宋体" w:hAnsi="宋体" w:eastAsia="宋体"/>
                <w:sz w:val="16"/>
              </w:rPr>
              <w:t>提高医疗质量和服务水平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CD0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4869">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9E280">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E3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AFE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87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928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FC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D3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B070">
            <w:pPr>
              <w:jc w:val="center"/>
            </w:pPr>
          </w:p>
        </w:tc>
      </w:tr>
      <w:tr w14:paraId="0ECC33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77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8A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5F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D2BCE">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C1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EBE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2B9F">
            <w:pPr>
              <w:jc w:val="center"/>
            </w:pPr>
            <w:r>
              <w:rPr>
                <w:rFonts w:ascii="宋体" w:hAnsi="宋体" w:eastAsia="宋体"/>
                <w:sz w:val="16"/>
              </w:rPr>
              <w:t>97.6%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18B72">
            <w:pPr>
              <w:jc w:val="center"/>
            </w:pPr>
            <w:r>
              <w:rPr>
                <w:rFonts w:ascii="宋体" w:hAnsi="宋体" w:eastAsia="宋体"/>
                <w:sz w:val="16"/>
              </w:rPr>
              <w:t>108.44%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1C0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D7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80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A58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E90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4B02">
            <w:pPr>
              <w:jc w:val="center"/>
            </w:pPr>
            <w:r>
              <w:rPr>
                <w:rFonts w:ascii="宋体" w:hAnsi="宋体" w:eastAsia="宋体"/>
                <w:sz w:val="16"/>
              </w:rPr>
              <w:t>偏差原因：满意度实际完成较好。</w:t>
            </w:r>
          </w:p>
        </w:tc>
      </w:tr>
      <w:tr w14:paraId="646D6CE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3932E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AA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AB5A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05FE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40EF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357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267A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5C93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5535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555C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9225B7"/>
        </w:tc>
      </w:tr>
    </w:tbl>
    <w:p w14:paraId="00433E7E">
      <w:r>
        <w:br w:type="page"/>
      </w:r>
    </w:p>
    <w:p w14:paraId="52AF9D51">
      <w:pPr>
        <w:spacing w:line="640" w:lineRule="exact"/>
        <w:ind w:firstLine="640"/>
        <w:jc w:val="both"/>
        <w:outlineLvl w:val="2"/>
      </w:pPr>
      <w:r>
        <w:rPr>
          <w:rFonts w:ascii="黑体" w:hAnsi="黑体" w:eastAsia="黑体"/>
          <w:sz w:val="32"/>
        </w:rPr>
        <w:t>十二、其他需说明的事项</w:t>
      </w:r>
    </w:p>
    <w:p w14:paraId="05C2427C">
      <w:pPr>
        <w:spacing w:line="580" w:lineRule="exact"/>
        <w:ind w:firstLine="640"/>
        <w:jc w:val="both"/>
      </w:pPr>
      <w:r>
        <w:rPr>
          <w:rFonts w:ascii="仿宋_GB2312" w:hAnsi="仿宋_GB2312" w:eastAsia="仿宋_GB2312"/>
          <w:b w:val="0"/>
          <w:sz w:val="32"/>
        </w:rPr>
        <w:t>本单位无其他需说明的事项。</w:t>
      </w:r>
    </w:p>
    <w:p w14:paraId="3B145682">
      <w:r>
        <w:br w:type="page"/>
      </w:r>
    </w:p>
    <w:p w14:paraId="2B8A7E3E">
      <w:pPr>
        <w:spacing w:line="240" w:lineRule="auto"/>
        <w:jc w:val="center"/>
        <w:outlineLvl w:val="1"/>
      </w:pPr>
      <w:r>
        <w:rPr>
          <w:rFonts w:ascii="黑体" w:hAnsi="黑体" w:eastAsia="黑体"/>
          <w:sz w:val="32"/>
        </w:rPr>
        <w:t>第三部分 专业名词解释</w:t>
      </w:r>
    </w:p>
    <w:p w14:paraId="0D623F3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2C2E3A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22A3E7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800A28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EA5320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B95FB8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6FD2CB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6C7A0D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02B5A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20AA4E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05A4B9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A9A7FE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4F86FD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2A3CE6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11ED99C">
      <w:r>
        <w:br w:type="page"/>
      </w:r>
    </w:p>
    <w:p w14:paraId="205C87DE">
      <w:pPr>
        <w:spacing w:line="240" w:lineRule="auto"/>
        <w:jc w:val="center"/>
        <w:outlineLvl w:val="1"/>
      </w:pPr>
      <w:r>
        <w:rPr>
          <w:rFonts w:ascii="黑体" w:hAnsi="黑体" w:eastAsia="黑体"/>
          <w:sz w:val="32"/>
        </w:rPr>
        <w:t>第四部分 部门决算报表（见附表）</w:t>
      </w:r>
    </w:p>
    <w:p w14:paraId="5B82ADD8">
      <w:pPr>
        <w:spacing w:line="240" w:lineRule="auto"/>
        <w:ind w:firstLine="640"/>
        <w:jc w:val="both"/>
      </w:pPr>
      <w:r>
        <w:rPr>
          <w:rFonts w:ascii="仿宋_GB2312" w:hAnsi="仿宋_GB2312" w:eastAsia="仿宋_GB2312"/>
          <w:b w:val="0"/>
          <w:sz w:val="32"/>
        </w:rPr>
        <w:t>一、《收入支出决算总表》</w:t>
      </w:r>
    </w:p>
    <w:p w14:paraId="764A943F">
      <w:pPr>
        <w:spacing w:line="240" w:lineRule="auto"/>
        <w:ind w:firstLine="640"/>
        <w:jc w:val="both"/>
      </w:pPr>
      <w:r>
        <w:rPr>
          <w:rFonts w:ascii="仿宋_GB2312" w:hAnsi="仿宋_GB2312" w:eastAsia="仿宋_GB2312"/>
          <w:b w:val="0"/>
          <w:sz w:val="32"/>
        </w:rPr>
        <w:t>二、《收入决算表》</w:t>
      </w:r>
    </w:p>
    <w:p w14:paraId="1D736D8F">
      <w:pPr>
        <w:spacing w:line="240" w:lineRule="auto"/>
        <w:ind w:firstLine="640"/>
        <w:jc w:val="both"/>
      </w:pPr>
      <w:r>
        <w:rPr>
          <w:rFonts w:ascii="仿宋_GB2312" w:hAnsi="仿宋_GB2312" w:eastAsia="仿宋_GB2312"/>
          <w:b w:val="0"/>
          <w:sz w:val="32"/>
        </w:rPr>
        <w:t>三、《支出决算表》</w:t>
      </w:r>
    </w:p>
    <w:p w14:paraId="72002FC5">
      <w:pPr>
        <w:spacing w:line="240" w:lineRule="auto"/>
        <w:ind w:firstLine="640"/>
        <w:jc w:val="both"/>
      </w:pPr>
      <w:r>
        <w:rPr>
          <w:rFonts w:ascii="仿宋_GB2312" w:hAnsi="仿宋_GB2312" w:eastAsia="仿宋_GB2312"/>
          <w:b w:val="0"/>
          <w:sz w:val="32"/>
        </w:rPr>
        <w:t>四、《财政拨款收入支出决算总表》</w:t>
      </w:r>
    </w:p>
    <w:p w14:paraId="0BAB41C7">
      <w:pPr>
        <w:spacing w:line="240" w:lineRule="auto"/>
        <w:ind w:firstLine="640"/>
        <w:jc w:val="both"/>
      </w:pPr>
      <w:r>
        <w:rPr>
          <w:rFonts w:ascii="仿宋_GB2312" w:hAnsi="仿宋_GB2312" w:eastAsia="仿宋_GB2312"/>
          <w:b w:val="0"/>
          <w:sz w:val="32"/>
        </w:rPr>
        <w:t>五、《一般公共预算财政拨款支出决算表》</w:t>
      </w:r>
    </w:p>
    <w:p w14:paraId="52A6C9A3">
      <w:pPr>
        <w:spacing w:line="240" w:lineRule="auto"/>
        <w:ind w:firstLine="640"/>
        <w:jc w:val="both"/>
      </w:pPr>
      <w:r>
        <w:rPr>
          <w:rFonts w:ascii="仿宋_GB2312" w:hAnsi="仿宋_GB2312" w:eastAsia="仿宋_GB2312"/>
          <w:b w:val="0"/>
          <w:sz w:val="32"/>
        </w:rPr>
        <w:t>六、《一般公共预算财政拨款基本支出决算表》</w:t>
      </w:r>
    </w:p>
    <w:p w14:paraId="5FCADD79">
      <w:pPr>
        <w:spacing w:line="240" w:lineRule="auto"/>
        <w:ind w:firstLine="640"/>
        <w:jc w:val="both"/>
      </w:pPr>
      <w:r>
        <w:rPr>
          <w:rFonts w:ascii="仿宋_GB2312" w:hAnsi="仿宋_GB2312" w:eastAsia="仿宋_GB2312"/>
          <w:b w:val="0"/>
          <w:sz w:val="32"/>
        </w:rPr>
        <w:t>七、《政府性基金预算财政拨款收入支出决算表》</w:t>
      </w:r>
    </w:p>
    <w:p w14:paraId="2E134EE4">
      <w:pPr>
        <w:spacing w:line="240" w:lineRule="auto"/>
        <w:ind w:firstLine="640"/>
        <w:jc w:val="both"/>
      </w:pPr>
      <w:r>
        <w:rPr>
          <w:rFonts w:ascii="仿宋_GB2312" w:hAnsi="仿宋_GB2312" w:eastAsia="仿宋_GB2312"/>
          <w:b w:val="0"/>
          <w:sz w:val="32"/>
        </w:rPr>
        <w:t>八、《国有资本经营预算财政拨款收入支出决算表》</w:t>
      </w:r>
    </w:p>
    <w:p w14:paraId="3028C6D6">
      <w:pPr>
        <w:spacing w:line="240" w:lineRule="auto"/>
        <w:ind w:firstLine="640"/>
        <w:jc w:val="both"/>
      </w:pPr>
      <w:r>
        <w:rPr>
          <w:rFonts w:ascii="仿宋_GB2312" w:hAnsi="仿宋_GB2312" w:eastAsia="仿宋_GB2312"/>
          <w:b w:val="0"/>
          <w:sz w:val="32"/>
        </w:rPr>
        <w:t>九、《财政拨款“三公”经费支出决算表》</w:t>
      </w:r>
    </w:p>
    <w:p w14:paraId="11F729D3">
      <w:pPr>
        <w:spacing w:line="240" w:lineRule="auto"/>
        <w:ind w:firstLine="640"/>
        <w:jc w:val="both"/>
      </w:pPr>
    </w:p>
    <w:p w14:paraId="7A4FD981">
      <w:pPr>
        <w:spacing w:line="240" w:lineRule="auto"/>
        <w:ind w:firstLine="640"/>
        <w:jc w:val="both"/>
      </w:pPr>
    </w:p>
    <w:p w14:paraId="12ECDBCB">
      <w:pPr>
        <w:spacing w:line="240" w:lineRule="auto"/>
        <w:ind w:firstLine="640"/>
        <w:jc w:val="both"/>
      </w:pPr>
    </w:p>
    <w:p w14:paraId="2D51F6A6">
      <w:pPr>
        <w:spacing w:line="240" w:lineRule="auto"/>
        <w:ind w:firstLine="640"/>
        <w:jc w:val="both"/>
      </w:pPr>
    </w:p>
    <w:p w14:paraId="6590392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A00002BF" w:usb1="38CF7CFA" w:usb2="00082016" w:usb3="00000000" w:csb0="00040001"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0B1BC0"/>
    <w:rsid w:val="043E5B56"/>
    <w:rsid w:val="06792773"/>
    <w:rsid w:val="07954D44"/>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402623"/>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5710</Words>
  <Characters>6647</Characters>
  <Lines>0</Lines>
  <Paragraphs>0</Paragraphs>
  <TotalTime>8</TotalTime>
  <ScaleCrop>false</ScaleCrop>
  <LinksUpToDate>false</LinksUpToDate>
  <CharactersWithSpaces>6655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2025-09-25T03:31:26Z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