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霍城县科学技术局2024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BE799A7">
      <w:r>
        <w:br w:type="page"/>
      </w:r>
    </w:p>
    <w:p w14:paraId="4BC3DD9B">
      <w:pPr>
        <w:spacing w:line="640" w:lineRule="exact"/>
        <w:jc w:val="center"/>
        <w:outlineLvl w:val="1"/>
      </w:pPr>
      <w:r>
        <w:rPr>
          <w:rFonts w:ascii="黑体" w:hAnsi="黑体" w:eastAsia="黑体"/>
          <w:sz w:val="32"/>
        </w:rPr>
        <w:t>第一部分 单位概况</w:t>
      </w:r>
    </w:p>
    <w:p w14:paraId="56362839">
      <w:pPr>
        <w:spacing w:line="640" w:lineRule="exact"/>
        <w:ind w:firstLine="640"/>
        <w:jc w:val="both"/>
        <w:outlineLvl w:val="2"/>
      </w:pPr>
      <w:r>
        <w:rPr>
          <w:rFonts w:ascii="黑体" w:hAnsi="黑体" w:eastAsia="黑体"/>
          <w:sz w:val="32"/>
        </w:rPr>
        <w:t>一、主要职能</w:t>
      </w:r>
    </w:p>
    <w:p w14:paraId="4B70DE4F">
      <w:pPr>
        <w:spacing w:line="580" w:lineRule="exact"/>
        <w:ind w:firstLine="640"/>
        <w:jc w:val="both"/>
      </w:pPr>
      <w:r>
        <w:rPr>
          <w:rFonts w:ascii="仿宋_GB2312" w:hAnsi="仿宋_GB2312" w:eastAsia="仿宋_GB2312"/>
          <w:sz w:val="32"/>
        </w:rPr>
        <w:t>1.组织申报州级重点研究与技术开发专项项目，州级科技计划项目，自治区级科技计划项目。</w:t>
      </w:r>
    </w:p>
    <w:p w14:paraId="380609E9">
      <w:pPr>
        <w:spacing w:line="580" w:lineRule="exact"/>
        <w:ind w:firstLine="640"/>
        <w:jc w:val="both"/>
      </w:pPr>
      <w:r>
        <w:rPr>
          <w:rFonts w:ascii="仿宋_GB2312" w:hAnsi="仿宋_GB2312" w:eastAsia="仿宋_GB2312"/>
          <w:sz w:val="32"/>
        </w:rPr>
        <w:t>2.积极落实高新技术企业优惠政策，用好自治区、自治州级高新技术企业发展扶持资金。</w:t>
      </w:r>
    </w:p>
    <w:p w14:paraId="620A88B1">
      <w:pPr>
        <w:spacing w:line="580" w:lineRule="exact"/>
        <w:ind w:firstLine="640"/>
        <w:jc w:val="both"/>
      </w:pPr>
      <w:r>
        <w:rPr>
          <w:rFonts w:ascii="仿宋_GB2312" w:hAnsi="仿宋_GB2312" w:eastAsia="仿宋_GB2312"/>
          <w:sz w:val="32"/>
        </w:rPr>
        <w:t>3.严格按照登记要求，厘清符合登记要求的科技成果，促使科技成果登记工作顺利开展，根据州科技局任务指标。</w:t>
      </w:r>
    </w:p>
    <w:p w14:paraId="47C26EE6">
      <w:pPr>
        <w:spacing w:line="580" w:lineRule="exact"/>
        <w:ind w:firstLine="640"/>
        <w:jc w:val="both"/>
      </w:pPr>
      <w:r>
        <w:rPr>
          <w:rFonts w:ascii="仿宋_GB2312" w:hAnsi="仿宋_GB2312" w:eastAsia="仿宋_GB2312"/>
          <w:sz w:val="32"/>
        </w:rPr>
        <w:t>4.严格落实考评考核制度，建立科技特派员动态调整机制，为全县农牧民提供深入细致的科技服务。聚焦科技助力乡村振兴工作，以科技之冬、科普进巴扎、科普大篷车基层行等活动为载体，组织专家、技术骨干，为农牧民开展科普服务活动，培训技术人员和农牧民，制作发放科普资料。</w:t>
      </w:r>
    </w:p>
    <w:p w14:paraId="2EC9280D">
      <w:pPr>
        <w:spacing w:line="640" w:lineRule="exact"/>
        <w:ind w:firstLine="640"/>
        <w:jc w:val="both"/>
        <w:outlineLvl w:val="2"/>
      </w:pPr>
      <w:r>
        <w:rPr>
          <w:rFonts w:ascii="黑体" w:hAnsi="黑体" w:eastAsia="黑体"/>
          <w:sz w:val="32"/>
        </w:rPr>
        <w:t>二、机构设置及人员情况</w:t>
      </w:r>
    </w:p>
    <w:p w14:paraId="2A571EC1">
      <w:pPr>
        <w:spacing w:line="580" w:lineRule="exact"/>
        <w:ind w:firstLine="640"/>
        <w:jc w:val="both"/>
      </w:pPr>
      <w:r>
        <w:rPr>
          <w:rFonts w:ascii="仿宋_GB2312" w:hAnsi="仿宋_GB2312" w:eastAsia="仿宋_GB2312"/>
          <w:sz w:val="32"/>
        </w:rPr>
        <w:t>霍城县科学技术局2024年度，实有人数34人，其中：在职人员14人，增加1人；离休人员0人，增加0人；退休人员20人,增加0人。</w:t>
      </w:r>
    </w:p>
    <w:p w14:paraId="286FB574">
      <w:pPr>
        <w:spacing w:line="580" w:lineRule="exact"/>
        <w:ind w:firstLine="640"/>
        <w:jc w:val="both"/>
      </w:pPr>
      <w:r>
        <w:rPr>
          <w:rFonts w:ascii="仿宋_GB2312" w:hAnsi="仿宋_GB2312" w:eastAsia="仿宋_GB2312"/>
          <w:sz w:val="32"/>
        </w:rPr>
        <w:t>霍城县科学技术局无下属预算单位，下设3个科室，分别是：办公室、综合科、财务室。</w:t>
      </w:r>
    </w:p>
    <w:p w14:paraId="3161DE8C">
      <w:r>
        <w:br w:type="page"/>
      </w:r>
    </w:p>
    <w:p w14:paraId="55581BFB">
      <w:pPr>
        <w:spacing w:line="240" w:lineRule="auto"/>
        <w:jc w:val="center"/>
        <w:outlineLvl w:val="1"/>
      </w:pPr>
      <w:r>
        <w:rPr>
          <w:rFonts w:ascii="黑体" w:hAnsi="黑体" w:eastAsia="黑体"/>
          <w:sz w:val="32"/>
        </w:rPr>
        <w:t>第二部分 部门决算情况说明</w:t>
      </w:r>
    </w:p>
    <w:p w14:paraId="0E85C981">
      <w:pPr>
        <w:spacing w:line="640" w:lineRule="exact"/>
        <w:ind w:firstLine="640"/>
        <w:jc w:val="both"/>
        <w:outlineLvl w:val="2"/>
      </w:pPr>
      <w:r>
        <w:rPr>
          <w:rFonts w:ascii="黑体" w:hAnsi="黑体" w:eastAsia="黑体"/>
          <w:sz w:val="32"/>
        </w:rPr>
        <w:t>一、收入支出决算总体情况说明</w:t>
      </w:r>
    </w:p>
    <w:p w14:paraId="5CFCD321">
      <w:pPr>
        <w:spacing w:line="580" w:lineRule="exact"/>
        <w:ind w:firstLine="640"/>
        <w:jc w:val="both"/>
      </w:pPr>
      <w:r>
        <w:rPr>
          <w:rFonts w:ascii="仿宋_GB2312" w:hAnsi="仿宋_GB2312" w:eastAsia="仿宋_GB2312"/>
          <w:b/>
          <w:sz w:val="32"/>
        </w:rPr>
        <w:t>2024年度收入总计724.13万元，</w:t>
      </w:r>
      <w:r>
        <w:rPr>
          <w:rFonts w:ascii="仿宋_GB2312" w:hAnsi="仿宋_GB2312" w:eastAsia="仿宋_GB2312"/>
          <w:b w:val="0"/>
          <w:sz w:val="32"/>
        </w:rPr>
        <w:t>其中：本年收入合计724.13万元，使用非财政拨款结余（含专用结余）0.00万元，年初结转和结余0.00万元。</w:t>
      </w:r>
    </w:p>
    <w:p w14:paraId="479198BB">
      <w:pPr>
        <w:spacing w:line="580" w:lineRule="exact"/>
        <w:ind w:firstLine="640"/>
        <w:jc w:val="both"/>
      </w:pPr>
      <w:r>
        <w:rPr>
          <w:rFonts w:ascii="仿宋_GB2312" w:hAnsi="仿宋_GB2312" w:eastAsia="仿宋_GB2312"/>
          <w:b/>
          <w:sz w:val="32"/>
        </w:rPr>
        <w:t>2024年度支出总计724.13万元，</w:t>
      </w:r>
      <w:r>
        <w:rPr>
          <w:rFonts w:ascii="仿宋_GB2312" w:hAnsi="仿宋_GB2312" w:eastAsia="仿宋_GB2312"/>
          <w:b w:val="0"/>
          <w:sz w:val="32"/>
        </w:rPr>
        <w:t>其中：本年支出合计724.13万元，结余分配0.00万元，年末结转和结余0.00万元。</w:t>
      </w:r>
    </w:p>
    <w:p w14:paraId="5A11A640">
      <w:pPr>
        <w:spacing w:line="580" w:lineRule="exact"/>
        <w:ind w:firstLine="640"/>
        <w:jc w:val="both"/>
      </w:pPr>
      <w:r>
        <w:rPr>
          <w:rFonts w:ascii="仿宋_GB2312" w:hAnsi="仿宋_GB2312" w:eastAsia="仿宋_GB2312"/>
          <w:b w:val="0"/>
          <w:sz w:val="32"/>
        </w:rPr>
        <w:t>收入支出总体与上年相比，增加290.91万元，增长67.15%，主要原因是：1、本年增加科技三项费党员干部培训及业务工作督导；2、本年在职人员工资调增，社保、公积金基数调增，人员经费增加；3、本年增加1名引进人才，人员经费增加。</w:t>
      </w:r>
    </w:p>
    <w:p w14:paraId="3D5668D6">
      <w:pPr>
        <w:spacing w:line="640" w:lineRule="exact"/>
        <w:ind w:firstLine="640"/>
        <w:jc w:val="both"/>
        <w:outlineLvl w:val="2"/>
      </w:pPr>
      <w:r>
        <w:rPr>
          <w:rFonts w:ascii="黑体" w:hAnsi="黑体" w:eastAsia="黑体"/>
          <w:sz w:val="32"/>
        </w:rPr>
        <w:t>二、收入决算情况说明</w:t>
      </w:r>
    </w:p>
    <w:p w14:paraId="77CA49E1">
      <w:pPr>
        <w:spacing w:line="580" w:lineRule="exact"/>
        <w:ind w:firstLine="640"/>
        <w:jc w:val="both"/>
      </w:pPr>
      <w:r>
        <w:rPr>
          <w:rFonts w:ascii="仿宋_GB2312" w:hAnsi="仿宋_GB2312" w:eastAsia="仿宋_GB2312"/>
          <w:b/>
          <w:sz w:val="32"/>
        </w:rPr>
        <w:t>本年收入724.13万元，</w:t>
      </w:r>
      <w:r>
        <w:rPr>
          <w:rFonts w:ascii="仿宋_GB2312" w:hAnsi="仿宋_GB2312" w:eastAsia="仿宋_GB2312"/>
          <w:b w:val="0"/>
          <w:sz w:val="32"/>
        </w:rPr>
        <w:t>其中：财政拨款收入705.71万元，占97.46%；上级补助收入0.00万元，占0.00%；事业收入0.00万元，占0.00%；经营收入0.00万元，占0.00%；附属单位上缴收入0.00万元，占0.00%；其他收入18.42万元，占2.54%。</w:t>
      </w:r>
    </w:p>
    <w:p w14:paraId="1F9C17B6">
      <w:pPr>
        <w:spacing w:line="640" w:lineRule="exact"/>
        <w:ind w:firstLine="640"/>
        <w:jc w:val="both"/>
        <w:outlineLvl w:val="2"/>
      </w:pPr>
      <w:r>
        <w:rPr>
          <w:rFonts w:ascii="黑体" w:hAnsi="黑体" w:eastAsia="黑体"/>
          <w:sz w:val="32"/>
        </w:rPr>
        <w:t>三、支出决算情况说明</w:t>
      </w:r>
    </w:p>
    <w:p w14:paraId="29B0709C">
      <w:pPr>
        <w:spacing w:line="580" w:lineRule="exact"/>
        <w:ind w:firstLine="640"/>
        <w:jc w:val="both"/>
      </w:pPr>
      <w:r>
        <w:rPr>
          <w:rFonts w:ascii="仿宋_GB2312" w:hAnsi="仿宋_GB2312" w:eastAsia="仿宋_GB2312"/>
          <w:b/>
          <w:sz w:val="32"/>
        </w:rPr>
        <w:t>本年支出724.13万元，</w:t>
      </w:r>
      <w:r>
        <w:rPr>
          <w:rFonts w:ascii="仿宋_GB2312" w:hAnsi="仿宋_GB2312" w:eastAsia="仿宋_GB2312"/>
          <w:b w:val="0"/>
          <w:sz w:val="32"/>
        </w:rPr>
        <w:t>其中：基本支出548.67万元，占75.77%；项目支出175.46万元，占24.23%；上缴上级支出0.00万元，占0.00%；经营支出0.00万元，占0.00%；对附属单位补助支出0.00万元，占0.00%。</w:t>
      </w:r>
    </w:p>
    <w:p w14:paraId="71EA17BB">
      <w:pPr>
        <w:spacing w:line="640" w:lineRule="exact"/>
        <w:ind w:firstLine="640"/>
        <w:jc w:val="both"/>
        <w:outlineLvl w:val="2"/>
      </w:pPr>
      <w:r>
        <w:rPr>
          <w:rFonts w:ascii="黑体" w:hAnsi="黑体" w:eastAsia="黑体"/>
          <w:sz w:val="32"/>
        </w:rPr>
        <w:t>四、财政拨款收入支出决算总体情况说明</w:t>
      </w:r>
    </w:p>
    <w:p w14:paraId="2E58705B">
      <w:pPr>
        <w:spacing w:line="580" w:lineRule="exact"/>
        <w:ind w:firstLine="640"/>
        <w:jc w:val="both"/>
      </w:pPr>
      <w:r>
        <w:rPr>
          <w:rFonts w:ascii="仿宋_GB2312" w:hAnsi="仿宋_GB2312" w:eastAsia="仿宋_GB2312"/>
          <w:b/>
          <w:sz w:val="32"/>
        </w:rPr>
        <w:t>2024年度财政拨款收入总计705.71万元，</w:t>
      </w:r>
      <w:r>
        <w:rPr>
          <w:rFonts w:ascii="仿宋_GB2312" w:hAnsi="仿宋_GB2312" w:eastAsia="仿宋_GB2312"/>
          <w:b w:val="0"/>
          <w:sz w:val="32"/>
        </w:rPr>
        <w:t>其中：年初财政拨款结转和结余0.00万元，本年财政拨款收入705.71万元。</w:t>
      </w:r>
      <w:r>
        <w:rPr>
          <w:rFonts w:ascii="仿宋_GB2312" w:hAnsi="仿宋_GB2312" w:eastAsia="仿宋_GB2312"/>
          <w:b/>
          <w:sz w:val="32"/>
        </w:rPr>
        <w:t>财政拨款支出总计705.71万元，</w:t>
      </w:r>
      <w:r>
        <w:rPr>
          <w:rFonts w:ascii="仿宋_GB2312" w:hAnsi="仿宋_GB2312" w:eastAsia="仿宋_GB2312"/>
          <w:b w:val="0"/>
          <w:sz w:val="32"/>
        </w:rPr>
        <w:t>其中：年末财政拨款结转和结余0.00万元，本年财政拨款支出705.71万元。</w:t>
      </w:r>
    </w:p>
    <w:p w14:paraId="0FBED6A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增加272.49万元，增长62.90%，主要原因是：1、本年增加科技三项费党员干部培训及业务工作督导；2、本年在职人员工资调增，社保、公积金基数调增，人员经费增加；3、本年增加1名引进人才，人员经费增加。</w:t>
      </w:r>
      <w:r>
        <w:rPr>
          <w:rFonts w:ascii="仿宋_GB2312" w:hAnsi="仿宋_GB2312" w:eastAsia="仿宋_GB2312"/>
          <w:b/>
          <w:sz w:val="32"/>
        </w:rPr>
        <w:t>与年初预算相比，</w:t>
      </w:r>
      <w:r>
        <w:rPr>
          <w:rFonts w:ascii="仿宋_GB2312" w:hAnsi="仿宋_GB2312" w:eastAsia="仿宋_GB2312"/>
          <w:b w:val="0"/>
          <w:sz w:val="32"/>
        </w:rPr>
        <w:t>年初预算数235.61万元，决算数705.71万元，预决算差异率199.52%，主要原因是：年中追加科技三项费，导致预决算存在差异。</w:t>
      </w:r>
    </w:p>
    <w:p w14:paraId="72EE37B9">
      <w:pPr>
        <w:spacing w:line="640" w:lineRule="exact"/>
        <w:ind w:firstLine="640"/>
        <w:jc w:val="both"/>
        <w:outlineLvl w:val="2"/>
      </w:pPr>
      <w:r>
        <w:rPr>
          <w:rFonts w:ascii="黑体" w:hAnsi="黑体" w:eastAsia="黑体"/>
          <w:sz w:val="32"/>
        </w:rPr>
        <w:t>五、一般公共预算财政拨款支出决算情况说明</w:t>
      </w:r>
    </w:p>
    <w:p w14:paraId="347D213C">
      <w:pPr>
        <w:spacing w:line="640" w:lineRule="exact"/>
        <w:ind w:firstLine="640"/>
        <w:jc w:val="both"/>
        <w:outlineLvl w:val="3"/>
      </w:pPr>
      <w:r>
        <w:rPr>
          <w:rFonts w:ascii="楷体_GB2312" w:hAnsi="楷体_GB2312" w:eastAsia="楷体_GB2312"/>
          <w:b/>
          <w:sz w:val="32"/>
        </w:rPr>
        <w:t>（一）一般公共预算财政拨款支出决算总体情况</w:t>
      </w:r>
    </w:p>
    <w:p w14:paraId="6508E500">
      <w:pPr>
        <w:spacing w:line="580" w:lineRule="exact"/>
        <w:ind w:firstLine="640"/>
        <w:jc w:val="both"/>
      </w:pPr>
      <w:r>
        <w:rPr>
          <w:rFonts w:ascii="仿宋_GB2312" w:hAnsi="仿宋_GB2312" w:eastAsia="仿宋_GB2312"/>
          <w:b/>
          <w:sz w:val="32"/>
        </w:rPr>
        <w:t>2024年度一般公共预算财政拨款支出705.71万元，</w:t>
      </w:r>
      <w:r>
        <w:rPr>
          <w:rFonts w:ascii="仿宋_GB2312" w:hAnsi="仿宋_GB2312" w:eastAsia="仿宋_GB2312"/>
          <w:b w:val="0"/>
          <w:sz w:val="32"/>
        </w:rPr>
        <w:t>占本年支出合计的97.46%。</w:t>
      </w:r>
      <w:r>
        <w:rPr>
          <w:rFonts w:ascii="仿宋_GB2312" w:hAnsi="仿宋_GB2312" w:eastAsia="仿宋_GB2312"/>
          <w:b/>
          <w:sz w:val="32"/>
        </w:rPr>
        <w:t>与上年相比，</w:t>
      </w:r>
      <w:r>
        <w:rPr>
          <w:rFonts w:ascii="仿宋_GB2312" w:hAnsi="仿宋_GB2312" w:eastAsia="仿宋_GB2312"/>
          <w:b w:val="0"/>
          <w:sz w:val="32"/>
        </w:rPr>
        <w:t>增加272.49万元，增长62.90%，主要原因是：1、本年增加科技三项费党员干部培训及业务工作督导；2、本年在职人员工资调增，社保、公积金基数调增，人员经费增加；3、本年增加1名引进人才，人员经费增加。</w:t>
      </w:r>
      <w:r>
        <w:rPr>
          <w:rFonts w:ascii="仿宋_GB2312" w:hAnsi="仿宋_GB2312" w:eastAsia="仿宋_GB2312"/>
          <w:b/>
          <w:sz w:val="32"/>
        </w:rPr>
        <w:t>与年初预算相比,</w:t>
      </w:r>
      <w:r>
        <w:rPr>
          <w:rFonts w:ascii="仿宋_GB2312" w:hAnsi="仿宋_GB2312" w:eastAsia="仿宋_GB2312"/>
          <w:b w:val="0"/>
          <w:sz w:val="32"/>
        </w:rPr>
        <w:t>年初预算数235.61万元，决算数705.71万元，预决算差异率199.52%，主要原因是：年中追加科技三项费，导致预决算存在差异。</w:t>
      </w:r>
    </w:p>
    <w:p w14:paraId="369AFB9E">
      <w:pPr>
        <w:spacing w:line="640" w:lineRule="exact"/>
        <w:ind w:firstLine="640"/>
        <w:jc w:val="both"/>
        <w:outlineLvl w:val="3"/>
      </w:pPr>
      <w:r>
        <w:rPr>
          <w:rFonts w:ascii="楷体_GB2312" w:hAnsi="楷体_GB2312" w:eastAsia="楷体_GB2312"/>
          <w:b/>
          <w:sz w:val="32"/>
        </w:rPr>
        <w:t>（二）一般公共预算财政拨款支出决算结构情况</w:t>
      </w:r>
    </w:p>
    <w:p w14:paraId="6D4D8C79">
      <w:pPr>
        <w:spacing w:line="580" w:lineRule="exact"/>
        <w:ind w:firstLine="640"/>
        <w:jc w:val="both"/>
      </w:pPr>
      <w:r>
        <w:rPr>
          <w:rFonts w:ascii="仿宋_GB2312" w:hAnsi="仿宋_GB2312" w:eastAsia="仿宋_GB2312"/>
          <w:b w:val="0"/>
          <w:sz w:val="32"/>
        </w:rPr>
        <w:t>1.科学技术支出(类)642.43万元,占91.03%。</w:t>
      </w:r>
    </w:p>
    <w:p w14:paraId="76A4B607">
      <w:pPr>
        <w:spacing w:line="580" w:lineRule="exact"/>
        <w:ind w:firstLine="640"/>
        <w:jc w:val="both"/>
      </w:pPr>
      <w:r>
        <w:rPr>
          <w:rFonts w:ascii="仿宋_GB2312" w:hAnsi="仿宋_GB2312" w:eastAsia="仿宋_GB2312"/>
          <w:b w:val="0"/>
          <w:sz w:val="32"/>
        </w:rPr>
        <w:t>2.社会保障和就业支出(类)48.28万元,占6.84%。</w:t>
      </w:r>
    </w:p>
    <w:p w14:paraId="3A407843">
      <w:pPr>
        <w:spacing w:line="580" w:lineRule="exact"/>
        <w:ind w:firstLine="640"/>
        <w:jc w:val="both"/>
      </w:pPr>
      <w:r>
        <w:rPr>
          <w:rFonts w:ascii="仿宋_GB2312" w:hAnsi="仿宋_GB2312" w:eastAsia="仿宋_GB2312"/>
          <w:b w:val="0"/>
          <w:sz w:val="32"/>
        </w:rPr>
        <w:t>3.节能环保支出(类)15.00万元,占2.13%。</w:t>
      </w:r>
    </w:p>
    <w:p w14:paraId="156AE909">
      <w:pPr>
        <w:spacing w:line="640" w:lineRule="exact"/>
        <w:ind w:firstLine="640"/>
        <w:jc w:val="both"/>
        <w:outlineLvl w:val="3"/>
      </w:pPr>
      <w:r>
        <w:rPr>
          <w:rFonts w:ascii="楷体_GB2312" w:hAnsi="楷体_GB2312" w:eastAsia="楷体_GB2312"/>
          <w:b/>
          <w:sz w:val="32"/>
        </w:rPr>
        <w:t>（三）一般公共预算财政拨款支出决算具体情况</w:t>
      </w:r>
    </w:p>
    <w:p w14:paraId="1A404F3D">
      <w:pPr>
        <w:spacing w:line="580" w:lineRule="exact"/>
        <w:ind w:firstLine="640"/>
        <w:jc w:val="both"/>
      </w:pPr>
      <w:r>
        <w:rPr>
          <w:rFonts w:ascii="仿宋_GB2312" w:hAnsi="仿宋_GB2312" w:eastAsia="仿宋_GB2312"/>
          <w:b w:val="0"/>
          <w:sz w:val="32"/>
        </w:rPr>
        <w:t>1.科学技术支出(类)科学技术管理事务(款)行政运行(项):支出决算数为357.08万元，比上年决算增加160.85万元，增长81.97%,主要原因是：（1）本年在职人员工资调增，导致相关人员经费较上年有所增加；（2）本年功能科目调整，行政单位离退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养老保险缴费、住房公积金、公务员医疗补助、行政单位医疗</w:t>
      </w:r>
      <w:r>
        <w:rPr>
          <w:rFonts w:ascii="仿宋_GB2312" w:hAnsi="仿宋_GB2312" w:eastAsia="仿宋_GB2312"/>
          <w:b w:val="0"/>
          <w:sz w:val="32"/>
        </w:rPr>
        <w:t>上年度单独列支，本年调整至主科目列支，导致经费较上年</w:t>
      </w:r>
      <w:r>
        <w:rPr>
          <w:rFonts w:hint="eastAsia" w:ascii="仿宋_GB2312" w:hAnsi="仿宋_GB2312" w:eastAsia="仿宋_GB2312"/>
          <w:b w:val="0"/>
          <w:sz w:val="32"/>
          <w:lang w:val="en-US" w:eastAsia="zh-CN"/>
        </w:rPr>
        <w:t>增加</w:t>
      </w:r>
      <w:r>
        <w:rPr>
          <w:rFonts w:hint="eastAsia" w:ascii="仿宋_GB2312" w:hAnsi="仿宋_GB2312" w:eastAsia="仿宋_GB2312"/>
          <w:b w:val="0"/>
          <w:sz w:val="32"/>
          <w:lang w:eastAsia="zh-CN"/>
        </w:rPr>
        <w:t>；</w:t>
      </w:r>
      <w:r>
        <w:rPr>
          <w:rFonts w:ascii="仿宋_GB2312" w:hAnsi="仿宋_GB2312" w:eastAsia="仿宋_GB2312"/>
          <w:b w:val="0"/>
          <w:sz w:val="32"/>
        </w:rPr>
        <w:t>（3）本年增加1名引进人才，人员经费增加。</w:t>
      </w:r>
    </w:p>
    <w:p w14:paraId="69F8AD6B">
      <w:pPr>
        <w:spacing w:line="580" w:lineRule="exact"/>
        <w:ind w:firstLine="640"/>
        <w:jc w:val="both"/>
      </w:pPr>
      <w:r>
        <w:rPr>
          <w:rFonts w:ascii="仿宋_GB2312" w:hAnsi="仿宋_GB2312" w:eastAsia="仿宋_GB2312"/>
          <w:b w:val="0"/>
          <w:sz w:val="32"/>
        </w:rPr>
        <w:t>2.科学技术支出(类)技术研究与开发(款)科技成果转化与扩散(项):支出决算数为2.00万元，比上年决算减少2.00万元，下降50.00%,主要原因是：本年减少科技特派员经费。</w:t>
      </w:r>
    </w:p>
    <w:p w14:paraId="5D7248E7">
      <w:pPr>
        <w:spacing w:line="580" w:lineRule="exact"/>
        <w:ind w:firstLine="640"/>
        <w:jc w:val="both"/>
      </w:pPr>
      <w:r>
        <w:rPr>
          <w:rFonts w:ascii="仿宋_GB2312" w:hAnsi="仿宋_GB2312" w:eastAsia="仿宋_GB2312"/>
          <w:b w:val="0"/>
          <w:sz w:val="32"/>
        </w:rPr>
        <w:t>3.科学技术支出(类)科技条件与服务(款)机构运行(项):支出决算数为37.00万元，比上年决算增加37.00万元，增长100.00%,主要原因是：本年度科目调整，科技三项费由科学技术支出(类)科技条件与服务(款)其他科技条件与服务支出(项）调整至科学技术支出(类)科技条件与服务(款)机构运行(项)，导致经费较上年增加。</w:t>
      </w:r>
    </w:p>
    <w:p w14:paraId="553D0E14">
      <w:pPr>
        <w:spacing w:line="580" w:lineRule="exact"/>
        <w:ind w:firstLine="640"/>
        <w:jc w:val="both"/>
      </w:pPr>
      <w:r>
        <w:rPr>
          <w:rFonts w:ascii="仿宋_GB2312" w:hAnsi="仿宋_GB2312" w:eastAsia="仿宋_GB2312"/>
          <w:b w:val="0"/>
          <w:sz w:val="32"/>
        </w:rPr>
        <w:t>4.科学技术支出(类)科技条件与服务(款)其他科技条件与服务支出(项):支出决算数为30.00万元，比上年决算减少56.38万元，下降65.27%,主要原因是：本年度科目调整，科技三项费由科学技术支出(类)科技条件与服务(款)其他科技条件与服务支出(项）调整至科学技术支出(类)科技条件与服务(款)机构运行(项)，导致经费较上年减少。</w:t>
      </w:r>
    </w:p>
    <w:p w14:paraId="22419A27">
      <w:pPr>
        <w:spacing w:line="580" w:lineRule="exact"/>
        <w:ind w:firstLine="640"/>
        <w:jc w:val="both"/>
      </w:pPr>
      <w:r>
        <w:rPr>
          <w:rFonts w:ascii="仿宋_GB2312" w:hAnsi="仿宋_GB2312" w:eastAsia="仿宋_GB2312"/>
          <w:b w:val="0"/>
          <w:sz w:val="32"/>
        </w:rPr>
        <w:t>5.科学技术支出(类)科学技术普及(款)机构运行(项):支出决算数为87.90万元，比上年决算增加6.82万元，增长8.41%,主要原因是：本年科技三项费税务局业务经费增加。</w:t>
      </w:r>
    </w:p>
    <w:p w14:paraId="5F218419">
      <w:pPr>
        <w:spacing w:line="580" w:lineRule="exact"/>
        <w:ind w:firstLine="640"/>
        <w:jc w:val="both"/>
      </w:pPr>
      <w:r>
        <w:rPr>
          <w:rFonts w:ascii="仿宋_GB2312" w:hAnsi="仿宋_GB2312" w:eastAsia="仿宋_GB2312"/>
          <w:b w:val="0"/>
          <w:sz w:val="32"/>
        </w:rPr>
        <w:t>6.科学技术支出(类)科学技术普及(款)科普活动(项):支出决算数为9.00万元，比上年决算减少1.00万元，下降10.00%,主要原因是：本年度基层科普行动计划项目资金减少。</w:t>
      </w:r>
    </w:p>
    <w:p w14:paraId="198C5742">
      <w:pPr>
        <w:spacing w:line="580" w:lineRule="exact"/>
        <w:ind w:firstLine="640"/>
        <w:jc w:val="both"/>
      </w:pPr>
      <w:r>
        <w:rPr>
          <w:rFonts w:ascii="仿宋_GB2312" w:hAnsi="仿宋_GB2312" w:eastAsia="仿宋_GB2312"/>
          <w:b w:val="0"/>
          <w:sz w:val="32"/>
        </w:rPr>
        <w:t>7.科学技术支出(类)科技重大项目(款)其他科技重大项目(项):支出决算数为119.46万元，比上年决算增加119.46万元，增长100.00%,主要原因是：本年增加科技三项费党员干部培训及业务工作督导。</w:t>
      </w:r>
    </w:p>
    <w:p w14:paraId="06E5523D">
      <w:pPr>
        <w:spacing w:line="580" w:lineRule="exact"/>
        <w:ind w:firstLine="640"/>
        <w:jc w:val="both"/>
      </w:pPr>
      <w:r>
        <w:rPr>
          <w:rFonts w:ascii="仿宋_GB2312" w:hAnsi="仿宋_GB2312" w:eastAsia="仿宋_GB2312"/>
          <w:b w:val="0"/>
          <w:sz w:val="32"/>
        </w:rPr>
        <w:t>8.科学技术支出(类)其他科学技术支出(款)其他科学技术支出(项):支出决算数为0.00万元，比上年决算减少36.00万元，下降100.00%,主要原因是：本年未安排法院代管案款。</w:t>
      </w:r>
    </w:p>
    <w:p w14:paraId="5C87BD89">
      <w:pPr>
        <w:spacing w:line="580" w:lineRule="exact"/>
        <w:ind w:firstLine="640"/>
        <w:jc w:val="both"/>
      </w:pPr>
      <w:r>
        <w:rPr>
          <w:rFonts w:ascii="仿宋_GB2312" w:hAnsi="仿宋_GB2312" w:eastAsia="仿宋_GB2312"/>
          <w:b w:val="0"/>
          <w:sz w:val="32"/>
        </w:rPr>
        <w:t>9.社会保障和就业支出(类)行政事业单位养老支出(款)行政单位离退休(项):支出决算数为0.00万元，比上年决算减少0.60万元，下降100.00%,主要原因是：本年功能科目调整，行政单位离退休上年度单独列支，本年调整至主科目列支，导致经费较上年减少。</w:t>
      </w:r>
    </w:p>
    <w:p w14:paraId="5293E379">
      <w:pPr>
        <w:spacing w:line="580" w:lineRule="exact"/>
        <w:ind w:firstLine="640"/>
        <w:jc w:val="both"/>
      </w:pPr>
      <w:r>
        <w:rPr>
          <w:rFonts w:ascii="仿宋_GB2312" w:hAnsi="仿宋_GB2312" w:eastAsia="仿宋_GB2312"/>
          <w:b w:val="0"/>
          <w:sz w:val="32"/>
        </w:rPr>
        <w:t>10.社会保障和就业支出(类)行政事业单位养老支出(款)机关事业单位基本养老保险缴费支出(项):支出决算数为0.00万元，比上年决算减少2.61万元，下降100.00%,主要原因是：本年功能科目调整，养老保险缴费上年度单独列支，本年调整至主科目列支，导致经费较上年减少。</w:t>
      </w:r>
    </w:p>
    <w:p w14:paraId="033C0E33">
      <w:pPr>
        <w:spacing w:line="580" w:lineRule="exact"/>
        <w:ind w:firstLine="640"/>
        <w:jc w:val="both"/>
      </w:pPr>
      <w:r>
        <w:rPr>
          <w:rFonts w:ascii="仿宋_GB2312" w:hAnsi="仿宋_GB2312" w:eastAsia="仿宋_GB2312"/>
          <w:b w:val="0"/>
          <w:sz w:val="32"/>
        </w:rPr>
        <w:t>11.社会保障和就业支出(类)行政事业单位养老支出(款)机关事业单位职业年金缴费支出(项):支出决算数为48.28万元，比上年决算增加34.81万元，增长258.43%,主要原因是：霍城县检察院和法院职业年金从</w:t>
      </w:r>
      <w:r>
        <w:rPr>
          <w:rFonts w:hint="eastAsia" w:ascii="仿宋_GB2312" w:hAnsi="仿宋_GB2312" w:eastAsia="仿宋_GB2312"/>
          <w:b w:val="0"/>
          <w:sz w:val="32"/>
          <w:lang w:eastAsia="zh-CN"/>
        </w:rPr>
        <w:t>本单位</w:t>
      </w:r>
      <w:r>
        <w:rPr>
          <w:rFonts w:ascii="仿宋_GB2312" w:hAnsi="仿宋_GB2312" w:eastAsia="仿宋_GB2312"/>
          <w:b w:val="0"/>
          <w:sz w:val="32"/>
        </w:rPr>
        <w:t>列支，经费较上年增加。</w:t>
      </w:r>
    </w:p>
    <w:p w14:paraId="6C88BC47">
      <w:pPr>
        <w:spacing w:line="580" w:lineRule="exact"/>
        <w:ind w:firstLine="640"/>
        <w:jc w:val="both"/>
      </w:pPr>
      <w:r>
        <w:rPr>
          <w:rFonts w:ascii="仿宋_GB2312" w:hAnsi="仿宋_GB2312" w:eastAsia="仿宋_GB2312"/>
          <w:b w:val="0"/>
          <w:sz w:val="32"/>
        </w:rPr>
        <w:t>12.卫生健康支出(类)行政事业单位医疗(款)行政单位医疗(项):支出决算数为0.00万元，比上年决算减少0.30万元，下降100.00%,主要原因是：本年功能科目调整，行政单位医疗支出上年度单独列支，本年调整至主科目列支，导致经费较上年减少。</w:t>
      </w:r>
    </w:p>
    <w:p w14:paraId="27AAAAF4">
      <w:pPr>
        <w:spacing w:line="580" w:lineRule="exact"/>
        <w:ind w:firstLine="640"/>
        <w:jc w:val="both"/>
      </w:pPr>
      <w:r>
        <w:rPr>
          <w:rFonts w:ascii="仿宋_GB2312" w:hAnsi="仿宋_GB2312" w:eastAsia="仿宋_GB2312"/>
          <w:b w:val="0"/>
          <w:sz w:val="32"/>
        </w:rPr>
        <w:t>13.卫生健康支出(类)行政事业单位医疗(款)公务员医疗补助(项):支出决算数为0.00万元，比上年决算减少0.01万元，下降100.00%,主要原因是：本年功能科目调整，公务员医疗补助支出上年度单独列支，本年调整至主科目列支，导致经费较上年减少。</w:t>
      </w:r>
    </w:p>
    <w:p w14:paraId="56C00D71">
      <w:pPr>
        <w:spacing w:line="580" w:lineRule="exact"/>
        <w:ind w:firstLine="640"/>
        <w:jc w:val="both"/>
      </w:pPr>
      <w:r>
        <w:rPr>
          <w:rFonts w:ascii="仿宋_GB2312" w:hAnsi="仿宋_GB2312" w:eastAsia="仿宋_GB2312"/>
          <w:b w:val="0"/>
          <w:sz w:val="32"/>
        </w:rPr>
        <w:t>14.节能环保支出(类)环境监测与监察(款)其他环境监测与监察支出(项):支出决算数为15.00万元，比上年决算增加15.00万元，增长100.00%,主要原因是：本年增加霍城县环保局工作经费。</w:t>
      </w:r>
    </w:p>
    <w:p w14:paraId="24C409B1">
      <w:pPr>
        <w:spacing w:line="580" w:lineRule="exact"/>
        <w:ind w:firstLine="640"/>
        <w:jc w:val="both"/>
      </w:pPr>
      <w:r>
        <w:rPr>
          <w:rFonts w:ascii="仿宋_GB2312" w:hAnsi="仿宋_GB2312" w:eastAsia="仿宋_GB2312"/>
          <w:b w:val="0"/>
          <w:sz w:val="32"/>
        </w:rPr>
        <w:t>15.住房保障支出(类)住房改革支出(款)住房公积金(项):支出决算数为0.00万元，比上年决算减少2.53万元，下降100.00%,主要原因是：本年功能科目调整，住房公积金上年度单独列支，本年调整至主科目列支，导致经费较上年减少。</w:t>
      </w:r>
    </w:p>
    <w:p w14:paraId="31914BFC">
      <w:pPr>
        <w:spacing w:line="640" w:lineRule="exact"/>
        <w:ind w:firstLine="640"/>
        <w:jc w:val="both"/>
        <w:outlineLvl w:val="2"/>
      </w:pPr>
      <w:r>
        <w:rPr>
          <w:rFonts w:ascii="黑体" w:hAnsi="黑体" w:eastAsia="黑体"/>
          <w:sz w:val="32"/>
        </w:rPr>
        <w:t>六、一般公共预算财政拨款基本支出决算情况说明</w:t>
      </w:r>
    </w:p>
    <w:p w14:paraId="6BE55CA8">
      <w:pPr>
        <w:spacing w:line="580" w:lineRule="exact"/>
        <w:ind w:firstLine="640"/>
        <w:jc w:val="both"/>
      </w:pPr>
      <w:r>
        <w:rPr>
          <w:rFonts w:ascii="仿宋_GB2312" w:hAnsi="仿宋_GB2312" w:eastAsia="仿宋_GB2312"/>
          <w:b w:val="0"/>
          <w:sz w:val="32"/>
        </w:rPr>
        <w:t>2024年度一般公共预算财政拨款基本支出530.26万元，其中：</w:t>
      </w:r>
      <w:r>
        <w:rPr>
          <w:rFonts w:ascii="仿宋_GB2312" w:hAnsi="仿宋_GB2312" w:eastAsia="仿宋_GB2312"/>
          <w:b/>
          <w:sz w:val="32"/>
        </w:rPr>
        <w:t>人员经费487.44万元，</w:t>
      </w:r>
      <w:r>
        <w:rPr>
          <w:rFonts w:ascii="仿宋_GB2312" w:hAnsi="仿宋_GB2312" w:eastAsia="仿宋_GB2312"/>
          <w:b w:val="0"/>
          <w:sz w:val="32"/>
        </w:rPr>
        <w:t>包括：基本工资、津贴补贴、绩效工资、机关事业单位基本养老保险缴费、职业年金缴费、职工基本医疗保险缴费、公务员医疗补助缴费、其他社会保障缴费、住房公积金、退休费、生活补助。</w:t>
      </w:r>
    </w:p>
    <w:p w14:paraId="37249F16">
      <w:pPr>
        <w:spacing w:line="580" w:lineRule="exact"/>
        <w:ind w:firstLine="640"/>
        <w:jc w:val="both"/>
      </w:pPr>
      <w:r>
        <w:rPr>
          <w:rFonts w:ascii="仿宋_GB2312" w:hAnsi="仿宋_GB2312" w:eastAsia="仿宋_GB2312"/>
          <w:b/>
          <w:sz w:val="32"/>
        </w:rPr>
        <w:t>公用经费42.82万元，</w:t>
      </w:r>
      <w:r>
        <w:rPr>
          <w:rFonts w:ascii="仿宋_GB2312" w:hAnsi="仿宋_GB2312" w:eastAsia="仿宋_GB2312"/>
          <w:b w:val="0"/>
          <w:sz w:val="32"/>
        </w:rPr>
        <w:t>包括：办公费、差旅费、培训费、委托业务费、工会经费、福利费、公务用车运行维护费。</w:t>
      </w:r>
    </w:p>
    <w:p w14:paraId="3DD4768A">
      <w:pPr>
        <w:spacing w:line="640" w:lineRule="exact"/>
        <w:ind w:firstLine="640"/>
        <w:jc w:val="both"/>
        <w:outlineLvl w:val="2"/>
      </w:pPr>
      <w:r>
        <w:rPr>
          <w:rFonts w:ascii="黑体" w:hAnsi="黑体" w:eastAsia="黑体"/>
          <w:sz w:val="32"/>
        </w:rPr>
        <w:t>七、政府性基金预算财政拨款收入支出决算情况说明</w:t>
      </w:r>
    </w:p>
    <w:p w14:paraId="19719053">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FB32489">
      <w:pPr>
        <w:spacing w:line="640" w:lineRule="exact"/>
        <w:ind w:firstLine="640"/>
        <w:jc w:val="both"/>
        <w:outlineLvl w:val="2"/>
      </w:pPr>
      <w:r>
        <w:rPr>
          <w:rFonts w:ascii="黑体" w:hAnsi="黑体" w:eastAsia="黑体"/>
          <w:sz w:val="32"/>
        </w:rPr>
        <w:t>八、国有资本经营预算财政拨款收入支出决算情况说明</w:t>
      </w:r>
    </w:p>
    <w:p w14:paraId="6C87A4A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3830509">
      <w:pPr>
        <w:spacing w:line="640" w:lineRule="exact"/>
        <w:ind w:firstLine="640"/>
        <w:jc w:val="both"/>
        <w:outlineLvl w:val="2"/>
      </w:pPr>
      <w:r>
        <w:rPr>
          <w:rFonts w:ascii="黑体" w:hAnsi="黑体" w:eastAsia="黑体"/>
          <w:sz w:val="32"/>
        </w:rPr>
        <w:t>九、财政拨款“三公”经费支出决算情况说明</w:t>
      </w:r>
    </w:p>
    <w:p w14:paraId="61B60F4D">
      <w:pPr>
        <w:spacing w:line="580" w:lineRule="exact"/>
        <w:ind w:firstLine="640"/>
        <w:jc w:val="both"/>
      </w:pPr>
      <w:r>
        <w:rPr>
          <w:rFonts w:ascii="仿宋_GB2312" w:hAnsi="仿宋_GB2312" w:eastAsia="仿宋_GB2312"/>
          <w:b/>
          <w:sz w:val="32"/>
        </w:rPr>
        <w:t>2024年度财政拨款“三公”经费支出3.30万元，</w:t>
      </w:r>
      <w:r>
        <w:rPr>
          <w:rFonts w:ascii="仿宋_GB2312" w:hAnsi="仿宋_GB2312" w:eastAsia="仿宋_GB2312"/>
          <w:b w:val="0"/>
          <w:sz w:val="32"/>
        </w:rPr>
        <w:t>比上年增加2.80万元，增长560.00%，主要原因是：本年因业务需求，用车次数增加，燃油费增加，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3.30万元，占100.00%，比上年增加2.80万元，增长560.00%，主要原因是：本年因业务需求，用车次数增加，燃油费增加，公务用车日渐老化，维修维护成本增加，导致公务用车运行维护费较上年增加。公务接待费支出0.00万元，占0.00%，比上年增加0.00万元，增长0.00%，主要原因是：2023年与2024年均未安排公务接待费支出。</w:t>
      </w:r>
    </w:p>
    <w:p w14:paraId="328AC0DC">
      <w:pPr>
        <w:spacing w:line="580" w:lineRule="exact"/>
        <w:ind w:firstLine="640"/>
        <w:jc w:val="both"/>
      </w:pPr>
      <w:r>
        <w:rPr>
          <w:rFonts w:ascii="仿宋_GB2312" w:hAnsi="仿宋_GB2312" w:eastAsia="仿宋_GB2312"/>
          <w:b/>
          <w:sz w:val="32"/>
        </w:rPr>
        <w:t>具体情况如下：</w:t>
      </w:r>
    </w:p>
    <w:p w14:paraId="4F5317A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52C4562">
      <w:pPr>
        <w:spacing w:line="580" w:lineRule="exact"/>
        <w:ind w:firstLine="640"/>
        <w:jc w:val="both"/>
      </w:pPr>
      <w:r>
        <w:rPr>
          <w:rFonts w:ascii="仿宋_GB2312" w:hAnsi="仿宋_GB2312" w:eastAsia="仿宋_GB2312"/>
          <w:b w:val="0"/>
          <w:sz w:val="32"/>
        </w:rPr>
        <w:t>公务用车购置及运行维护费3.30万元，其中：公务用车购置费0.00万元，公务用车运行维护费3.30万元。公务用车运行维护费开支内容包括车辆加油费、维修费、保险费、审车费、过路费。公务用车购置数0辆，公务用车保有量2辆。国有资产占用情况中固定资产车辆2辆，与公务用车保有量差异原因是：本单位固定资产车辆与公务用车保有量一致无差异。</w:t>
      </w:r>
    </w:p>
    <w:p w14:paraId="0558B91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0FE4FB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3.30万元，决算数3.30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3.30万元，决算数3.30万元，预决算差异率0.00%，主要原因是：严格按照预算执行，预决算无差异。公务接待费全年预算数0.00万元，决算数0.00万元，预决算差异率0.00%，主要原因是：本单位无公务接待费。</w:t>
      </w:r>
    </w:p>
    <w:p w14:paraId="13FAEB0D">
      <w:pPr>
        <w:spacing w:line="640" w:lineRule="exact"/>
        <w:ind w:firstLine="640"/>
        <w:jc w:val="both"/>
        <w:outlineLvl w:val="2"/>
      </w:pPr>
      <w:r>
        <w:rPr>
          <w:rFonts w:ascii="黑体" w:hAnsi="黑体" w:eastAsia="黑体"/>
          <w:sz w:val="32"/>
        </w:rPr>
        <w:t>十、其他重要事项的情况说明</w:t>
      </w:r>
    </w:p>
    <w:p w14:paraId="182CA87C">
      <w:pPr>
        <w:spacing w:line="640" w:lineRule="exact"/>
        <w:ind w:firstLine="640"/>
        <w:jc w:val="both"/>
        <w:outlineLvl w:val="3"/>
      </w:pPr>
      <w:r>
        <w:rPr>
          <w:rFonts w:ascii="楷体_GB2312" w:hAnsi="楷体_GB2312" w:eastAsia="楷体_GB2312"/>
          <w:b/>
          <w:sz w:val="32"/>
        </w:rPr>
        <w:t>（一）机关运行经费及公用经费支出情况</w:t>
      </w:r>
    </w:p>
    <w:p w14:paraId="30A43608">
      <w:pPr>
        <w:spacing w:line="580" w:lineRule="exact"/>
        <w:ind w:firstLine="640"/>
        <w:jc w:val="both"/>
      </w:pPr>
      <w:r>
        <w:rPr>
          <w:rFonts w:ascii="仿宋_GB2312" w:hAnsi="仿宋_GB2312" w:eastAsia="仿宋_GB2312"/>
          <w:b w:val="0"/>
          <w:sz w:val="32"/>
        </w:rPr>
        <w:t>2024年度霍城县科学技术局（行政单位和参照公务员法管理事业单位）机关运行经费支出42.82万元，比上年增加36.79万元，增长610.12%，主要原因是：</w:t>
      </w:r>
      <w:bookmarkStart w:id="0" w:name="_GoBack"/>
      <w:r>
        <w:rPr>
          <w:rFonts w:ascii="仿宋_GB2312" w:hAnsi="仿宋_GB2312" w:eastAsia="仿宋_GB2312"/>
          <w:b w:val="0"/>
          <w:sz w:val="32"/>
        </w:rPr>
        <w:t>本年增加办公经费，导致公用经费增加。</w:t>
      </w:r>
    </w:p>
    <w:bookmarkEnd w:id="0"/>
    <w:p w14:paraId="78A179B4">
      <w:pPr>
        <w:spacing w:line="640" w:lineRule="exact"/>
        <w:ind w:firstLine="640"/>
        <w:jc w:val="both"/>
        <w:outlineLvl w:val="3"/>
      </w:pPr>
      <w:r>
        <w:rPr>
          <w:rFonts w:ascii="楷体_GB2312" w:hAnsi="楷体_GB2312" w:eastAsia="楷体_GB2312"/>
          <w:b/>
          <w:sz w:val="32"/>
        </w:rPr>
        <w:t>（二）政府采购情况</w:t>
      </w:r>
    </w:p>
    <w:p w14:paraId="29B8FF0E">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48266763">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03B8296A">
      <w:pPr>
        <w:spacing w:line="640" w:lineRule="exact"/>
        <w:ind w:firstLine="640"/>
        <w:jc w:val="both"/>
        <w:outlineLvl w:val="3"/>
      </w:pPr>
      <w:r>
        <w:rPr>
          <w:rFonts w:ascii="楷体_GB2312" w:hAnsi="楷体_GB2312" w:eastAsia="楷体_GB2312"/>
          <w:b/>
          <w:sz w:val="32"/>
        </w:rPr>
        <w:t>（三）国有资产占用情况说明</w:t>
      </w:r>
    </w:p>
    <w:p w14:paraId="0BD3CF11">
      <w:pPr>
        <w:spacing w:line="580" w:lineRule="exact"/>
        <w:ind w:firstLine="640"/>
        <w:jc w:val="both"/>
      </w:pPr>
      <w:r>
        <w:rPr>
          <w:rFonts w:ascii="仿宋_GB2312" w:hAnsi="仿宋_GB2312" w:eastAsia="仿宋_GB2312"/>
          <w:b w:val="0"/>
          <w:sz w:val="32"/>
        </w:rPr>
        <w:t>截至2024年12月31日，房屋0.00平方米，价值0.00万元。车辆2辆，价值37.28万元，其中：副部（省）级及以上领导用车0辆、主要负责人用车0辆、机要通信用车0辆、应急保障用车0辆、执法执勤用车0辆、特种专业技术用车0辆、离退休干部服务用车0辆、其他用车2辆，其他用车主要是：科普宣传车、科普大篷车。单价100万元（含）以上设备（不含车辆）0台（套）。</w:t>
      </w:r>
    </w:p>
    <w:p w14:paraId="41228E83">
      <w:pPr>
        <w:spacing w:line="640" w:lineRule="exact"/>
        <w:ind w:firstLine="640"/>
        <w:jc w:val="both"/>
        <w:outlineLvl w:val="2"/>
      </w:pPr>
      <w:r>
        <w:rPr>
          <w:rFonts w:ascii="黑体" w:hAnsi="黑体" w:eastAsia="黑体"/>
          <w:sz w:val="32"/>
        </w:rPr>
        <w:t>十一、预算绩效的情况说明</w:t>
      </w:r>
    </w:p>
    <w:p w14:paraId="3239C7C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724.14万元，实际执行总额724.14万元；预算绩效评价项目4个，全年预算数158.45万元，全年执行数158.45万元。预算绩效管理取得的成效：一是提高了</w:t>
      </w:r>
      <w:r>
        <w:rPr>
          <w:rFonts w:hint="eastAsia" w:ascii="仿宋_GB2312" w:hAnsi="仿宋_GB2312" w:eastAsia="仿宋_GB2312"/>
          <w:b w:val="0"/>
          <w:sz w:val="32"/>
          <w:lang w:eastAsia="zh-CN"/>
        </w:rPr>
        <w:t>财政资金使用</w:t>
      </w:r>
      <w:r>
        <w:rPr>
          <w:rFonts w:ascii="仿宋_GB2312" w:hAnsi="仿宋_GB2312" w:eastAsia="仿宋_GB2312"/>
          <w:b w:val="0"/>
          <w:sz w:val="32"/>
        </w:rPr>
        <w:t>效益。通过对预算项目进行全面、系统的绩效评估，能够确保资金投向更具效益和价值的领域，减少了资源的浪费和闲置。二是增强了预算编制的科学性和合理性。基于绩效目标的设定和评估，使得预算安排更加精准，与实际需求和预期成果紧密结合。三是促进了政府部门的责任意识和效率提升。明确的绩效目标和责任要求，促使部门更加注重工作的质量和效果，积极采取措施提高工作效率。四是加强了对公共资源的配置优化。根据绩效评价结果，对资源进行重新分配和调整，使得有限的资源能够发挥更大的作用。五是提升了政府的公信力和透明度。向社会公开预算绩效信息，让公众了解政府资金的使用效果，增强了政府的透明度和公众对政府的信任。发现的问题及原因：问题：1.绩效目标设定不够明确，导致无法准确衡量项目成果。2.绩效数据收集不完整、不准确，影响评估的客观性和准确性。3.绩效评价指标体系不完善，不能全面反映项目的效益和效果。4.预算执行与绩效目标脱节，资金使用效率低下。5 对绩效评价结果的应用不足，未能与预算安排、政策调整等有效挂钩。原因：1.对预算绩效管理的重视程度不够，缺乏相关意识和理念。2.预算编制和管理的科学性不足，前期调研和论证不充分。3.部门之间沟通协调不畅，信息共享不及时，导致数据收集困难。4.人员专业素质和能力有限，缺乏绩效管理的专业知识和技能。5.制度建设不完善，缺乏明确的规范和流程来指导绩效管理工作。6.激励约束机制不健全，对绩效优秀的部门和人员缺乏奖励，对绩效不佳的缺乏惩罚。下一步改进措施：1.强化主体责任意识：加强培训与宣传，提高各部门对预算绩效管理的重视程度和认识水平，使其深入理解绩效管理的意义和作用。明确部门一把手在预算绩效管理中的领导责任，推动建立全员参与的绩效管理机制。2.健全管理体制和机制：完善协调机制，明确各部门在绩效管理中的职责，避免仅将工作落实到财务人员头上，确保相关人员清楚了解绩效指标的基础数据和信息资料。建立健全绩效激励约束机制，将绩效结果与预算安排、政策调整紧密挂钩，以充分发挥其在优化财政资源配置和提高政府效能方面的作用。3.优化项目事前绩效评估与项目评审的协调：合并项目事前绩效评估与项目预算评审流程，在项目预算评审环节同时开展事前绩效评估，并由第三方出具相应报告。4.提高绩效目标编制质量：建立科学合理的绩效目标编制标准和指南，加强对部门的指导，确保目标的全面性、准确性和可衡量性。设立绩效目标编制质量奖惩机制，对优秀的部门给予奖励，对质量差的部门进行适当惩罚并要求改进。5.加强队伍建设：开展</w:t>
      </w:r>
      <w:r>
        <w:rPr>
          <w:rFonts w:hint="eastAsia" w:ascii="仿宋_GB2312" w:hAnsi="仿宋_GB2312" w:eastAsia="仿宋_GB2312"/>
          <w:b w:val="0"/>
          <w:sz w:val="32"/>
          <w:lang w:eastAsia="zh-CN"/>
        </w:rPr>
        <w:t>针对性</w:t>
      </w:r>
      <w:r>
        <w:rPr>
          <w:rFonts w:ascii="仿宋_GB2312" w:hAnsi="仿宋_GB2312" w:eastAsia="仿宋_GB2312"/>
          <w:b w:val="0"/>
          <w:sz w:val="32"/>
        </w:rPr>
        <w:t>培训和学习活动，提高相关人员的专业素养和业务能力。具体附整体支出绩效自评表，项目支出绩效自评表和评价报告。</w:t>
      </w:r>
    </w:p>
    <w:p w14:paraId="360B5C8B">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B8F2BE7">
        <w:tblPrEx>
          <w:tblCellMar>
            <w:top w:w="0" w:type="dxa"/>
            <w:left w:w="108" w:type="dxa"/>
            <w:bottom w:w="0" w:type="dxa"/>
            <w:right w:w="108" w:type="dxa"/>
          </w:tblCellMar>
        </w:tblPrEx>
        <w:tc>
          <w:tcPr>
            <w:tcW w:w="8840" w:type="dxa"/>
            <w:gridSpan w:val="8"/>
            <w:vAlign w:val="center"/>
          </w:tcPr>
          <w:p w14:paraId="6C19D247">
            <w:pPr>
              <w:jc w:val="center"/>
            </w:pPr>
            <w:r>
              <w:rPr>
                <w:rFonts w:ascii="宋体" w:hAnsi="宋体" w:eastAsia="宋体"/>
                <w:sz w:val="24"/>
              </w:rPr>
              <w:t>单位整体支出绩效自评表</w:t>
            </w:r>
          </w:p>
        </w:tc>
      </w:tr>
      <w:tr w14:paraId="307EA074">
        <w:tblPrEx>
          <w:tblCellMar>
            <w:top w:w="0" w:type="dxa"/>
            <w:left w:w="108" w:type="dxa"/>
            <w:bottom w:w="0" w:type="dxa"/>
            <w:right w:w="108" w:type="dxa"/>
          </w:tblCellMar>
        </w:tblPrEx>
        <w:tc>
          <w:tcPr>
            <w:tcW w:w="8840" w:type="dxa"/>
            <w:gridSpan w:val="8"/>
            <w:vAlign w:val="center"/>
          </w:tcPr>
          <w:p w14:paraId="1E1E273A">
            <w:pPr>
              <w:jc w:val="center"/>
            </w:pPr>
            <w:r>
              <w:rPr>
                <w:rFonts w:ascii="宋体" w:hAnsi="宋体" w:eastAsia="宋体"/>
                <w:sz w:val="24"/>
              </w:rPr>
              <w:t>（2024年度）</w:t>
            </w:r>
          </w:p>
        </w:tc>
      </w:tr>
      <w:tr w14:paraId="294D4FC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561213">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CC0F85">
            <w:pPr>
              <w:jc w:val="center"/>
            </w:pPr>
            <w:r>
              <w:rPr>
                <w:rFonts w:ascii="宋体" w:hAnsi="宋体" w:eastAsia="宋体"/>
                <w:sz w:val="16"/>
              </w:rPr>
              <w:t>霍城县科学技术局</w:t>
            </w:r>
          </w:p>
        </w:tc>
      </w:tr>
      <w:tr w14:paraId="178C774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C74D69">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D76A43">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60A0BA">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BD9DFF">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E4D235">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EB075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533DEF">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87EE19">
            <w:pPr>
              <w:jc w:val="center"/>
            </w:pPr>
            <w:r>
              <w:rPr>
                <w:rFonts w:ascii="宋体" w:hAnsi="宋体" w:eastAsia="宋体"/>
                <w:sz w:val="16"/>
              </w:rPr>
              <w:t>得分</w:t>
            </w:r>
          </w:p>
        </w:tc>
      </w:tr>
      <w:tr w14:paraId="0A8DB67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5175B8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188C9B">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81511D">
            <w:pPr>
              <w:jc w:val="center"/>
            </w:pPr>
            <w:r>
              <w:rPr>
                <w:rFonts w:ascii="宋体" w:hAnsi="宋体" w:eastAsia="宋体"/>
                <w:sz w:val="16"/>
              </w:rPr>
              <w:t>235.60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3B443E">
            <w:pPr>
              <w:jc w:val="center"/>
            </w:pPr>
            <w:r>
              <w:rPr>
                <w:rFonts w:ascii="宋体" w:hAnsi="宋体" w:eastAsia="宋体"/>
                <w:sz w:val="16"/>
              </w:rPr>
              <w:t>724.14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D80677">
            <w:pPr>
              <w:jc w:val="center"/>
            </w:pPr>
            <w:r>
              <w:rPr>
                <w:rFonts w:ascii="宋体" w:hAnsi="宋体" w:eastAsia="宋体"/>
                <w:sz w:val="16"/>
              </w:rPr>
              <w:t>724.14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A6919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91CD1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6B6DC0">
            <w:pPr>
              <w:jc w:val="center"/>
            </w:pPr>
            <w:r>
              <w:rPr>
                <w:rFonts w:ascii="宋体" w:hAnsi="宋体" w:eastAsia="宋体"/>
                <w:sz w:val="16"/>
              </w:rPr>
              <w:t>10</w:t>
            </w:r>
          </w:p>
        </w:tc>
      </w:tr>
      <w:tr w14:paraId="6A30E60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D49665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2FBC5F">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C4D6B3">
            <w:pPr>
              <w:jc w:val="center"/>
            </w:pPr>
            <w:r>
              <w:rPr>
                <w:rFonts w:ascii="宋体" w:hAnsi="宋体" w:eastAsia="宋体"/>
                <w:sz w:val="16"/>
              </w:rPr>
              <w:t>9.00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A3E19A">
            <w:pPr>
              <w:jc w:val="center"/>
            </w:pPr>
            <w:r>
              <w:rPr>
                <w:rFonts w:ascii="宋体" w:hAnsi="宋体" w:eastAsia="宋体"/>
                <w:sz w:val="16"/>
              </w:rPr>
              <w:t>9.00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C1CA80">
            <w:pPr>
              <w:jc w:val="center"/>
            </w:pPr>
            <w:r>
              <w:rPr>
                <w:rFonts w:ascii="宋体" w:hAnsi="宋体" w:eastAsia="宋体"/>
                <w:sz w:val="16"/>
              </w:rPr>
              <w:t>9.00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ED14D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1FB3F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72EC8F">
            <w:pPr>
              <w:jc w:val="center"/>
            </w:pPr>
            <w:r>
              <w:rPr>
                <w:rFonts w:ascii="宋体" w:hAnsi="宋体" w:eastAsia="宋体"/>
                <w:sz w:val="16"/>
              </w:rPr>
              <w:t>-</w:t>
            </w:r>
          </w:p>
        </w:tc>
      </w:tr>
      <w:tr w14:paraId="1CEAF61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B403A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E538FA">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329C35">
            <w:pPr>
              <w:jc w:val="center"/>
            </w:pPr>
            <w:r>
              <w:rPr>
                <w:rFonts w:ascii="宋体" w:hAnsi="宋体" w:eastAsia="宋体"/>
                <w:sz w:val="16"/>
              </w:rPr>
              <w:t>226.60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E60F01">
            <w:pPr>
              <w:jc w:val="center"/>
            </w:pPr>
            <w:r>
              <w:rPr>
                <w:rFonts w:ascii="宋体" w:hAnsi="宋体" w:eastAsia="宋体"/>
                <w:sz w:val="16"/>
              </w:rPr>
              <w:t>696.72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2DE8AB">
            <w:pPr>
              <w:jc w:val="center"/>
            </w:pPr>
            <w:r>
              <w:rPr>
                <w:rFonts w:ascii="宋体" w:hAnsi="宋体" w:eastAsia="宋体"/>
                <w:sz w:val="16"/>
              </w:rPr>
              <w:t>696.72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ED9E8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29A5D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EAB20E">
            <w:pPr>
              <w:jc w:val="center"/>
            </w:pPr>
            <w:r>
              <w:rPr>
                <w:rFonts w:ascii="宋体" w:hAnsi="宋体" w:eastAsia="宋体"/>
                <w:sz w:val="16"/>
              </w:rPr>
              <w:t>-</w:t>
            </w:r>
          </w:p>
        </w:tc>
      </w:tr>
      <w:tr w14:paraId="4A1A9B1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C1D7A9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66A415">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465AF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B54822">
            <w:pPr>
              <w:jc w:val="center"/>
            </w:pPr>
            <w:r>
              <w:rPr>
                <w:rFonts w:ascii="宋体" w:hAnsi="宋体" w:eastAsia="宋体"/>
                <w:sz w:val="16"/>
              </w:rPr>
              <w:t>18.42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BDA229">
            <w:pPr>
              <w:jc w:val="center"/>
            </w:pPr>
            <w:r>
              <w:rPr>
                <w:rFonts w:ascii="宋体" w:hAnsi="宋体" w:eastAsia="宋体"/>
                <w:sz w:val="16"/>
              </w:rPr>
              <w:t>18.42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C621C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8BC25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C06E95">
            <w:pPr>
              <w:jc w:val="center"/>
            </w:pPr>
            <w:r>
              <w:rPr>
                <w:rFonts w:ascii="宋体" w:hAnsi="宋体" w:eastAsia="宋体"/>
                <w:sz w:val="16"/>
              </w:rPr>
              <w:t>-</w:t>
            </w:r>
          </w:p>
        </w:tc>
      </w:tr>
      <w:tr w14:paraId="0DE0BEE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B19D76">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61531DB">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C23B451">
            <w:pPr>
              <w:jc w:val="center"/>
            </w:pPr>
            <w:r>
              <w:rPr>
                <w:rFonts w:ascii="宋体" w:hAnsi="宋体" w:eastAsia="宋体"/>
                <w:sz w:val="16"/>
              </w:rPr>
              <w:t>实际完成情况</w:t>
            </w:r>
          </w:p>
        </w:tc>
      </w:tr>
      <w:tr w14:paraId="54A72A7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CAF6D0B"/>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50B073A">
            <w:pPr>
              <w:jc w:val="both"/>
            </w:pPr>
            <w:r>
              <w:rPr>
                <w:rFonts w:ascii="宋体" w:hAnsi="宋体" w:eastAsia="宋体"/>
                <w:sz w:val="16"/>
              </w:rPr>
              <w:t>霍城县科技局在2024年度贯彻自治区党委工作要求，在拟定自治区科技发展、引进国外智力规划和政策并组织实施的同时统筹推进霍城县创新体系建设和科技体制改革，会同有关部门健全技术创新激励机制，优化科研体系建设，指导科研机构改革发展，推动企业科技创新能力建设，承担推进科技军民融合发展相关工作，推进自治区重大科技决策咨询</w:t>
            </w:r>
            <w:r>
              <w:rPr>
                <w:rFonts w:hint="eastAsia" w:ascii="宋体" w:hAnsi="宋体"/>
                <w:sz w:val="16"/>
                <w:lang w:eastAsia="zh-CN"/>
              </w:rPr>
              <w:t>制度</w:t>
            </w:r>
            <w:r>
              <w:rPr>
                <w:rFonts w:ascii="宋体" w:hAnsi="宋体" w:eastAsia="宋体"/>
                <w:sz w:val="16"/>
              </w:rPr>
              <w:t>建设。编制重大科技项目规划并监督实施，统筹关键共性技术、前沿引领技术、现代工程技术、颠覆性技术研发和创新，牵头组织重大技术攻关和成果应用示范等重点任务。</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517599D">
            <w:pPr>
              <w:jc w:val="both"/>
            </w:pPr>
            <w:r>
              <w:rPr>
                <w:rFonts w:ascii="宋体" w:hAnsi="宋体" w:eastAsia="宋体"/>
                <w:sz w:val="16"/>
              </w:rPr>
              <w:t>一是坚持常态化入企走访。以“入企业、送服务、解难题、促发展”为主题，对丰草牧场、亿鸿丰、昌晟农业、瑞晶电子科技等新落地企业做好科技服务。二是大力培育科技创新主体。新认定</w:t>
            </w:r>
            <w:r>
              <w:rPr>
                <w:rFonts w:hint="eastAsia" w:ascii="宋体" w:hAnsi="宋体"/>
                <w:sz w:val="16"/>
                <w:lang w:eastAsia="zh-CN"/>
              </w:rPr>
              <w:t>国家</w:t>
            </w:r>
            <w:r>
              <w:rPr>
                <w:rFonts w:ascii="宋体" w:hAnsi="宋体" w:eastAsia="宋体"/>
                <w:sz w:val="16"/>
              </w:rPr>
              <w:t>高新技术企业10家，培育2025年高新技术企业8家，备案公示科技型中小企业23家，为县域经济发展注入强大动力。三是鼓励企业技术创新。通过政策引导、鼓励和支持全县企业充分发挥创新主体作用，积极参与科技创新生态建设，完成财政科技投入2890万元，开展技术合同登记2162万元，科技成果登记9项，促进科技成果转化和技术转移。四是积极争取科技项目资金。逐步完善本级科技资金管理工作，积极向上级科技部门申请落实科技项目资金1570万元。五是创建多元创新平台。积极打造创新创业平台，加大对双创载体扶持培育力度，新认定州级星创天地1家、众创空间1家，成功创建自治区级工程技术研究中心2家，不断整合各方资源，吸引更多的人才和项目聚集。六是持续推动大众创业、万众创新。大力弘扬创新创业文化，动员我县13家企业参加第四届霍城县创新创业大赛，其中3家入围自治区创新创业大赛，1家入围中国创新创业大赛。七是全力推动产学研合作。积极对接新疆农业大学、新疆师范大学、伊犁师范大学等院校，签订合作协议4份，涉及科技需求13项。八是推进农业科技成果转化。引进新品种、新技术29项，开展科技培训528期，累计覆盖18861人次，助力农业提质增效、农民增收致富，为乡村振兴提供了科技支撑。九是大力弘扬科学家精神。开展科技宣传活动40余场次，开展科普大篷车六进活动6场，发放各类宣传品及宣传资料10000余份，举办科技讲座30多场次。</w:t>
            </w:r>
          </w:p>
        </w:tc>
      </w:tr>
      <w:tr w14:paraId="47CECDF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E65B3B">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2FA683">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BDD0BF">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96F67B">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68D30A">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0C7AE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5B9461">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E27D92">
            <w:pPr>
              <w:jc w:val="center"/>
            </w:pPr>
            <w:r>
              <w:rPr>
                <w:rFonts w:ascii="宋体" w:hAnsi="宋体" w:eastAsia="宋体"/>
                <w:sz w:val="16"/>
              </w:rPr>
              <w:t>得分</w:t>
            </w:r>
          </w:p>
        </w:tc>
      </w:tr>
      <w:tr w14:paraId="7312111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ECFCBB">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D4C15F">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B64682">
            <w:pPr>
              <w:jc w:val="center"/>
            </w:pPr>
            <w:r>
              <w:rPr>
                <w:rFonts w:ascii="宋体" w:hAnsi="宋体" w:eastAsia="宋体"/>
                <w:sz w:val="16"/>
              </w:rPr>
              <w:t>支持科技创新发展专项计划项目数量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3FFEDD">
            <w:pPr>
              <w:jc w:val="center"/>
            </w:pPr>
            <w:r>
              <w:rPr>
                <w:rFonts w:ascii="宋体" w:hAnsi="宋体" w:eastAsia="宋体"/>
                <w:sz w:val="16"/>
              </w:rPr>
              <w:t>&gt;=10个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B24A3E">
            <w:pPr>
              <w:jc w:val="center"/>
            </w:pPr>
            <w:r>
              <w:rPr>
                <w:rFonts w:ascii="宋体" w:hAnsi="宋体" w:eastAsia="宋体"/>
                <w:sz w:val="16"/>
              </w:rPr>
              <w:t>霍城县科技局2024年重点工作思路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D5FCF2">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162FE2">
            <w:pPr>
              <w:jc w:val="center"/>
            </w:pPr>
            <w:r>
              <w:rPr>
                <w:rFonts w:ascii="宋体" w:hAnsi="宋体" w:eastAsia="宋体"/>
                <w:sz w:val="16"/>
              </w:rPr>
              <w:t>10个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25AD1F">
            <w:pPr>
              <w:jc w:val="center"/>
            </w:pPr>
            <w:r>
              <w:rPr>
                <w:rFonts w:ascii="宋体" w:hAnsi="宋体" w:eastAsia="宋体"/>
                <w:sz w:val="16"/>
              </w:rPr>
              <w:t>20</w:t>
            </w:r>
          </w:p>
        </w:tc>
      </w:tr>
      <w:tr w14:paraId="31607D4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04EBB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379805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E0B535">
            <w:pPr>
              <w:jc w:val="center"/>
            </w:pPr>
            <w:r>
              <w:rPr>
                <w:rFonts w:ascii="宋体" w:hAnsi="宋体" w:eastAsia="宋体"/>
                <w:sz w:val="16"/>
              </w:rPr>
              <w:t>扶持高新技术企业数量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A6DE28">
            <w:pPr>
              <w:jc w:val="center"/>
            </w:pPr>
            <w:r>
              <w:rPr>
                <w:rFonts w:ascii="宋体" w:hAnsi="宋体" w:eastAsia="宋体"/>
                <w:sz w:val="16"/>
              </w:rPr>
              <w:t>&gt;=5家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2C07CB">
            <w:pPr>
              <w:jc w:val="center"/>
            </w:pPr>
            <w:r>
              <w:rPr>
                <w:rFonts w:ascii="宋体" w:hAnsi="宋体" w:eastAsia="宋体"/>
                <w:sz w:val="16"/>
              </w:rPr>
              <w:t>关于印发《伊犁哈萨克自治州高新技术企业管理办法》</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6196FA">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B88DF0">
            <w:pPr>
              <w:jc w:val="center"/>
            </w:pPr>
            <w:r>
              <w:rPr>
                <w:rFonts w:ascii="宋体" w:hAnsi="宋体" w:eastAsia="宋体"/>
                <w:sz w:val="16"/>
              </w:rPr>
              <w:t>5家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5C1A85">
            <w:pPr>
              <w:jc w:val="center"/>
            </w:pPr>
            <w:r>
              <w:rPr>
                <w:rFonts w:ascii="宋体" w:hAnsi="宋体" w:eastAsia="宋体"/>
                <w:sz w:val="16"/>
              </w:rPr>
              <w:t>20</w:t>
            </w:r>
          </w:p>
        </w:tc>
      </w:tr>
      <w:tr w14:paraId="79DCE7B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B4619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A8B24D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1A7895">
            <w:pPr>
              <w:jc w:val="center"/>
            </w:pPr>
            <w:r>
              <w:rPr>
                <w:rFonts w:ascii="宋体" w:hAnsi="宋体" w:eastAsia="宋体"/>
                <w:sz w:val="16"/>
              </w:rPr>
              <w:t>开展“全国科普日”宣传活动、“科技之冬”系列活动场次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416E95">
            <w:pPr>
              <w:jc w:val="center"/>
            </w:pPr>
            <w:r>
              <w:rPr>
                <w:rFonts w:ascii="宋体" w:hAnsi="宋体" w:eastAsia="宋体"/>
                <w:sz w:val="16"/>
              </w:rPr>
              <w:t>&gt;=30人次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D4FB24">
            <w:pPr>
              <w:jc w:val="center"/>
            </w:pPr>
            <w:r>
              <w:rPr>
                <w:rFonts w:ascii="宋体" w:hAnsi="宋体" w:eastAsia="宋体"/>
                <w:sz w:val="16"/>
              </w:rPr>
              <w:t>2024年霍城县科技局重点思路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52A9D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F21848">
            <w:pPr>
              <w:jc w:val="center"/>
            </w:pPr>
            <w:r>
              <w:rPr>
                <w:rFonts w:ascii="宋体" w:hAnsi="宋体" w:eastAsia="宋体"/>
                <w:sz w:val="16"/>
              </w:rPr>
              <w:t>30人次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BC06F5">
            <w:pPr>
              <w:jc w:val="center"/>
            </w:pPr>
            <w:r>
              <w:rPr>
                <w:rFonts w:ascii="宋体" w:hAnsi="宋体" w:eastAsia="宋体"/>
                <w:sz w:val="16"/>
              </w:rPr>
              <w:t>15</w:t>
            </w:r>
          </w:p>
        </w:tc>
      </w:tr>
      <w:tr w14:paraId="4F0F95B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76B89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13A731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2742B0">
            <w:pPr>
              <w:jc w:val="center"/>
            </w:pPr>
            <w:r>
              <w:rPr>
                <w:rFonts w:ascii="宋体" w:hAnsi="宋体" w:eastAsia="宋体"/>
                <w:sz w:val="16"/>
              </w:rPr>
              <w:t>服务企业数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EBC37D">
            <w:pPr>
              <w:jc w:val="center"/>
            </w:pPr>
            <w:r>
              <w:rPr>
                <w:rFonts w:ascii="宋体" w:hAnsi="宋体" w:eastAsia="宋体"/>
                <w:sz w:val="16"/>
              </w:rPr>
              <w:t>&gt;=30家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ACE054">
            <w:pPr>
              <w:jc w:val="center"/>
            </w:pPr>
            <w:r>
              <w:rPr>
                <w:rFonts w:ascii="宋体" w:hAnsi="宋体" w:eastAsia="宋体"/>
                <w:sz w:val="16"/>
              </w:rPr>
              <w:t>2024年霍城县科技局重点思路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C66642">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B3C9C5">
            <w:pPr>
              <w:jc w:val="center"/>
            </w:pPr>
            <w:r>
              <w:rPr>
                <w:rFonts w:ascii="宋体" w:hAnsi="宋体" w:eastAsia="宋体"/>
                <w:sz w:val="16"/>
              </w:rPr>
              <w:t>30家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386C8E">
            <w:pPr>
              <w:jc w:val="center"/>
            </w:pPr>
            <w:r>
              <w:rPr>
                <w:rFonts w:ascii="宋体" w:hAnsi="宋体" w:eastAsia="宋体"/>
                <w:sz w:val="16"/>
              </w:rPr>
              <w:t>15</w:t>
            </w:r>
          </w:p>
        </w:tc>
      </w:tr>
      <w:tr w14:paraId="204AD28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4B534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D8BCD0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50AA74">
            <w:pPr>
              <w:jc w:val="center"/>
            </w:pPr>
            <w:r>
              <w:rPr>
                <w:rFonts w:ascii="宋体" w:hAnsi="宋体" w:eastAsia="宋体"/>
                <w:sz w:val="16"/>
              </w:rPr>
              <w:t>举办创新创业大赛</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F7A30F">
            <w:pPr>
              <w:jc w:val="center"/>
            </w:pPr>
            <w:r>
              <w:rPr>
                <w:rFonts w:ascii="宋体" w:hAnsi="宋体" w:eastAsia="宋体"/>
                <w:sz w:val="16"/>
              </w:rPr>
              <w:t>&gt;=1届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ECC99F">
            <w:pPr>
              <w:jc w:val="center"/>
            </w:pPr>
            <w:r>
              <w:rPr>
                <w:rFonts w:ascii="宋体" w:hAnsi="宋体" w:eastAsia="宋体"/>
                <w:sz w:val="16"/>
              </w:rPr>
              <w:t>《关于举办第十届中国创新创业大赛（伊犁州）</w:t>
            </w:r>
            <w:r>
              <w:rPr>
                <w:rFonts w:hint="eastAsia" w:ascii="宋体" w:hAnsi="宋体"/>
                <w:sz w:val="16"/>
                <w:lang w:eastAsia="zh-CN"/>
              </w:rPr>
              <w:t>》的</w:t>
            </w:r>
            <w:r>
              <w:rPr>
                <w:rFonts w:ascii="宋体" w:hAnsi="宋体" w:eastAsia="宋体"/>
                <w:sz w:val="16"/>
              </w:rPr>
              <w:t>通知</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009D9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CDA422">
            <w:pPr>
              <w:jc w:val="center"/>
            </w:pPr>
            <w:r>
              <w:rPr>
                <w:rFonts w:ascii="宋体" w:hAnsi="宋体" w:eastAsia="宋体"/>
                <w:sz w:val="16"/>
              </w:rPr>
              <w:t>1届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58BFC9">
            <w:pPr>
              <w:jc w:val="center"/>
            </w:pPr>
            <w:r>
              <w:rPr>
                <w:rFonts w:ascii="宋体" w:hAnsi="宋体" w:eastAsia="宋体"/>
                <w:sz w:val="16"/>
              </w:rPr>
              <w:t>10</w:t>
            </w:r>
          </w:p>
        </w:tc>
      </w:tr>
      <w:tr w14:paraId="18D2B08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8B434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07FF9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CB25FB">
            <w:pPr>
              <w:jc w:val="center"/>
            </w:pPr>
            <w:r>
              <w:rPr>
                <w:rFonts w:hint="eastAsia" w:ascii="宋体" w:hAnsi="宋体"/>
                <w:sz w:val="16"/>
                <w:lang w:eastAsia="zh-CN"/>
              </w:rPr>
              <w:t>强化</w:t>
            </w:r>
            <w:r>
              <w:rPr>
                <w:rFonts w:ascii="宋体" w:hAnsi="宋体" w:eastAsia="宋体"/>
                <w:sz w:val="16"/>
              </w:rPr>
              <w:t>科技特派员队伍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1D8B48">
            <w:pPr>
              <w:jc w:val="center"/>
            </w:pPr>
            <w:r>
              <w:rPr>
                <w:rFonts w:ascii="宋体" w:hAnsi="宋体" w:eastAsia="宋体"/>
                <w:sz w:val="16"/>
              </w:rPr>
              <w:t>&gt;=150人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85CA6F">
            <w:pPr>
              <w:jc w:val="center"/>
            </w:pPr>
            <w:r>
              <w:rPr>
                <w:rFonts w:ascii="宋体" w:hAnsi="宋体" w:eastAsia="宋体"/>
                <w:sz w:val="16"/>
              </w:rPr>
              <w:t>霍城县科技局2024年重点工作思路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FBA39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6D8D76">
            <w:pPr>
              <w:jc w:val="center"/>
            </w:pPr>
            <w:r>
              <w:rPr>
                <w:rFonts w:ascii="宋体" w:hAnsi="宋体" w:eastAsia="宋体"/>
                <w:sz w:val="16"/>
              </w:rPr>
              <w:t>130人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301515">
            <w:pPr>
              <w:jc w:val="center"/>
            </w:pPr>
            <w:r>
              <w:rPr>
                <w:rFonts w:ascii="宋体" w:hAnsi="宋体" w:eastAsia="宋体"/>
                <w:sz w:val="16"/>
              </w:rPr>
              <w:t>8.67</w:t>
            </w:r>
          </w:p>
        </w:tc>
      </w:tr>
    </w:tbl>
    <w:p w14:paraId="0AC436D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96"/>
        <w:gridCol w:w="632"/>
        <w:gridCol w:w="632"/>
        <w:gridCol w:w="632"/>
        <w:gridCol w:w="632"/>
        <w:gridCol w:w="632"/>
        <w:gridCol w:w="632"/>
      </w:tblGrid>
      <w:tr w14:paraId="2D4AE18D">
        <w:tblPrEx>
          <w:tblCellMar>
            <w:top w:w="0" w:type="dxa"/>
            <w:left w:w="108" w:type="dxa"/>
            <w:bottom w:w="0" w:type="dxa"/>
            <w:right w:w="108" w:type="dxa"/>
          </w:tblCellMar>
        </w:tblPrEx>
        <w:tc>
          <w:tcPr>
            <w:tcW w:w="8848" w:type="dxa"/>
            <w:gridSpan w:val="14"/>
            <w:vAlign w:val="center"/>
          </w:tcPr>
          <w:p w14:paraId="74FEF241">
            <w:pPr>
              <w:jc w:val="center"/>
            </w:pPr>
            <w:r>
              <w:rPr>
                <w:rFonts w:ascii="宋体" w:hAnsi="宋体" w:eastAsia="宋体"/>
                <w:sz w:val="24"/>
              </w:rPr>
              <w:t>项目支出绩效自评表</w:t>
            </w:r>
          </w:p>
        </w:tc>
      </w:tr>
      <w:tr w14:paraId="60E292F2">
        <w:tblPrEx>
          <w:tblCellMar>
            <w:top w:w="0" w:type="dxa"/>
            <w:left w:w="108" w:type="dxa"/>
            <w:bottom w:w="0" w:type="dxa"/>
            <w:right w:w="108" w:type="dxa"/>
          </w:tblCellMar>
        </w:tblPrEx>
        <w:tc>
          <w:tcPr>
            <w:tcW w:w="8848" w:type="dxa"/>
            <w:gridSpan w:val="14"/>
            <w:vAlign w:val="center"/>
          </w:tcPr>
          <w:p w14:paraId="1B3DC9A5">
            <w:pPr>
              <w:jc w:val="center"/>
            </w:pPr>
            <w:r>
              <w:rPr>
                <w:rFonts w:ascii="宋体" w:hAnsi="宋体" w:eastAsia="宋体"/>
                <w:sz w:val="24"/>
              </w:rPr>
              <w:t>(2024年度)</w:t>
            </w:r>
          </w:p>
        </w:tc>
      </w:tr>
      <w:tr w14:paraId="285034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2B2D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99DD111">
            <w:pPr>
              <w:jc w:val="center"/>
            </w:pPr>
            <w:r>
              <w:rPr>
                <w:rFonts w:ascii="宋体" w:hAnsi="宋体" w:eastAsia="宋体"/>
                <w:sz w:val="16"/>
              </w:rPr>
              <w:t>“基层科普行动计划”资金项目</w:t>
            </w:r>
          </w:p>
        </w:tc>
      </w:tr>
      <w:tr w14:paraId="08F6FF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F6BB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C49AC3">
            <w:pPr>
              <w:jc w:val="center"/>
            </w:pPr>
            <w:r>
              <w:rPr>
                <w:rFonts w:ascii="宋体" w:hAnsi="宋体" w:eastAsia="宋体"/>
                <w:sz w:val="16"/>
              </w:rPr>
              <w:t>霍城县科学技术局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12FE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B0DCFA">
            <w:pPr>
              <w:jc w:val="center"/>
            </w:pPr>
            <w:r>
              <w:rPr>
                <w:rFonts w:ascii="宋体" w:hAnsi="宋体" w:eastAsia="宋体"/>
                <w:sz w:val="16"/>
              </w:rPr>
              <w:t>霍城县科学技术局</w:t>
            </w:r>
          </w:p>
        </w:tc>
      </w:tr>
      <w:tr w14:paraId="6771FDC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B86C29">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299C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9EFF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486A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6E76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6CE0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A465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A2492">
            <w:pPr>
              <w:jc w:val="center"/>
            </w:pPr>
            <w:r>
              <w:rPr>
                <w:rFonts w:ascii="宋体" w:hAnsi="宋体" w:eastAsia="宋体"/>
                <w:sz w:val="16"/>
              </w:rPr>
              <w:t>得分</w:t>
            </w:r>
          </w:p>
        </w:tc>
      </w:tr>
      <w:tr w14:paraId="25BCF3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4182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765A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CB867">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00EC7">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DDDD6">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047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E82A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E538F">
            <w:pPr>
              <w:jc w:val="center"/>
            </w:pPr>
            <w:r>
              <w:rPr>
                <w:rFonts w:ascii="宋体" w:hAnsi="宋体" w:eastAsia="宋体"/>
                <w:sz w:val="16"/>
              </w:rPr>
              <w:t>10.00</w:t>
            </w:r>
          </w:p>
        </w:tc>
      </w:tr>
      <w:tr w14:paraId="2A9C9E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36DC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CC26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00E45">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7F38A">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06BC8">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5829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A59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E1DED">
            <w:pPr>
              <w:jc w:val="center"/>
            </w:pPr>
            <w:r>
              <w:rPr>
                <w:rFonts w:ascii="宋体" w:hAnsi="宋体" w:eastAsia="宋体"/>
                <w:sz w:val="16"/>
              </w:rPr>
              <w:t>—</w:t>
            </w:r>
          </w:p>
        </w:tc>
      </w:tr>
      <w:tr w14:paraId="02A6BF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5580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12E6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350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89F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768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046B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CFF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A47CB">
            <w:pPr>
              <w:jc w:val="center"/>
            </w:pPr>
            <w:r>
              <w:rPr>
                <w:rFonts w:ascii="宋体" w:hAnsi="宋体" w:eastAsia="宋体"/>
                <w:sz w:val="16"/>
              </w:rPr>
              <w:t>—</w:t>
            </w:r>
          </w:p>
        </w:tc>
      </w:tr>
      <w:tr w14:paraId="64C8801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3186D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222F2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849AF2">
            <w:pPr>
              <w:jc w:val="center"/>
            </w:pPr>
            <w:r>
              <w:rPr>
                <w:rFonts w:ascii="宋体" w:hAnsi="宋体" w:eastAsia="宋体"/>
                <w:sz w:val="16"/>
              </w:rPr>
              <w:t>实际完成情况</w:t>
            </w:r>
          </w:p>
        </w:tc>
      </w:tr>
      <w:tr w14:paraId="00720F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F46EC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522FED">
            <w:pPr>
              <w:jc w:val="both"/>
            </w:pPr>
            <w:r>
              <w:rPr>
                <w:rFonts w:ascii="宋体" w:hAnsi="宋体" w:eastAsia="宋体"/>
                <w:sz w:val="16"/>
              </w:rPr>
              <w:t>通过实施基层科普行动计划项目，开展各类科普活动(开展“科普活动周”、“科技之冬”）科</w:t>
            </w:r>
            <w:r>
              <w:rPr>
                <w:rFonts w:hint="eastAsia" w:ascii="宋体" w:hAnsi="宋体"/>
                <w:sz w:val="16"/>
                <w:lang w:eastAsia="zh-CN"/>
              </w:rPr>
              <w:t>普</w:t>
            </w:r>
            <w:r>
              <w:rPr>
                <w:rFonts w:hint="eastAsia" w:ascii="宋体" w:hAnsi="宋体"/>
                <w:sz w:val="16"/>
                <w:lang w:val="en-US" w:eastAsia="zh-CN"/>
              </w:rPr>
              <w:t>去</w:t>
            </w:r>
            <w:r>
              <w:rPr>
                <w:rFonts w:ascii="宋体" w:hAnsi="宋体" w:eastAsia="宋体"/>
                <w:sz w:val="16"/>
              </w:rPr>
              <w:t>极端化宣讲、科技志愿者服务、青少年科技创新培训课程等，提高基层各类群众的科学素质和依靠科技增收致富的能力，助力乡村振兴。目标1：开展科技培训、科普讲座等</w:t>
            </w:r>
            <w:r>
              <w:rPr>
                <w:rFonts w:hint="eastAsia" w:ascii="宋体" w:hAnsi="宋体"/>
                <w:sz w:val="16"/>
                <w:lang w:eastAsia="zh-CN"/>
              </w:rPr>
              <w:t>科技</w:t>
            </w:r>
            <w:r>
              <w:rPr>
                <w:rFonts w:ascii="宋体" w:hAnsi="宋体" w:eastAsia="宋体"/>
                <w:sz w:val="16"/>
              </w:rPr>
              <w:t>、产业指导</w:t>
            </w:r>
            <w:r>
              <w:rPr>
                <w:rFonts w:hint="eastAsia" w:ascii="宋体" w:hAnsi="宋体"/>
                <w:sz w:val="16"/>
                <w:lang w:eastAsia="zh-CN"/>
              </w:rPr>
              <w:t>技术</w:t>
            </w:r>
            <w:r>
              <w:rPr>
                <w:rFonts w:ascii="宋体" w:hAnsi="宋体" w:eastAsia="宋体"/>
                <w:sz w:val="16"/>
              </w:rPr>
              <w:t>服务活动（场）计划开展20场次；目标2：开展科学文化传播活动、各类专题科普活动等（次）计划开展15场次；目标3：奖补集体及个人3人。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DD0E48">
            <w:pPr>
              <w:jc w:val="both"/>
            </w:pPr>
            <w:r>
              <w:rPr>
                <w:rFonts w:ascii="宋体" w:hAnsi="宋体" w:eastAsia="宋体"/>
                <w:sz w:val="16"/>
              </w:rPr>
              <w:t>开展各类科普活动(开展“科普活动周”、“科技之冬”）科普</w:t>
            </w:r>
            <w:r>
              <w:rPr>
                <w:rFonts w:hint="eastAsia" w:ascii="宋体" w:hAnsi="宋体"/>
                <w:sz w:val="16"/>
                <w:lang w:val="en-US" w:eastAsia="zh-CN"/>
              </w:rPr>
              <w:t>去</w:t>
            </w:r>
            <w:r>
              <w:rPr>
                <w:rFonts w:ascii="宋体" w:hAnsi="宋体" w:eastAsia="宋体"/>
                <w:sz w:val="16"/>
              </w:rPr>
              <w:t>极端化宣讲、科技志愿者服务、青少年科技创新培训课程等20场次，开展科学文化传播活动、各类专题科普活动等（次）计划开展15场次，有助于普及科学知识，科学方法和科学思想，为科技创新提供人才储备，推动科技成果转化，促进经济发展。</w:t>
            </w:r>
          </w:p>
        </w:tc>
      </w:tr>
      <w:tr w14:paraId="45B03E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95AD5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01D1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E3ED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9BCF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95AA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5F8C1">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87AF6">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64CA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A1C32">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20A5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1505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1266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DC33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DF068">
            <w:pPr>
              <w:jc w:val="center"/>
            </w:pPr>
            <w:r>
              <w:rPr>
                <w:rFonts w:ascii="宋体" w:hAnsi="宋体" w:eastAsia="宋体"/>
                <w:sz w:val="16"/>
              </w:rPr>
              <w:t>偏差原因分析及改进措施</w:t>
            </w:r>
          </w:p>
        </w:tc>
      </w:tr>
      <w:tr w14:paraId="3BB904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5E30D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AD85D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BC55F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ECFFB">
            <w:pPr>
              <w:jc w:val="center"/>
            </w:pPr>
            <w:r>
              <w:rPr>
                <w:rFonts w:ascii="宋体" w:hAnsi="宋体" w:eastAsia="宋体"/>
                <w:sz w:val="16"/>
              </w:rPr>
              <w:t>开展科技培训、科普讲座等</w:t>
            </w:r>
            <w:r>
              <w:rPr>
                <w:rFonts w:hint="eastAsia" w:ascii="宋体" w:hAnsi="宋体"/>
                <w:sz w:val="16"/>
                <w:lang w:eastAsia="zh-CN"/>
              </w:rPr>
              <w:t>科技</w:t>
            </w:r>
            <w:r>
              <w:rPr>
                <w:rFonts w:ascii="宋体" w:hAnsi="宋体" w:eastAsia="宋体"/>
                <w:sz w:val="16"/>
              </w:rPr>
              <w:t>、产业指导</w:t>
            </w:r>
            <w:r>
              <w:rPr>
                <w:rFonts w:hint="eastAsia" w:ascii="宋体" w:hAnsi="宋体"/>
                <w:sz w:val="16"/>
                <w:lang w:eastAsia="zh-CN"/>
              </w:rPr>
              <w:t>及</w:t>
            </w:r>
            <w:r>
              <w:rPr>
                <w:rFonts w:ascii="宋体" w:hAnsi="宋体" w:eastAsia="宋体"/>
                <w:sz w:val="16"/>
              </w:rPr>
              <w:t>服务活动（场）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2392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70F3A">
            <w:pPr>
              <w:jc w:val="center"/>
            </w:pPr>
            <w:r>
              <w:rPr>
                <w:rFonts w:ascii="宋体" w:hAnsi="宋体" w:eastAsia="宋体"/>
                <w:sz w:val="16"/>
              </w:rPr>
              <w:t>&gt;=20场次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B6B53">
            <w:pPr>
              <w:jc w:val="center"/>
            </w:pPr>
            <w:r>
              <w:rPr>
                <w:rFonts w:ascii="宋体" w:hAnsi="宋体" w:eastAsia="宋体"/>
                <w:sz w:val="16"/>
              </w:rPr>
              <w:t>40场次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5D981">
            <w:pPr>
              <w:jc w:val="center"/>
            </w:pPr>
            <w:r>
              <w:rPr>
                <w:rFonts w:ascii="宋体" w:hAnsi="宋体" w:eastAsia="宋体"/>
                <w:sz w:val="16"/>
              </w:rPr>
              <w:t>200%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0543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ACD5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D40DF">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A42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724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0FAE8">
            <w:pPr>
              <w:jc w:val="center"/>
            </w:pPr>
            <w:r>
              <w:rPr>
                <w:rFonts w:ascii="宋体" w:hAnsi="宋体" w:eastAsia="宋体"/>
                <w:sz w:val="16"/>
              </w:rPr>
              <w:t>县里组织应急局和卫生院联合多次组织宣传活动。</w:t>
            </w:r>
          </w:p>
        </w:tc>
      </w:tr>
      <w:tr w14:paraId="78C41D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E54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68E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D929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8188F">
            <w:pPr>
              <w:jc w:val="center"/>
            </w:pPr>
            <w:r>
              <w:rPr>
                <w:rFonts w:ascii="宋体" w:hAnsi="宋体" w:eastAsia="宋体"/>
                <w:sz w:val="16"/>
              </w:rPr>
              <w:t>开展科学文化传播活动、各类专题科普活动等（次）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D927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A18A8">
            <w:pPr>
              <w:jc w:val="center"/>
            </w:pPr>
            <w:r>
              <w:rPr>
                <w:rFonts w:ascii="宋体" w:hAnsi="宋体" w:eastAsia="宋体"/>
                <w:sz w:val="16"/>
              </w:rPr>
              <w:t>&gt;=15场次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8EF77">
            <w:pPr>
              <w:jc w:val="center"/>
            </w:pPr>
            <w:r>
              <w:rPr>
                <w:rFonts w:ascii="宋体" w:hAnsi="宋体" w:eastAsia="宋体"/>
                <w:sz w:val="16"/>
              </w:rPr>
              <w:t>30场次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831BB">
            <w:pPr>
              <w:jc w:val="center"/>
            </w:pPr>
            <w:r>
              <w:rPr>
                <w:rFonts w:ascii="宋体" w:hAnsi="宋体" w:eastAsia="宋体"/>
                <w:sz w:val="16"/>
              </w:rPr>
              <w:t>200%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EA68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0AF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74CF7">
            <w:pPr>
              <w:jc w:val="center"/>
            </w:pPr>
            <w:r>
              <w:rPr>
                <w:rFonts w:ascii="宋体" w:hAnsi="宋体" w:eastAsia="宋体"/>
                <w:sz w:val="16"/>
              </w:rPr>
              <w:t>20场次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AF7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0D4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7F8FB">
            <w:pPr>
              <w:jc w:val="center"/>
            </w:pPr>
            <w:r>
              <w:rPr>
                <w:rFonts w:ascii="宋体" w:hAnsi="宋体" w:eastAsia="宋体"/>
                <w:sz w:val="16"/>
              </w:rPr>
              <w:t>县里组织应急局和卫生院联合多次组织宣传活动。</w:t>
            </w:r>
          </w:p>
        </w:tc>
      </w:tr>
      <w:tr w14:paraId="47FEDE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9093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F90A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30B0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20C61">
            <w:pPr>
              <w:jc w:val="center"/>
            </w:pPr>
            <w:r>
              <w:rPr>
                <w:rFonts w:ascii="宋体" w:hAnsi="宋体" w:eastAsia="宋体"/>
                <w:sz w:val="16"/>
              </w:rPr>
              <w:t>奖补集体及个人（</w:t>
            </w:r>
            <w:r>
              <w:rPr>
                <w:rFonts w:hint="eastAsia" w:ascii="宋体" w:hAnsi="宋体"/>
                <w:sz w:val="16"/>
                <w:lang w:eastAsia="zh-CN"/>
              </w:rPr>
              <w:t>个人</w:t>
            </w: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3083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9B7A2">
            <w:pPr>
              <w:jc w:val="center"/>
            </w:pPr>
            <w:r>
              <w:rPr>
                <w:rFonts w:ascii="宋体" w:hAnsi="宋体" w:eastAsia="宋体"/>
                <w:sz w:val="16"/>
              </w:rPr>
              <w:t>&gt;=3人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0C3F8">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CFD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5282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87C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63F48">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50F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09B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CB389">
            <w:pPr>
              <w:jc w:val="center"/>
            </w:pPr>
          </w:p>
        </w:tc>
      </w:tr>
      <w:tr w14:paraId="795916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069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08F3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2352B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B2C7C">
            <w:pPr>
              <w:jc w:val="center"/>
            </w:pPr>
            <w:r>
              <w:rPr>
                <w:rFonts w:ascii="宋体" w:hAnsi="宋体" w:eastAsia="宋体"/>
                <w:sz w:val="16"/>
              </w:rPr>
              <w:t>科普经费规范使用合规率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F6FE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284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568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82E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71C2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DDD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85B46">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B43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C690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30509">
            <w:pPr>
              <w:jc w:val="center"/>
            </w:pPr>
          </w:p>
        </w:tc>
      </w:tr>
      <w:tr w14:paraId="2CEB3A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89AD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284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3D61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C397D">
            <w:pPr>
              <w:jc w:val="center"/>
            </w:pPr>
            <w:r>
              <w:rPr>
                <w:rFonts w:ascii="宋体" w:hAnsi="宋体" w:eastAsia="宋体"/>
                <w:sz w:val="16"/>
              </w:rPr>
              <w:t>科普行动计划覆盖率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7B39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582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1CF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46E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EFE5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970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FCDC1">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916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4DC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7A3AA">
            <w:pPr>
              <w:jc w:val="center"/>
            </w:pPr>
          </w:p>
        </w:tc>
      </w:tr>
      <w:tr w14:paraId="6B6850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25A1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279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C677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2EE4B">
            <w:pPr>
              <w:jc w:val="center"/>
            </w:pPr>
            <w:r>
              <w:rPr>
                <w:rFonts w:ascii="宋体" w:hAnsi="宋体" w:eastAsia="宋体"/>
                <w:sz w:val="16"/>
              </w:rPr>
              <w:t>科普行动计划按期完成率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0D17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E6D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FB85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293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F546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676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10467">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0DE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C70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CAF2F">
            <w:pPr>
              <w:jc w:val="center"/>
            </w:pPr>
          </w:p>
        </w:tc>
      </w:tr>
      <w:tr w14:paraId="38E675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067EE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6DCD6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76482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E6609">
            <w:pPr>
              <w:jc w:val="center"/>
            </w:pPr>
            <w:r>
              <w:rPr>
                <w:rFonts w:ascii="宋体" w:hAnsi="宋体" w:eastAsia="宋体"/>
                <w:sz w:val="16"/>
              </w:rPr>
              <w:t>宣传资料印刷册数费用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57FB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DEF14">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12AA2">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BD9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744C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569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88645">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6CA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320C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67A40">
            <w:pPr>
              <w:jc w:val="center"/>
            </w:pPr>
          </w:p>
        </w:tc>
      </w:tr>
      <w:tr w14:paraId="693E40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DD59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A609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982D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2EC30">
            <w:pPr>
              <w:jc w:val="center"/>
            </w:pPr>
            <w:r>
              <w:rPr>
                <w:rFonts w:ascii="宋体" w:hAnsi="宋体" w:eastAsia="宋体"/>
                <w:sz w:val="16"/>
              </w:rPr>
              <w:t>举办科普活动费用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73C1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68921">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57605">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CC5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ABFE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154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BB9DA">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5C7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2CF2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EB114">
            <w:pPr>
              <w:jc w:val="center"/>
            </w:pPr>
          </w:p>
        </w:tc>
      </w:tr>
      <w:tr w14:paraId="2F8C7E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9C01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B0FA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C974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77BA4">
            <w:pPr>
              <w:jc w:val="center"/>
            </w:pPr>
            <w:r>
              <w:rPr>
                <w:rFonts w:ascii="宋体" w:hAnsi="宋体" w:eastAsia="宋体"/>
                <w:sz w:val="16"/>
              </w:rPr>
              <w:t>奖补集体及个人发放资金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82FB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B1160">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61217">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F1D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714A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6ED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63452">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693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8C0F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EC30D">
            <w:pPr>
              <w:jc w:val="center"/>
            </w:pPr>
          </w:p>
        </w:tc>
      </w:tr>
      <w:tr w14:paraId="25903F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7E68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18C7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16A5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19CC7">
            <w:pPr>
              <w:jc w:val="center"/>
            </w:pPr>
            <w:r>
              <w:rPr>
                <w:rFonts w:ascii="宋体" w:hAnsi="宋体" w:eastAsia="宋体"/>
                <w:sz w:val="16"/>
              </w:rPr>
              <w:t>举办青少年科普大赛费用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828A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920AD">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A30CF">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89B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F0EE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8D4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9F5FD">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CAB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19F5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2813B">
            <w:pPr>
              <w:jc w:val="center"/>
            </w:pPr>
          </w:p>
        </w:tc>
      </w:tr>
      <w:tr w14:paraId="653523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2D60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C0BA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795A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43D24">
            <w:pPr>
              <w:jc w:val="center"/>
            </w:pPr>
            <w:r>
              <w:rPr>
                <w:rFonts w:ascii="宋体" w:hAnsi="宋体" w:eastAsia="宋体"/>
                <w:sz w:val="16"/>
              </w:rPr>
              <w:t>公民科学素质比例不断提升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12DB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51E1F">
            <w:pPr>
              <w:jc w:val="center"/>
            </w:pPr>
            <w:r>
              <w:rPr>
                <w:rFonts w:ascii="宋体" w:hAnsi="宋体" w:eastAsia="宋体"/>
                <w:sz w:val="16"/>
              </w:rPr>
              <w:t>不断提升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6BF91">
            <w:pPr>
              <w:jc w:val="center"/>
            </w:pPr>
            <w:r>
              <w:rPr>
                <w:rFonts w:ascii="宋体" w:hAnsi="宋体" w:eastAsia="宋体"/>
                <w:sz w:val="16"/>
              </w:rPr>
              <w:t>不断提升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26C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36F0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E9F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B91F2">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6C45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579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35E43">
            <w:pPr>
              <w:jc w:val="center"/>
            </w:pPr>
          </w:p>
        </w:tc>
      </w:tr>
      <w:tr w14:paraId="248258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5B3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634F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C9A3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7C6AF">
            <w:pPr>
              <w:jc w:val="center"/>
            </w:pPr>
            <w:r>
              <w:rPr>
                <w:rFonts w:ascii="宋体" w:hAnsi="宋体" w:eastAsia="宋体"/>
                <w:sz w:val="16"/>
              </w:rPr>
              <w:t>乡镇受益群体满意度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35F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D3BB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858C0">
            <w:pPr>
              <w:jc w:val="center"/>
            </w:pPr>
            <w:r>
              <w:rPr>
                <w:rFonts w:ascii="宋体" w:hAnsi="宋体" w:eastAsia="宋体"/>
                <w:sz w:val="16"/>
              </w:rPr>
              <w:t>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AD5F1">
            <w:pPr>
              <w:jc w:val="center"/>
            </w:pPr>
            <w:r>
              <w:rPr>
                <w:rFonts w:ascii="宋体" w:hAnsi="宋体" w:eastAsia="宋体"/>
                <w:sz w:val="16"/>
              </w:rPr>
              <w:t>92.63%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50469">
            <w:pPr>
              <w:jc w:val="center"/>
            </w:pPr>
            <w:r>
              <w:rPr>
                <w:rFonts w:ascii="宋体" w:hAnsi="宋体" w:eastAsia="宋体"/>
                <w:sz w:val="16"/>
              </w:rPr>
              <w:t>9.26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F85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4668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86F1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4B5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FCF6F">
            <w:pPr>
              <w:jc w:val="center"/>
            </w:pPr>
            <w:r>
              <w:rPr>
                <w:rFonts w:ascii="宋体" w:hAnsi="宋体" w:eastAsia="宋体"/>
                <w:sz w:val="16"/>
              </w:rPr>
              <w:t>宣传活动形式单一。</w:t>
            </w:r>
          </w:p>
        </w:tc>
      </w:tr>
      <w:tr w14:paraId="28AA713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D3421F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647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0FE0B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2C278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4AF9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7B3AF">
            <w:pPr>
              <w:jc w:val="center"/>
            </w:pPr>
            <w:r>
              <w:rPr>
                <w:rFonts w:ascii="宋体" w:hAnsi="宋体" w:eastAsia="宋体"/>
                <w:sz w:val="16"/>
              </w:rPr>
              <w:t>99.26分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93A63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41AB9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1D716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EF436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B1F8D9"/>
        </w:tc>
      </w:tr>
    </w:tbl>
    <w:p w14:paraId="7F16DE9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776"/>
        <w:gridCol w:w="632"/>
        <w:gridCol w:w="632"/>
        <w:gridCol w:w="632"/>
        <w:gridCol w:w="632"/>
        <w:gridCol w:w="632"/>
        <w:gridCol w:w="632"/>
        <w:gridCol w:w="632"/>
        <w:gridCol w:w="632"/>
      </w:tblGrid>
      <w:tr w14:paraId="169FA19A">
        <w:tblPrEx>
          <w:tblCellMar>
            <w:top w:w="0" w:type="dxa"/>
            <w:left w:w="108" w:type="dxa"/>
            <w:bottom w:w="0" w:type="dxa"/>
            <w:right w:w="108" w:type="dxa"/>
          </w:tblCellMar>
        </w:tblPrEx>
        <w:tc>
          <w:tcPr>
            <w:tcW w:w="8848" w:type="dxa"/>
            <w:gridSpan w:val="14"/>
            <w:vAlign w:val="center"/>
          </w:tcPr>
          <w:p w14:paraId="054EE718">
            <w:pPr>
              <w:jc w:val="center"/>
            </w:pPr>
            <w:r>
              <w:rPr>
                <w:rFonts w:ascii="宋体" w:hAnsi="宋体" w:eastAsia="宋体"/>
                <w:sz w:val="24"/>
              </w:rPr>
              <w:t>项目支出绩效自评表</w:t>
            </w:r>
          </w:p>
        </w:tc>
      </w:tr>
      <w:tr w14:paraId="081F774D">
        <w:tblPrEx>
          <w:tblCellMar>
            <w:top w:w="0" w:type="dxa"/>
            <w:left w:w="108" w:type="dxa"/>
            <w:bottom w:w="0" w:type="dxa"/>
            <w:right w:w="108" w:type="dxa"/>
          </w:tblCellMar>
        </w:tblPrEx>
        <w:tc>
          <w:tcPr>
            <w:tcW w:w="8848" w:type="dxa"/>
            <w:gridSpan w:val="14"/>
            <w:vAlign w:val="center"/>
          </w:tcPr>
          <w:p w14:paraId="7E6BD83A">
            <w:pPr>
              <w:jc w:val="center"/>
            </w:pPr>
            <w:r>
              <w:rPr>
                <w:rFonts w:ascii="宋体" w:hAnsi="宋体" w:eastAsia="宋体"/>
                <w:sz w:val="24"/>
              </w:rPr>
              <w:t>(2024年度)</w:t>
            </w:r>
          </w:p>
        </w:tc>
      </w:tr>
      <w:tr w14:paraId="6E04651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A5F6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CD6092C">
            <w:pPr>
              <w:jc w:val="center"/>
            </w:pPr>
            <w:r>
              <w:rPr>
                <w:rFonts w:ascii="宋体" w:hAnsi="宋体" w:eastAsia="宋体"/>
                <w:sz w:val="16"/>
              </w:rPr>
              <w:t>党员干部培训及业务工作督导</w:t>
            </w:r>
          </w:p>
        </w:tc>
      </w:tr>
      <w:tr w14:paraId="5EA049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847D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F56554">
            <w:pPr>
              <w:jc w:val="center"/>
            </w:pPr>
            <w:r>
              <w:rPr>
                <w:rFonts w:ascii="宋体" w:hAnsi="宋体" w:eastAsia="宋体"/>
                <w:sz w:val="16"/>
              </w:rPr>
              <w:t>霍城县科学技术局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176B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AF0D0F">
            <w:pPr>
              <w:jc w:val="center"/>
            </w:pPr>
            <w:r>
              <w:rPr>
                <w:rFonts w:ascii="宋体" w:hAnsi="宋体" w:eastAsia="宋体"/>
                <w:sz w:val="16"/>
              </w:rPr>
              <w:t>霍城县科学技术局</w:t>
            </w:r>
          </w:p>
        </w:tc>
      </w:tr>
      <w:tr w14:paraId="40BB353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1CF28A">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8E31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DDDA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8428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1635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CDD3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B20F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8C0DF">
            <w:pPr>
              <w:jc w:val="center"/>
            </w:pPr>
            <w:r>
              <w:rPr>
                <w:rFonts w:ascii="宋体" w:hAnsi="宋体" w:eastAsia="宋体"/>
                <w:sz w:val="16"/>
              </w:rPr>
              <w:t>得分</w:t>
            </w:r>
          </w:p>
        </w:tc>
      </w:tr>
      <w:tr w14:paraId="16DDA7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211C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B818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44159">
            <w:pPr>
              <w:jc w:val="center"/>
            </w:pPr>
            <w:r>
              <w:rPr>
                <w:rFonts w:ascii="宋体" w:hAnsi="宋体" w:eastAsia="宋体"/>
                <w:sz w:val="16"/>
              </w:rPr>
              <w:t>119.45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75F43">
            <w:pPr>
              <w:jc w:val="center"/>
            </w:pPr>
            <w:r>
              <w:rPr>
                <w:rFonts w:ascii="宋体" w:hAnsi="宋体" w:eastAsia="宋体"/>
                <w:sz w:val="16"/>
              </w:rPr>
              <w:t>119.45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505E3">
            <w:pPr>
              <w:jc w:val="center"/>
            </w:pPr>
            <w:r>
              <w:rPr>
                <w:rFonts w:ascii="宋体" w:hAnsi="宋体" w:eastAsia="宋体"/>
                <w:sz w:val="16"/>
              </w:rPr>
              <w:t>119.45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0FA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1A57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D4AE5">
            <w:pPr>
              <w:jc w:val="center"/>
            </w:pPr>
            <w:r>
              <w:rPr>
                <w:rFonts w:ascii="宋体" w:hAnsi="宋体" w:eastAsia="宋体"/>
                <w:sz w:val="16"/>
              </w:rPr>
              <w:t>10.00</w:t>
            </w:r>
          </w:p>
        </w:tc>
      </w:tr>
      <w:tr w14:paraId="65B6BA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07D3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DD1C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0CBBC">
            <w:pPr>
              <w:jc w:val="center"/>
            </w:pPr>
            <w:r>
              <w:rPr>
                <w:rFonts w:ascii="宋体" w:hAnsi="宋体" w:eastAsia="宋体"/>
                <w:sz w:val="16"/>
              </w:rPr>
              <w:t>119.45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ACFBA">
            <w:pPr>
              <w:jc w:val="center"/>
            </w:pPr>
            <w:r>
              <w:rPr>
                <w:rFonts w:ascii="宋体" w:hAnsi="宋体" w:eastAsia="宋体"/>
                <w:sz w:val="16"/>
              </w:rPr>
              <w:t>119.45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697B2">
            <w:pPr>
              <w:jc w:val="center"/>
            </w:pPr>
            <w:r>
              <w:rPr>
                <w:rFonts w:ascii="宋体" w:hAnsi="宋体" w:eastAsia="宋体"/>
                <w:sz w:val="16"/>
              </w:rPr>
              <w:t>119.45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221F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F84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83CB6">
            <w:pPr>
              <w:jc w:val="center"/>
            </w:pPr>
            <w:r>
              <w:rPr>
                <w:rFonts w:ascii="宋体" w:hAnsi="宋体" w:eastAsia="宋体"/>
                <w:sz w:val="16"/>
              </w:rPr>
              <w:t>—</w:t>
            </w:r>
          </w:p>
        </w:tc>
      </w:tr>
      <w:tr w14:paraId="3F6DD0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24A77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70FC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037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F6FE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AF1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1BCD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2BA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1CE73">
            <w:pPr>
              <w:jc w:val="center"/>
            </w:pPr>
            <w:r>
              <w:rPr>
                <w:rFonts w:ascii="宋体" w:hAnsi="宋体" w:eastAsia="宋体"/>
                <w:sz w:val="16"/>
              </w:rPr>
              <w:t>—</w:t>
            </w:r>
          </w:p>
        </w:tc>
      </w:tr>
      <w:tr w14:paraId="0500FE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31D80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6BA7A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8731CB">
            <w:pPr>
              <w:jc w:val="center"/>
            </w:pPr>
            <w:r>
              <w:rPr>
                <w:rFonts w:ascii="宋体" w:hAnsi="宋体" w:eastAsia="宋体"/>
                <w:sz w:val="16"/>
              </w:rPr>
              <w:t>实际完成情况</w:t>
            </w:r>
          </w:p>
        </w:tc>
      </w:tr>
      <w:tr w14:paraId="4A8478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A68A4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347C46">
            <w:pPr>
              <w:jc w:val="both"/>
            </w:pPr>
            <w:r>
              <w:rPr>
                <w:rFonts w:ascii="宋体" w:hAnsi="宋体" w:eastAsia="宋体"/>
                <w:sz w:val="16"/>
              </w:rPr>
              <w:t>根据县委会议纪要，开展党员培训、妇联系统干部培训、扶贫</w:t>
            </w:r>
            <w:r>
              <w:rPr>
                <w:rFonts w:hint="eastAsia" w:ascii="宋体" w:hAnsi="宋体"/>
                <w:sz w:val="16"/>
                <w:lang w:eastAsia="zh-CN"/>
              </w:rPr>
              <w:t>工作</w:t>
            </w:r>
            <w:r>
              <w:rPr>
                <w:rFonts w:ascii="宋体" w:hAnsi="宋体" w:eastAsia="宋体"/>
                <w:sz w:val="16"/>
              </w:rPr>
              <w:t>验收、基层干部乡村振兴培训、维稳督导等工作。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E093A1">
            <w:pPr>
              <w:jc w:val="both"/>
            </w:pPr>
            <w:r>
              <w:rPr>
                <w:rFonts w:ascii="宋体" w:hAnsi="宋体" w:eastAsia="宋体"/>
                <w:sz w:val="16"/>
              </w:rPr>
              <w:t>组织全县业务培训1次，共计2042人，县委会议纪要，开展党员培训、妇联系统干部培训、扶贫</w:t>
            </w:r>
            <w:r>
              <w:rPr>
                <w:rFonts w:hint="eastAsia" w:ascii="宋体" w:hAnsi="宋体"/>
                <w:sz w:val="16"/>
                <w:lang w:eastAsia="zh-CN"/>
              </w:rPr>
              <w:t>工作</w:t>
            </w:r>
            <w:r>
              <w:rPr>
                <w:rFonts w:ascii="宋体" w:hAnsi="宋体" w:eastAsia="宋体"/>
                <w:sz w:val="16"/>
              </w:rPr>
              <w:t>验收、基层干部乡村振兴培训、维稳督导等工作都已完成。</w:t>
            </w:r>
          </w:p>
        </w:tc>
      </w:tr>
      <w:tr w14:paraId="74FD55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26151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51C6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A14F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F689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7BBB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9F354">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94440">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11F0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05CDA">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795C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A27B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CE32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A74E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21B1C">
            <w:pPr>
              <w:jc w:val="center"/>
            </w:pPr>
            <w:r>
              <w:rPr>
                <w:rFonts w:ascii="宋体" w:hAnsi="宋体" w:eastAsia="宋体"/>
                <w:sz w:val="16"/>
              </w:rPr>
              <w:t>偏差原因分析及改进措施</w:t>
            </w:r>
          </w:p>
        </w:tc>
      </w:tr>
      <w:tr w14:paraId="22ED154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1A283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AC49B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6144A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8BF4C">
            <w:pPr>
              <w:jc w:val="center"/>
            </w:pPr>
            <w:r>
              <w:rPr>
                <w:rFonts w:ascii="宋体" w:hAnsi="宋体" w:eastAsia="宋体"/>
                <w:sz w:val="16"/>
              </w:rPr>
              <w:t>组织全县业务培训人次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87DB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9CCD0">
            <w:pPr>
              <w:jc w:val="center"/>
            </w:pPr>
            <w:r>
              <w:rPr>
                <w:rFonts w:ascii="宋体" w:hAnsi="宋体" w:eastAsia="宋体"/>
                <w:sz w:val="16"/>
              </w:rPr>
              <w:t>&gt;=2042人次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84A18">
            <w:pPr>
              <w:jc w:val="center"/>
            </w:pPr>
            <w:r>
              <w:rPr>
                <w:rFonts w:ascii="宋体" w:hAnsi="宋体" w:eastAsia="宋体"/>
                <w:sz w:val="16"/>
              </w:rPr>
              <w:t>2042人次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390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BA99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46E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D90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8BC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CA9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23115">
            <w:pPr>
              <w:jc w:val="center"/>
            </w:pPr>
          </w:p>
        </w:tc>
      </w:tr>
      <w:tr w14:paraId="24146F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1C2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2A0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032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FFDE6">
            <w:pPr>
              <w:jc w:val="center"/>
            </w:pPr>
            <w:r>
              <w:rPr>
                <w:rFonts w:ascii="宋体" w:hAnsi="宋体" w:eastAsia="宋体"/>
                <w:sz w:val="16"/>
              </w:rPr>
              <w:t>乡村振兴工作业务督导天数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C918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3749C">
            <w:pPr>
              <w:jc w:val="center"/>
            </w:pPr>
            <w:r>
              <w:rPr>
                <w:rFonts w:ascii="宋体" w:hAnsi="宋体" w:eastAsia="宋体"/>
                <w:sz w:val="16"/>
              </w:rPr>
              <w:t>&gt;=338天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F21B3">
            <w:pPr>
              <w:jc w:val="center"/>
            </w:pPr>
            <w:r>
              <w:rPr>
                <w:rFonts w:ascii="宋体" w:hAnsi="宋体" w:eastAsia="宋体"/>
                <w:sz w:val="16"/>
              </w:rPr>
              <w:t>338天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7FA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D790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123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ECB9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9A2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F94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FA95A">
            <w:pPr>
              <w:jc w:val="center"/>
            </w:pPr>
          </w:p>
        </w:tc>
      </w:tr>
      <w:tr w14:paraId="43C468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AB26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657AE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8C8E4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673CA">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B370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12A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2E0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CDA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0BB6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E66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1F1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A4B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532E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21398">
            <w:pPr>
              <w:jc w:val="center"/>
            </w:pPr>
          </w:p>
        </w:tc>
      </w:tr>
      <w:tr w14:paraId="0EAB43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1B0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DD83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6ECD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AC7C2">
            <w:pPr>
              <w:jc w:val="center"/>
            </w:pPr>
            <w:r>
              <w:rPr>
                <w:rFonts w:ascii="宋体" w:hAnsi="宋体" w:eastAsia="宋体"/>
                <w:sz w:val="16"/>
              </w:rPr>
              <w:t>组织全县业务培训出勤率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4F0C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E26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A4A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F89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458C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971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033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A85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54D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42EBD">
            <w:pPr>
              <w:jc w:val="center"/>
            </w:pPr>
          </w:p>
        </w:tc>
      </w:tr>
      <w:tr w14:paraId="46B014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732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C4F4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174B7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2291C">
            <w:pPr>
              <w:jc w:val="center"/>
            </w:pPr>
            <w:r>
              <w:rPr>
                <w:rFonts w:ascii="宋体" w:hAnsi="宋体" w:eastAsia="宋体"/>
                <w:sz w:val="16"/>
              </w:rPr>
              <w:t>资金拨付及时性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BFB7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1EA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DF3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806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1303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F5A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985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FE4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7DC1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12B24">
            <w:pPr>
              <w:jc w:val="center"/>
            </w:pPr>
          </w:p>
        </w:tc>
      </w:tr>
      <w:tr w14:paraId="6962DE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AE44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53EA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7F02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817C1">
            <w:pPr>
              <w:jc w:val="center"/>
            </w:pPr>
            <w:r>
              <w:rPr>
                <w:rFonts w:ascii="宋体" w:hAnsi="宋体" w:eastAsia="宋体"/>
                <w:sz w:val="16"/>
              </w:rPr>
              <w:t>组织全县业务培训按期完成率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50BC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253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804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115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70EF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66B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067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F0B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4CD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553A0">
            <w:pPr>
              <w:jc w:val="center"/>
            </w:pPr>
          </w:p>
        </w:tc>
      </w:tr>
      <w:tr w14:paraId="097BD5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935A5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B6717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03A49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933F8">
            <w:pPr>
              <w:jc w:val="center"/>
            </w:pPr>
            <w:r>
              <w:rPr>
                <w:rFonts w:ascii="宋体" w:hAnsi="宋体" w:eastAsia="宋体"/>
                <w:sz w:val="16"/>
              </w:rPr>
              <w:t>组织全县业务培训经费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22C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39227">
            <w:pPr>
              <w:jc w:val="center"/>
            </w:pPr>
            <w:r>
              <w:rPr>
                <w:rFonts w:ascii="宋体" w:hAnsi="宋体" w:eastAsia="宋体"/>
                <w:sz w:val="16"/>
              </w:rPr>
              <w:t>&lt;=47.16万元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9B31E">
            <w:pPr>
              <w:jc w:val="center"/>
            </w:pPr>
            <w:r>
              <w:rPr>
                <w:rFonts w:ascii="宋体" w:hAnsi="宋体" w:eastAsia="宋体"/>
                <w:sz w:val="16"/>
              </w:rPr>
              <w:t>47.16万元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B08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C7E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F03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FF9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246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2DE8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C4DDE">
            <w:pPr>
              <w:jc w:val="center"/>
            </w:pPr>
          </w:p>
        </w:tc>
      </w:tr>
      <w:tr w14:paraId="49F048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B617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578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4CD0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89BC7">
            <w:pPr>
              <w:jc w:val="center"/>
            </w:pPr>
            <w:r>
              <w:rPr>
                <w:rFonts w:ascii="宋体" w:hAnsi="宋体" w:eastAsia="宋体"/>
                <w:sz w:val="16"/>
              </w:rPr>
              <w:t>乡村振兴工作业务督导费用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259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9B929">
            <w:pPr>
              <w:jc w:val="center"/>
            </w:pPr>
            <w:r>
              <w:rPr>
                <w:rFonts w:ascii="宋体" w:hAnsi="宋体" w:eastAsia="宋体"/>
                <w:sz w:val="16"/>
              </w:rPr>
              <w:t>&lt;=72.29万元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9DA38">
            <w:pPr>
              <w:jc w:val="center"/>
            </w:pPr>
            <w:r>
              <w:rPr>
                <w:rFonts w:ascii="宋体" w:hAnsi="宋体" w:eastAsia="宋体"/>
                <w:sz w:val="16"/>
              </w:rPr>
              <w:t>72.29万元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B32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167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567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C8C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EDD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C9E9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17219">
            <w:pPr>
              <w:jc w:val="center"/>
            </w:pPr>
          </w:p>
        </w:tc>
      </w:tr>
      <w:tr w14:paraId="0654FA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11F9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8E17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E95C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B6F50">
            <w:pPr>
              <w:jc w:val="center"/>
            </w:pPr>
            <w:r>
              <w:rPr>
                <w:rFonts w:ascii="宋体" w:hAnsi="宋体" w:eastAsia="宋体"/>
                <w:sz w:val="16"/>
              </w:rPr>
              <w:t>提升全县党员干部业务能力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2787C">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6834E">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E6CEE">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96F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D58F9">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08F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B77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7159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D95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BD77C">
            <w:pPr>
              <w:jc w:val="center"/>
            </w:pPr>
          </w:p>
        </w:tc>
      </w:tr>
      <w:tr w14:paraId="7CB2053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562E37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E1C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170D8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22234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ADCE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36DA8">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75296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460CD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D6AA8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AC7CF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3F2528"/>
        </w:tc>
      </w:tr>
    </w:tbl>
    <w:p w14:paraId="24E0D24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96"/>
        <w:gridCol w:w="632"/>
        <w:gridCol w:w="632"/>
        <w:gridCol w:w="632"/>
        <w:gridCol w:w="632"/>
        <w:gridCol w:w="632"/>
        <w:gridCol w:w="632"/>
      </w:tblGrid>
      <w:tr w14:paraId="1D38BDE2">
        <w:tblPrEx>
          <w:tblCellMar>
            <w:top w:w="0" w:type="dxa"/>
            <w:left w:w="108" w:type="dxa"/>
            <w:bottom w:w="0" w:type="dxa"/>
            <w:right w:w="108" w:type="dxa"/>
          </w:tblCellMar>
        </w:tblPrEx>
        <w:tc>
          <w:tcPr>
            <w:tcW w:w="8848" w:type="dxa"/>
            <w:gridSpan w:val="14"/>
            <w:vAlign w:val="center"/>
          </w:tcPr>
          <w:p w14:paraId="49384657">
            <w:pPr>
              <w:jc w:val="center"/>
            </w:pPr>
            <w:r>
              <w:rPr>
                <w:rFonts w:ascii="宋体" w:hAnsi="宋体" w:eastAsia="宋体"/>
                <w:sz w:val="24"/>
              </w:rPr>
              <w:t>项目支出绩效自评表</w:t>
            </w:r>
          </w:p>
        </w:tc>
      </w:tr>
      <w:tr w14:paraId="014D9409">
        <w:tblPrEx>
          <w:tblCellMar>
            <w:top w:w="0" w:type="dxa"/>
            <w:left w:w="108" w:type="dxa"/>
            <w:bottom w:w="0" w:type="dxa"/>
            <w:right w:w="108" w:type="dxa"/>
          </w:tblCellMar>
        </w:tblPrEx>
        <w:tc>
          <w:tcPr>
            <w:tcW w:w="8848" w:type="dxa"/>
            <w:gridSpan w:val="14"/>
            <w:vAlign w:val="center"/>
          </w:tcPr>
          <w:p w14:paraId="07D0B892">
            <w:pPr>
              <w:jc w:val="center"/>
            </w:pPr>
            <w:r>
              <w:rPr>
                <w:rFonts w:ascii="宋体" w:hAnsi="宋体" w:eastAsia="宋体"/>
                <w:sz w:val="24"/>
              </w:rPr>
              <w:t>(2024年度)</w:t>
            </w:r>
          </w:p>
        </w:tc>
      </w:tr>
      <w:tr w14:paraId="677479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0F80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BB81B75">
            <w:pPr>
              <w:jc w:val="center"/>
            </w:pPr>
            <w:r>
              <w:rPr>
                <w:rFonts w:ascii="宋体" w:hAnsi="宋体" w:eastAsia="宋体"/>
                <w:sz w:val="16"/>
              </w:rPr>
              <w:t>地方财政项目支出</w:t>
            </w:r>
            <w:r>
              <w:rPr>
                <w:rFonts w:hint="eastAsia" w:ascii="宋体" w:hAnsi="宋体"/>
                <w:sz w:val="16"/>
                <w:lang w:eastAsia="zh-CN"/>
              </w:rPr>
              <w:t>－</w:t>
            </w:r>
            <w:r>
              <w:rPr>
                <w:rFonts w:ascii="宋体" w:hAnsi="宋体" w:eastAsia="宋体"/>
                <w:sz w:val="16"/>
              </w:rPr>
              <w:t>优化营商环境保障</w:t>
            </w:r>
          </w:p>
        </w:tc>
      </w:tr>
      <w:tr w14:paraId="5CC305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9072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DF186E">
            <w:pPr>
              <w:jc w:val="center"/>
            </w:pPr>
            <w:r>
              <w:rPr>
                <w:rFonts w:ascii="宋体" w:hAnsi="宋体" w:eastAsia="宋体"/>
                <w:sz w:val="16"/>
              </w:rPr>
              <w:t>霍城县科学技术局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5275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BFEB0D">
            <w:pPr>
              <w:jc w:val="center"/>
            </w:pPr>
            <w:r>
              <w:rPr>
                <w:rFonts w:ascii="宋体" w:hAnsi="宋体" w:eastAsia="宋体"/>
                <w:sz w:val="16"/>
              </w:rPr>
              <w:t>霍城县科学技术局</w:t>
            </w:r>
          </w:p>
        </w:tc>
      </w:tr>
      <w:tr w14:paraId="0641083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D6F753">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ADA4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0B69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0BC6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B402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E988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A765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32A06">
            <w:pPr>
              <w:jc w:val="center"/>
            </w:pPr>
            <w:r>
              <w:rPr>
                <w:rFonts w:ascii="宋体" w:hAnsi="宋体" w:eastAsia="宋体"/>
                <w:sz w:val="16"/>
              </w:rPr>
              <w:t>得分</w:t>
            </w:r>
          </w:p>
        </w:tc>
      </w:tr>
      <w:tr w14:paraId="250269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212B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0FF1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DF881">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C67AF">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C157F">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A55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6FFB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0A56C">
            <w:pPr>
              <w:jc w:val="center"/>
            </w:pPr>
            <w:r>
              <w:rPr>
                <w:rFonts w:ascii="宋体" w:hAnsi="宋体" w:eastAsia="宋体"/>
                <w:sz w:val="16"/>
              </w:rPr>
              <w:t>10.00</w:t>
            </w:r>
          </w:p>
        </w:tc>
      </w:tr>
      <w:tr w14:paraId="1AFC42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9C56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3645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3B244">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40EC4">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D640D">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4B0E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0B1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18CD6">
            <w:pPr>
              <w:jc w:val="center"/>
            </w:pPr>
            <w:r>
              <w:rPr>
                <w:rFonts w:ascii="宋体" w:hAnsi="宋体" w:eastAsia="宋体"/>
                <w:sz w:val="16"/>
              </w:rPr>
              <w:t>—</w:t>
            </w:r>
          </w:p>
        </w:tc>
      </w:tr>
      <w:tr w14:paraId="3EF436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C88B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EC6C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29E5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0F4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B87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0D33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526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BA762">
            <w:pPr>
              <w:jc w:val="center"/>
            </w:pPr>
            <w:r>
              <w:rPr>
                <w:rFonts w:ascii="宋体" w:hAnsi="宋体" w:eastAsia="宋体"/>
                <w:sz w:val="16"/>
              </w:rPr>
              <w:t>—</w:t>
            </w:r>
          </w:p>
        </w:tc>
      </w:tr>
      <w:tr w14:paraId="745972B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E9178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378CA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6D03B7">
            <w:pPr>
              <w:jc w:val="center"/>
            </w:pPr>
            <w:r>
              <w:rPr>
                <w:rFonts w:ascii="宋体" w:hAnsi="宋体" w:eastAsia="宋体"/>
                <w:sz w:val="16"/>
              </w:rPr>
              <w:t>实际完成情况</w:t>
            </w:r>
          </w:p>
        </w:tc>
      </w:tr>
      <w:tr w14:paraId="683C3A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F6F39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7BDFC8">
            <w:pPr>
              <w:jc w:val="both"/>
            </w:pPr>
            <w:r>
              <w:rPr>
                <w:rFonts w:ascii="宋体" w:hAnsi="宋体" w:eastAsia="宋体"/>
                <w:sz w:val="16"/>
              </w:rPr>
              <w:t>为进一步更好完成地方</w:t>
            </w:r>
            <w:r>
              <w:rPr>
                <w:rFonts w:hint="eastAsia" w:ascii="宋体" w:hAnsi="宋体"/>
                <w:sz w:val="16"/>
                <w:lang w:eastAsia="zh-CN"/>
              </w:rPr>
              <w:t>党委、政府</w:t>
            </w:r>
            <w:r>
              <w:rPr>
                <w:rFonts w:ascii="宋体" w:hAnsi="宋体" w:eastAsia="宋体"/>
                <w:sz w:val="16"/>
              </w:rPr>
              <w:t>安排的工作,提高纳税服务水平,加强信息化建设,优化营商环境保障,需向霍城安畅保安服务有限公司按月支付霍城县税务局办税服务厅非</w:t>
            </w:r>
            <w:r>
              <w:rPr>
                <w:rFonts w:hint="eastAsia" w:ascii="宋体" w:hAnsi="宋体"/>
                <w:sz w:val="16"/>
                <w:lang w:eastAsia="zh-CN"/>
              </w:rPr>
              <w:t>执</w:t>
            </w:r>
            <w:r>
              <w:rPr>
                <w:rFonts w:ascii="宋体" w:hAnsi="宋体" w:eastAsia="宋体"/>
                <w:sz w:val="16"/>
              </w:rPr>
              <w:t>行纳税辅助服务项目劳务费，保障税收工作正常运转。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46D008">
            <w:pPr>
              <w:jc w:val="both"/>
            </w:pPr>
            <w:r>
              <w:rPr>
                <w:rFonts w:ascii="宋体" w:hAnsi="宋体" w:eastAsia="宋体"/>
                <w:sz w:val="16"/>
              </w:rPr>
              <w:t>每月按时向霍城安畅保安服务有限公司非执法性纳税辅助服务人员结算五人劳务费，发放六次，提高纳税服务水平，加强信息化建设，优化营商环境保障，保障税收工作正常运转。</w:t>
            </w:r>
          </w:p>
        </w:tc>
      </w:tr>
      <w:tr w14:paraId="4CC085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4F3CC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96F4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EDA1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9749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52CD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49888">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BB1A3">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5472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15C80">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9E46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A262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C425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679A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0057A">
            <w:pPr>
              <w:jc w:val="center"/>
            </w:pPr>
            <w:r>
              <w:rPr>
                <w:rFonts w:ascii="宋体" w:hAnsi="宋体" w:eastAsia="宋体"/>
                <w:sz w:val="16"/>
              </w:rPr>
              <w:t>偏差原因分析及改进措施</w:t>
            </w:r>
          </w:p>
        </w:tc>
      </w:tr>
      <w:tr w14:paraId="72874F1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730D9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C26DF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9EB83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A582A">
            <w:pPr>
              <w:jc w:val="center"/>
            </w:pPr>
            <w:r>
              <w:rPr>
                <w:rFonts w:ascii="宋体" w:hAnsi="宋体" w:eastAsia="宋体"/>
                <w:sz w:val="16"/>
              </w:rPr>
              <w:t>办税服务厅工作人员数量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7135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006E6">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C4C37">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6FC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9524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08F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FAD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23A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4C2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AE8BB">
            <w:pPr>
              <w:jc w:val="center"/>
            </w:pPr>
          </w:p>
        </w:tc>
      </w:tr>
      <w:tr w14:paraId="3E338B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C560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2647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499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73E08">
            <w:pPr>
              <w:jc w:val="center"/>
            </w:pPr>
            <w:r>
              <w:rPr>
                <w:rFonts w:ascii="宋体" w:hAnsi="宋体" w:eastAsia="宋体"/>
                <w:sz w:val="16"/>
              </w:rPr>
              <w:t>非执法性纳税辅助服务劳务费支付次数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43BD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7628F">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380D4">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0EF63">
            <w:pPr>
              <w:jc w:val="center"/>
            </w:pPr>
            <w:r>
              <w:rPr>
                <w:rFonts w:ascii="宋体" w:hAnsi="宋体" w:eastAsia="宋体"/>
                <w:sz w:val="16"/>
              </w:rPr>
              <w:t>120%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9F0D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852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76B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2DB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D39E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EA608">
            <w:pPr>
              <w:jc w:val="center"/>
            </w:pPr>
            <w:r>
              <w:rPr>
                <w:rFonts w:ascii="宋体" w:hAnsi="宋体" w:eastAsia="宋体"/>
                <w:sz w:val="16"/>
              </w:rPr>
              <w:t>由于</w:t>
            </w:r>
            <w:r>
              <w:rPr>
                <w:rFonts w:hint="eastAsia" w:ascii="宋体" w:hAnsi="宋体"/>
                <w:sz w:val="16"/>
                <w:lang w:eastAsia="zh-CN"/>
              </w:rPr>
              <w:t>本单位</w:t>
            </w:r>
            <w:r>
              <w:rPr>
                <w:rFonts w:ascii="宋体" w:hAnsi="宋体" w:eastAsia="宋体"/>
                <w:sz w:val="16"/>
              </w:rPr>
              <w:t>在支付期间更换劳务公司，由于商议合同等原因导致时间延误，支付次数增加。</w:t>
            </w:r>
          </w:p>
        </w:tc>
      </w:tr>
      <w:tr w14:paraId="4A5381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368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D12E9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BED0E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A3E38">
            <w:pPr>
              <w:jc w:val="center"/>
            </w:pPr>
            <w:r>
              <w:rPr>
                <w:rFonts w:ascii="宋体" w:hAnsi="宋体" w:eastAsia="宋体"/>
                <w:sz w:val="16"/>
              </w:rPr>
              <w:t>办税服务厅及时有效开展及人员出勤率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CAFF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7092C">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454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1F9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7B99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168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648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A8B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902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4A49B">
            <w:pPr>
              <w:jc w:val="center"/>
            </w:pPr>
          </w:p>
        </w:tc>
      </w:tr>
      <w:tr w14:paraId="000B88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48F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4CD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B7A7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DA6A2">
            <w:pPr>
              <w:jc w:val="center"/>
            </w:pPr>
            <w:r>
              <w:rPr>
                <w:rFonts w:ascii="宋体" w:hAnsi="宋体" w:eastAsia="宋体"/>
                <w:sz w:val="16"/>
              </w:rPr>
              <w:t>办税服务厅非执法性纳税辅助服务劳务费支付准确率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DD51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57AE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A70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FD4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9B36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B89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4DE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EAC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9FA4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A2C12">
            <w:pPr>
              <w:jc w:val="center"/>
            </w:pPr>
          </w:p>
        </w:tc>
      </w:tr>
      <w:tr w14:paraId="493E70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72D0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5B4A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2153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8097A">
            <w:pPr>
              <w:jc w:val="center"/>
            </w:pPr>
            <w:r>
              <w:rPr>
                <w:rFonts w:ascii="宋体" w:hAnsi="宋体" w:eastAsia="宋体"/>
                <w:sz w:val="16"/>
              </w:rPr>
              <w:t>非执法性纳税辅助服务劳务费支付及时率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42B1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0BE4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B7D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B6F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7506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41E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963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14A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1BA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99F54">
            <w:pPr>
              <w:jc w:val="center"/>
            </w:pPr>
          </w:p>
        </w:tc>
      </w:tr>
      <w:tr w14:paraId="45B53C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D8F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70AA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F5EE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DC8A2">
            <w:pPr>
              <w:jc w:val="center"/>
            </w:pPr>
            <w:r>
              <w:rPr>
                <w:rFonts w:ascii="宋体" w:hAnsi="宋体" w:eastAsia="宋体"/>
                <w:sz w:val="16"/>
              </w:rPr>
              <w:t>每次发放资金数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B4D5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9AF57">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41348">
            <w:pPr>
              <w:jc w:val="center"/>
            </w:pPr>
            <w:r>
              <w:rPr>
                <w:rFonts w:ascii="宋体" w:hAnsi="宋体" w:eastAsia="宋体"/>
                <w:sz w:val="16"/>
              </w:rPr>
              <w:t>3.33万元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DECC3">
            <w:pPr>
              <w:jc w:val="center"/>
            </w:pPr>
            <w:r>
              <w:rPr>
                <w:rFonts w:ascii="宋体" w:hAnsi="宋体" w:eastAsia="宋体"/>
                <w:sz w:val="16"/>
              </w:rPr>
              <w:t>83.25%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756D0">
            <w:pPr>
              <w:jc w:val="center"/>
            </w:pPr>
            <w:r>
              <w:rPr>
                <w:rFonts w:ascii="宋体" w:hAnsi="宋体" w:eastAsia="宋体"/>
                <w:sz w:val="16"/>
              </w:rPr>
              <w:t>16.65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F7E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BF0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1C1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DA9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21EDC">
            <w:pPr>
              <w:jc w:val="center"/>
            </w:pPr>
            <w:r>
              <w:rPr>
                <w:rFonts w:ascii="宋体" w:hAnsi="宋体" w:eastAsia="宋体"/>
                <w:sz w:val="16"/>
              </w:rPr>
              <w:t>由于</w:t>
            </w:r>
            <w:r>
              <w:rPr>
                <w:rFonts w:hint="eastAsia" w:ascii="宋体" w:hAnsi="宋体"/>
                <w:sz w:val="16"/>
                <w:lang w:eastAsia="zh-CN"/>
              </w:rPr>
              <w:t>本单位</w:t>
            </w:r>
            <w:r>
              <w:rPr>
                <w:rFonts w:ascii="宋体" w:hAnsi="宋体" w:eastAsia="宋体"/>
                <w:sz w:val="16"/>
              </w:rPr>
              <w:t>更换劳务公司及调整人员，导致发放资金减少。</w:t>
            </w:r>
          </w:p>
        </w:tc>
      </w:tr>
      <w:tr w14:paraId="4F11E7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02AC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2DD0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CE45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43521">
            <w:pPr>
              <w:jc w:val="center"/>
            </w:pPr>
            <w:r>
              <w:rPr>
                <w:rFonts w:ascii="宋体" w:hAnsi="宋体" w:eastAsia="宋体"/>
                <w:sz w:val="16"/>
              </w:rPr>
              <w:t>保障相关税收征管工作顺利进行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A2F25">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DE2D5">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3A1C2">
            <w:pPr>
              <w:jc w:val="center"/>
            </w:pPr>
            <w:r>
              <w:rPr>
                <w:rFonts w:ascii="宋体" w:hAnsi="宋体" w:eastAsia="宋体"/>
                <w:sz w:val="16"/>
              </w:rPr>
              <w:t>有所保障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CEC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3CFC9">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2E7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3D2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4B1F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6ED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3AD39">
            <w:pPr>
              <w:jc w:val="center"/>
            </w:pPr>
          </w:p>
        </w:tc>
      </w:tr>
      <w:tr w14:paraId="4731E64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472324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232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BBFC0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F0BF9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639E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4E628">
            <w:pPr>
              <w:jc w:val="center"/>
            </w:pPr>
            <w:r>
              <w:rPr>
                <w:rFonts w:ascii="宋体" w:hAnsi="宋体" w:eastAsia="宋体"/>
                <w:sz w:val="16"/>
              </w:rPr>
              <w:t>96.65分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9B680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06911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642CF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4B6D8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5C53A4"/>
        </w:tc>
      </w:tr>
    </w:tbl>
    <w:p w14:paraId="69DEDD6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32"/>
        <w:gridCol w:w="632"/>
        <w:gridCol w:w="632"/>
        <w:gridCol w:w="632"/>
        <w:gridCol w:w="632"/>
        <w:gridCol w:w="632"/>
        <w:gridCol w:w="632"/>
      </w:tblGrid>
      <w:tr w14:paraId="085F5B29">
        <w:tblPrEx>
          <w:tblCellMar>
            <w:top w:w="0" w:type="dxa"/>
            <w:left w:w="108" w:type="dxa"/>
            <w:bottom w:w="0" w:type="dxa"/>
            <w:right w:w="108" w:type="dxa"/>
          </w:tblCellMar>
        </w:tblPrEx>
        <w:tc>
          <w:tcPr>
            <w:tcW w:w="8848" w:type="dxa"/>
            <w:gridSpan w:val="14"/>
            <w:vAlign w:val="center"/>
          </w:tcPr>
          <w:p w14:paraId="57F17FE5">
            <w:pPr>
              <w:jc w:val="center"/>
            </w:pPr>
            <w:r>
              <w:rPr>
                <w:rFonts w:ascii="宋体" w:hAnsi="宋体" w:eastAsia="宋体"/>
                <w:sz w:val="24"/>
              </w:rPr>
              <w:t>项目支出绩效自评表</w:t>
            </w:r>
          </w:p>
        </w:tc>
      </w:tr>
      <w:tr w14:paraId="3029D000">
        <w:tblPrEx>
          <w:tblCellMar>
            <w:top w:w="0" w:type="dxa"/>
            <w:left w:w="108" w:type="dxa"/>
            <w:bottom w:w="0" w:type="dxa"/>
            <w:right w:w="108" w:type="dxa"/>
          </w:tblCellMar>
        </w:tblPrEx>
        <w:tc>
          <w:tcPr>
            <w:tcW w:w="8848" w:type="dxa"/>
            <w:gridSpan w:val="14"/>
            <w:vAlign w:val="center"/>
          </w:tcPr>
          <w:p w14:paraId="6AB8F23A">
            <w:pPr>
              <w:jc w:val="center"/>
            </w:pPr>
            <w:r>
              <w:rPr>
                <w:rFonts w:ascii="宋体" w:hAnsi="宋体" w:eastAsia="宋体"/>
                <w:sz w:val="24"/>
              </w:rPr>
              <w:t>(2024年度)</w:t>
            </w:r>
          </w:p>
        </w:tc>
      </w:tr>
      <w:tr w14:paraId="4C4F25C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DA3D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BC17CCA">
            <w:pPr>
              <w:jc w:val="center"/>
            </w:pPr>
            <w:r>
              <w:rPr>
                <w:rFonts w:ascii="宋体" w:hAnsi="宋体" w:eastAsia="宋体"/>
                <w:sz w:val="16"/>
              </w:rPr>
              <w:t>霍城县人工影响天气工作经费</w:t>
            </w:r>
          </w:p>
        </w:tc>
      </w:tr>
      <w:tr w14:paraId="10083DD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9F0B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871D2E">
            <w:pPr>
              <w:jc w:val="center"/>
            </w:pPr>
            <w:r>
              <w:rPr>
                <w:rFonts w:ascii="宋体" w:hAnsi="宋体" w:eastAsia="宋体"/>
                <w:sz w:val="16"/>
              </w:rPr>
              <w:t>霍城县科学技术局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42CC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FFCF2C">
            <w:pPr>
              <w:jc w:val="center"/>
            </w:pPr>
            <w:r>
              <w:rPr>
                <w:rFonts w:ascii="宋体" w:hAnsi="宋体" w:eastAsia="宋体"/>
                <w:sz w:val="16"/>
              </w:rPr>
              <w:t>霍城县科学技术局</w:t>
            </w:r>
          </w:p>
        </w:tc>
      </w:tr>
      <w:tr w14:paraId="0682067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42572A">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7DCC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B8B5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B2AF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F888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701F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8F7A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F06D9">
            <w:pPr>
              <w:jc w:val="center"/>
            </w:pPr>
            <w:r>
              <w:rPr>
                <w:rFonts w:ascii="宋体" w:hAnsi="宋体" w:eastAsia="宋体"/>
                <w:sz w:val="16"/>
              </w:rPr>
              <w:t>得分</w:t>
            </w:r>
          </w:p>
        </w:tc>
      </w:tr>
      <w:tr w14:paraId="2A8ED9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A597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F881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56A13">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A48A3">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A8294">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C61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1DC6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B69E9">
            <w:pPr>
              <w:jc w:val="center"/>
            </w:pPr>
            <w:r>
              <w:rPr>
                <w:rFonts w:ascii="宋体" w:hAnsi="宋体" w:eastAsia="宋体"/>
                <w:sz w:val="16"/>
              </w:rPr>
              <w:t>10.00</w:t>
            </w:r>
          </w:p>
        </w:tc>
      </w:tr>
      <w:tr w14:paraId="3468A0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8F85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74A2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7EE71">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BD589">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AEE94">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6FD8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C21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5F406">
            <w:pPr>
              <w:jc w:val="center"/>
            </w:pPr>
            <w:r>
              <w:rPr>
                <w:rFonts w:ascii="宋体" w:hAnsi="宋体" w:eastAsia="宋体"/>
                <w:sz w:val="16"/>
              </w:rPr>
              <w:t>—</w:t>
            </w:r>
          </w:p>
        </w:tc>
      </w:tr>
      <w:tr w14:paraId="2CF558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7FD5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B0AC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BEA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6E1A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A74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5E44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B5E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DCD69">
            <w:pPr>
              <w:jc w:val="center"/>
            </w:pPr>
            <w:r>
              <w:rPr>
                <w:rFonts w:ascii="宋体" w:hAnsi="宋体" w:eastAsia="宋体"/>
                <w:sz w:val="16"/>
              </w:rPr>
              <w:t>—</w:t>
            </w:r>
          </w:p>
        </w:tc>
      </w:tr>
      <w:tr w14:paraId="270DFD7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1C094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A71AF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1E0E7B">
            <w:pPr>
              <w:jc w:val="center"/>
            </w:pPr>
            <w:r>
              <w:rPr>
                <w:rFonts w:ascii="宋体" w:hAnsi="宋体" w:eastAsia="宋体"/>
                <w:sz w:val="16"/>
              </w:rPr>
              <w:t>实际完成情况</w:t>
            </w:r>
          </w:p>
        </w:tc>
      </w:tr>
      <w:tr w14:paraId="24436D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739A8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43A287">
            <w:pPr>
              <w:jc w:val="both"/>
            </w:pPr>
            <w:r>
              <w:rPr>
                <w:rFonts w:ascii="宋体" w:hAnsi="宋体" w:eastAsia="宋体"/>
                <w:sz w:val="16"/>
              </w:rPr>
              <w:t>抓住有利时机开展人工增雨雪作业，购买增雨防雹火箭弹26枚，对有效改善土壤墒情、缓解旱情的加剧和净化空气起到了积极作用；有效减少农业、林果业经济损失，保障农业增收。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1F6E74">
            <w:pPr>
              <w:jc w:val="both"/>
            </w:pPr>
            <w:r>
              <w:rPr>
                <w:rFonts w:ascii="宋体" w:hAnsi="宋体" w:eastAsia="宋体"/>
                <w:sz w:val="16"/>
              </w:rPr>
              <w:t>抓住有利时机开展人工增雨雪作业，购买增雨防雹火箭弹26枚,有效指挥实施人工防雹增雨作业22场次，作业覆盖区域未出现造成农业减产或绝收的雹灾，在防灾减灾救灾、生态环境保护与修复、县域重大活动等提供强有力保障。</w:t>
            </w:r>
          </w:p>
        </w:tc>
      </w:tr>
      <w:tr w14:paraId="358925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EF99B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B7FD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AF33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B0B6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02D6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48848">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82D13">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8F63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153A7">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F196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7222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6220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4BFC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6E2FA">
            <w:pPr>
              <w:jc w:val="center"/>
            </w:pPr>
            <w:r>
              <w:rPr>
                <w:rFonts w:ascii="宋体" w:hAnsi="宋体" w:eastAsia="宋体"/>
                <w:sz w:val="16"/>
              </w:rPr>
              <w:t>偏差原因分析及改进措施</w:t>
            </w:r>
          </w:p>
        </w:tc>
      </w:tr>
      <w:tr w14:paraId="22B202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807B1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22D11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68A5A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980A3">
            <w:pPr>
              <w:jc w:val="center"/>
            </w:pPr>
            <w:r>
              <w:rPr>
                <w:rFonts w:ascii="宋体" w:hAnsi="宋体" w:eastAsia="宋体"/>
                <w:sz w:val="16"/>
              </w:rPr>
              <w:t>购置防雹增雨火箭弹数量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69D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CE17A">
            <w:pPr>
              <w:jc w:val="center"/>
            </w:pPr>
            <w:r>
              <w:rPr>
                <w:rFonts w:ascii="宋体" w:hAnsi="宋体" w:eastAsia="宋体"/>
                <w:sz w:val="16"/>
              </w:rPr>
              <w:t>=26枚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AF560">
            <w:pPr>
              <w:jc w:val="center"/>
            </w:pPr>
            <w:r>
              <w:rPr>
                <w:rFonts w:ascii="宋体" w:hAnsi="宋体" w:eastAsia="宋体"/>
                <w:sz w:val="16"/>
              </w:rPr>
              <w:t>26枚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784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320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79C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116D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D3A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99F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54EEE">
            <w:pPr>
              <w:jc w:val="center"/>
            </w:pPr>
          </w:p>
        </w:tc>
      </w:tr>
      <w:tr w14:paraId="3266FB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4DB3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EC5A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59F8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8DB5D">
            <w:pPr>
              <w:jc w:val="center"/>
            </w:pPr>
            <w:r>
              <w:rPr>
                <w:rFonts w:ascii="宋体" w:hAnsi="宋体" w:eastAsia="宋体"/>
                <w:sz w:val="16"/>
              </w:rPr>
              <w:t>押运防雹增雨火箭弹次数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EB8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0C4D9">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68E44">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F18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E1E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B15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CD0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7D90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397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590FD">
            <w:pPr>
              <w:jc w:val="center"/>
            </w:pPr>
          </w:p>
        </w:tc>
      </w:tr>
      <w:tr w14:paraId="1BE6DD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99A7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54E3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6312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D5881">
            <w:pPr>
              <w:jc w:val="center"/>
            </w:pPr>
            <w:r>
              <w:rPr>
                <w:rFonts w:ascii="宋体" w:hAnsi="宋体" w:eastAsia="宋体"/>
                <w:sz w:val="16"/>
              </w:rPr>
              <w:t>增雨防雹火箭弹验收合格率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C0D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8254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710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A8A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1F3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BAF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236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355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BBF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B3DDE">
            <w:pPr>
              <w:jc w:val="center"/>
            </w:pPr>
          </w:p>
        </w:tc>
      </w:tr>
      <w:tr w14:paraId="0983D6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34EB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72F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6561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4C9B8">
            <w:pPr>
              <w:jc w:val="center"/>
            </w:pPr>
            <w:r>
              <w:rPr>
                <w:rFonts w:ascii="宋体" w:hAnsi="宋体" w:eastAsia="宋体"/>
                <w:sz w:val="16"/>
              </w:rPr>
              <w:t>购置防雹增雨火箭弹的完成时间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BAB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82E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61B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9CB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42E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9D4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550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5F8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A1A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95012">
            <w:pPr>
              <w:jc w:val="center"/>
            </w:pPr>
          </w:p>
        </w:tc>
      </w:tr>
      <w:tr w14:paraId="176B72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DE6BB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01AAD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E5A38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E151B">
            <w:pPr>
              <w:jc w:val="center"/>
            </w:pPr>
            <w:r>
              <w:rPr>
                <w:rFonts w:ascii="宋体" w:hAnsi="宋体" w:eastAsia="宋体"/>
                <w:sz w:val="16"/>
              </w:rPr>
              <w:t>购置防雹增雨火箭弹的金额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199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B8D99">
            <w:pPr>
              <w:jc w:val="center"/>
            </w:pPr>
            <w:r>
              <w:rPr>
                <w:rFonts w:ascii="宋体" w:hAnsi="宋体" w:eastAsia="宋体"/>
                <w:sz w:val="16"/>
              </w:rPr>
              <w:t>=3080元/枚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180A5">
            <w:pPr>
              <w:jc w:val="center"/>
            </w:pPr>
            <w:r>
              <w:rPr>
                <w:rFonts w:ascii="宋体" w:hAnsi="宋体" w:eastAsia="宋体"/>
                <w:sz w:val="16"/>
              </w:rPr>
              <w:t>3080元/枚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100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19A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E75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8434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E33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C161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A5608">
            <w:pPr>
              <w:jc w:val="center"/>
            </w:pPr>
          </w:p>
        </w:tc>
      </w:tr>
      <w:tr w14:paraId="76F25F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6DF3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215C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2BE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C170B">
            <w:pPr>
              <w:jc w:val="center"/>
            </w:pPr>
            <w:r>
              <w:rPr>
                <w:rFonts w:ascii="宋体" w:hAnsi="宋体" w:eastAsia="宋体"/>
                <w:sz w:val="16"/>
              </w:rPr>
              <w:t>增雨防雹火箭弹押运费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840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E9853">
            <w:pPr>
              <w:jc w:val="center"/>
            </w:pPr>
            <w:r>
              <w:rPr>
                <w:rFonts w:ascii="宋体" w:hAnsi="宋体" w:eastAsia="宋体"/>
                <w:sz w:val="16"/>
              </w:rPr>
              <w:t>=19920元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169D9">
            <w:pPr>
              <w:jc w:val="center"/>
            </w:pPr>
            <w:r>
              <w:rPr>
                <w:rFonts w:ascii="宋体" w:hAnsi="宋体" w:eastAsia="宋体"/>
                <w:sz w:val="16"/>
              </w:rPr>
              <w:t>17568元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231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62F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EF3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16B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505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BCDB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C3229">
            <w:pPr>
              <w:jc w:val="center"/>
            </w:pPr>
          </w:p>
        </w:tc>
      </w:tr>
      <w:tr w14:paraId="39E057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93361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97C9E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B7238">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7947A">
            <w:pPr>
              <w:jc w:val="center"/>
            </w:pPr>
            <w:r>
              <w:rPr>
                <w:rFonts w:ascii="宋体" w:hAnsi="宋体" w:eastAsia="宋体"/>
                <w:sz w:val="16"/>
              </w:rPr>
              <w:t>效减少农业、林果业经济损失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EE7D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2ACC2">
            <w:pPr>
              <w:jc w:val="center"/>
            </w:pPr>
            <w:r>
              <w:rPr>
                <w:rFonts w:ascii="宋体" w:hAnsi="宋体" w:eastAsia="宋体"/>
                <w:sz w:val="16"/>
              </w:rPr>
              <w:t>有效缓解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B9419">
            <w:pPr>
              <w:jc w:val="center"/>
            </w:pPr>
            <w:r>
              <w:rPr>
                <w:rFonts w:ascii="宋体" w:hAnsi="宋体" w:eastAsia="宋体"/>
                <w:sz w:val="16"/>
              </w:rPr>
              <w:t>有所缓解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975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2455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E24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EBB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68FD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E9F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35EA2">
            <w:pPr>
              <w:jc w:val="center"/>
            </w:pPr>
          </w:p>
        </w:tc>
      </w:tr>
      <w:tr w14:paraId="4069FC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9150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112A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0893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5ECFF">
            <w:pPr>
              <w:jc w:val="center"/>
            </w:pPr>
            <w:r>
              <w:rPr>
                <w:rFonts w:ascii="宋体" w:hAnsi="宋体" w:eastAsia="宋体"/>
                <w:sz w:val="16"/>
              </w:rPr>
              <w:t>有效缓解旱情加剧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559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F08C0">
            <w:pPr>
              <w:jc w:val="center"/>
            </w:pPr>
            <w:r>
              <w:rPr>
                <w:rFonts w:ascii="宋体" w:hAnsi="宋体" w:eastAsia="宋体"/>
                <w:sz w:val="16"/>
              </w:rPr>
              <w:t>有效缓解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4B31C">
            <w:pPr>
              <w:jc w:val="center"/>
            </w:pPr>
            <w:r>
              <w:rPr>
                <w:rFonts w:ascii="宋体" w:hAnsi="宋体" w:eastAsia="宋体"/>
                <w:sz w:val="16"/>
              </w:rPr>
              <w:t>有所缓解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2A6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102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955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085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9086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6B6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1F84D">
            <w:pPr>
              <w:jc w:val="center"/>
            </w:pPr>
          </w:p>
        </w:tc>
      </w:tr>
      <w:tr w14:paraId="5B479B4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B411E3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749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E4990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D8FE7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42DA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CC51C">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CC3DB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485DF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8FAB2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40D6D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128EAF"/>
        </w:tc>
      </w:tr>
    </w:tbl>
    <w:p w14:paraId="1EAEC1AA">
      <w:r>
        <w:br w:type="page"/>
      </w:r>
    </w:p>
    <w:p w14:paraId="1190F666">
      <w:pPr>
        <w:spacing w:line="640" w:lineRule="exact"/>
        <w:ind w:firstLine="640"/>
        <w:jc w:val="both"/>
        <w:outlineLvl w:val="2"/>
      </w:pPr>
      <w:r>
        <w:rPr>
          <w:rFonts w:ascii="黑体" w:hAnsi="黑体" w:eastAsia="黑体"/>
          <w:sz w:val="32"/>
        </w:rPr>
        <w:t>十二、其他需说明的事项</w:t>
      </w:r>
    </w:p>
    <w:p w14:paraId="717A6729">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678EA2EC">
      <w:r>
        <w:br w:type="page"/>
      </w:r>
    </w:p>
    <w:p w14:paraId="045DC677">
      <w:pPr>
        <w:spacing w:line="240" w:lineRule="auto"/>
        <w:jc w:val="center"/>
        <w:outlineLvl w:val="1"/>
      </w:pPr>
      <w:r>
        <w:rPr>
          <w:rFonts w:ascii="黑体" w:hAnsi="黑体" w:eastAsia="黑体"/>
          <w:sz w:val="32"/>
        </w:rPr>
        <w:t>第三部分 专业名词解释</w:t>
      </w:r>
    </w:p>
    <w:p w14:paraId="72521A0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D48B9B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2349B5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D35803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750FD2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A4EF79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17B47B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F25F8D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9CF6A9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F3197C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3242E8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838AFA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999E41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9BE28E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77AF60D">
      <w:r>
        <w:br w:type="page"/>
      </w:r>
    </w:p>
    <w:p w14:paraId="0FC764B7">
      <w:pPr>
        <w:spacing w:line="240" w:lineRule="auto"/>
        <w:jc w:val="center"/>
        <w:outlineLvl w:val="1"/>
      </w:pPr>
      <w:r>
        <w:rPr>
          <w:rFonts w:ascii="黑体" w:hAnsi="黑体" w:eastAsia="黑体"/>
          <w:sz w:val="32"/>
        </w:rPr>
        <w:t>第四部分 部门决算报表（见附表）</w:t>
      </w:r>
    </w:p>
    <w:p w14:paraId="29BF4A37">
      <w:pPr>
        <w:spacing w:line="240" w:lineRule="auto"/>
        <w:ind w:firstLine="640"/>
        <w:jc w:val="both"/>
      </w:pPr>
      <w:r>
        <w:rPr>
          <w:rFonts w:ascii="仿宋_GB2312" w:hAnsi="仿宋_GB2312" w:eastAsia="仿宋_GB2312"/>
          <w:b w:val="0"/>
          <w:sz w:val="32"/>
        </w:rPr>
        <w:t>一、《收入支出决算总表》</w:t>
      </w:r>
    </w:p>
    <w:p w14:paraId="0ABC4EDD">
      <w:pPr>
        <w:spacing w:line="240" w:lineRule="auto"/>
        <w:ind w:firstLine="640"/>
        <w:jc w:val="both"/>
      </w:pPr>
      <w:r>
        <w:rPr>
          <w:rFonts w:ascii="仿宋_GB2312" w:hAnsi="仿宋_GB2312" w:eastAsia="仿宋_GB2312"/>
          <w:b w:val="0"/>
          <w:sz w:val="32"/>
        </w:rPr>
        <w:t>二、《收入决算表》</w:t>
      </w:r>
    </w:p>
    <w:p w14:paraId="0887B8A8">
      <w:pPr>
        <w:spacing w:line="240" w:lineRule="auto"/>
        <w:ind w:firstLine="640"/>
        <w:jc w:val="both"/>
      </w:pPr>
      <w:r>
        <w:rPr>
          <w:rFonts w:ascii="仿宋_GB2312" w:hAnsi="仿宋_GB2312" w:eastAsia="仿宋_GB2312"/>
          <w:b w:val="0"/>
          <w:sz w:val="32"/>
        </w:rPr>
        <w:t>三、《支出决算表》</w:t>
      </w:r>
    </w:p>
    <w:p w14:paraId="6AE7E5BF">
      <w:pPr>
        <w:spacing w:line="240" w:lineRule="auto"/>
        <w:ind w:firstLine="640"/>
        <w:jc w:val="both"/>
      </w:pPr>
      <w:r>
        <w:rPr>
          <w:rFonts w:ascii="仿宋_GB2312" w:hAnsi="仿宋_GB2312" w:eastAsia="仿宋_GB2312"/>
          <w:b w:val="0"/>
          <w:sz w:val="32"/>
        </w:rPr>
        <w:t>四、《财政拨款收入支出决算总表》</w:t>
      </w:r>
    </w:p>
    <w:p w14:paraId="322D6B5A">
      <w:pPr>
        <w:spacing w:line="240" w:lineRule="auto"/>
        <w:ind w:firstLine="640"/>
        <w:jc w:val="both"/>
      </w:pPr>
      <w:r>
        <w:rPr>
          <w:rFonts w:ascii="仿宋_GB2312" w:hAnsi="仿宋_GB2312" w:eastAsia="仿宋_GB2312"/>
          <w:b w:val="0"/>
          <w:sz w:val="32"/>
        </w:rPr>
        <w:t>五、《一般公共预算财政拨款支出决算表》</w:t>
      </w:r>
    </w:p>
    <w:p w14:paraId="328EB5BE">
      <w:pPr>
        <w:spacing w:line="240" w:lineRule="auto"/>
        <w:ind w:firstLine="640"/>
        <w:jc w:val="both"/>
      </w:pPr>
      <w:r>
        <w:rPr>
          <w:rFonts w:ascii="仿宋_GB2312" w:hAnsi="仿宋_GB2312" w:eastAsia="仿宋_GB2312"/>
          <w:b w:val="0"/>
          <w:sz w:val="32"/>
        </w:rPr>
        <w:t>六、《一般公共预算财政拨款基本支出决算表》</w:t>
      </w:r>
    </w:p>
    <w:p w14:paraId="65FC9DAE">
      <w:pPr>
        <w:spacing w:line="240" w:lineRule="auto"/>
        <w:ind w:firstLine="640"/>
        <w:jc w:val="both"/>
      </w:pPr>
      <w:r>
        <w:rPr>
          <w:rFonts w:ascii="仿宋_GB2312" w:hAnsi="仿宋_GB2312" w:eastAsia="仿宋_GB2312"/>
          <w:b w:val="0"/>
          <w:sz w:val="32"/>
        </w:rPr>
        <w:t>七、《政府性基金预算财政拨款收入支出决算表》</w:t>
      </w:r>
    </w:p>
    <w:p w14:paraId="7CE93A51">
      <w:pPr>
        <w:spacing w:line="240" w:lineRule="auto"/>
        <w:ind w:firstLine="640"/>
        <w:jc w:val="both"/>
      </w:pPr>
      <w:r>
        <w:rPr>
          <w:rFonts w:ascii="仿宋_GB2312" w:hAnsi="仿宋_GB2312" w:eastAsia="仿宋_GB2312"/>
          <w:b w:val="0"/>
          <w:sz w:val="32"/>
        </w:rPr>
        <w:t>八、《国有资本经营预算财政拨款收入支出决算表》</w:t>
      </w:r>
    </w:p>
    <w:p w14:paraId="78927047">
      <w:pPr>
        <w:spacing w:line="240" w:lineRule="auto"/>
        <w:ind w:firstLine="640"/>
        <w:jc w:val="both"/>
      </w:pPr>
      <w:r>
        <w:rPr>
          <w:rFonts w:ascii="仿宋_GB2312" w:hAnsi="仿宋_GB2312" w:eastAsia="仿宋_GB2312"/>
          <w:b w:val="0"/>
          <w:sz w:val="32"/>
        </w:rPr>
        <w:t>九、《财政拨款“三公”经费支出决算表》</w:t>
      </w:r>
    </w:p>
    <w:p w14:paraId="32F48E51">
      <w:pPr>
        <w:spacing w:line="240" w:lineRule="auto"/>
        <w:ind w:firstLine="640"/>
        <w:jc w:val="both"/>
      </w:pPr>
    </w:p>
    <w:p w14:paraId="782D4E35">
      <w:pPr>
        <w:spacing w:line="240" w:lineRule="auto"/>
        <w:ind w:firstLine="640"/>
        <w:jc w:val="both"/>
      </w:pPr>
    </w:p>
    <w:p w14:paraId="7F884714">
      <w:pPr>
        <w:spacing w:line="240" w:lineRule="auto"/>
        <w:ind w:firstLine="640"/>
        <w:jc w:val="both"/>
      </w:pPr>
    </w:p>
    <w:p w14:paraId="4FD0F684">
      <w:pPr>
        <w:spacing w:line="240" w:lineRule="auto"/>
        <w:ind w:firstLine="640"/>
        <w:jc w:val="both"/>
      </w:pPr>
    </w:p>
    <w:p w14:paraId="0B77FB4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3BBDCC9-576C-4C62-A565-1136B95FC27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54041EAE-165F-4156-BFBB-CED29005AA27}"/>
  </w:font>
  <w:font w:name="仿宋_GB2312">
    <w:altName w:val="仿宋"/>
    <w:panose1 w:val="02010609030101010101"/>
    <w:charset w:val="86"/>
    <w:family w:val="modern"/>
    <w:pitch w:val="default"/>
    <w:sig w:usb0="00000000" w:usb1="00000000" w:usb2="00000000" w:usb3="00000000" w:csb0="00040000" w:csb1="00000000"/>
    <w:embedRegular r:id="rId3" w:fontKey="{9AC63A66-8066-49CF-9E50-3E24FFD877D0}"/>
  </w:font>
  <w:font w:name="楷体_GB2312">
    <w:altName w:val="楷体"/>
    <w:panose1 w:val="02010609030101010101"/>
    <w:charset w:val="86"/>
    <w:family w:val="auto"/>
    <w:pitch w:val="default"/>
    <w:sig w:usb0="00000000" w:usb1="00000000" w:usb2="00000000" w:usb3="00000000" w:csb0="00040000" w:csb1="00000000"/>
    <w:embedRegular r:id="rId4" w:fontKey="{509ABF14-DE7E-4696-84AB-F22414604E86}"/>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2F6B9F"/>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3023F3E"/>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6236</Words>
  <Characters>7022</Characters>
  <Lines>0</Lines>
  <Paragraphs>0</Paragraphs>
  <TotalTime>7</TotalTime>
  <ScaleCrop>false</ScaleCrop>
  <LinksUpToDate>false</LinksUpToDate>
  <CharactersWithSpaces>7031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2025-09-25T03:59:11Z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