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霍城县疾病预防控制中心2024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A47605F">
      <w:r>
        <w:br w:type="page"/>
      </w:r>
    </w:p>
    <w:p w14:paraId="2E0E396A">
      <w:pPr>
        <w:spacing w:line="640" w:lineRule="exact"/>
        <w:jc w:val="center"/>
        <w:outlineLvl w:val="1"/>
      </w:pPr>
      <w:r>
        <w:rPr>
          <w:rFonts w:ascii="黑体" w:hAnsi="黑体" w:eastAsia="黑体"/>
          <w:sz w:val="32"/>
        </w:rPr>
        <w:t>第一部分 单位概况</w:t>
      </w:r>
    </w:p>
    <w:p w14:paraId="196926FB">
      <w:pPr>
        <w:spacing w:line="640" w:lineRule="exact"/>
        <w:ind w:firstLine="640"/>
        <w:jc w:val="both"/>
        <w:outlineLvl w:val="2"/>
      </w:pPr>
      <w:r>
        <w:rPr>
          <w:rFonts w:ascii="黑体" w:hAnsi="黑体" w:eastAsia="黑体"/>
          <w:sz w:val="32"/>
        </w:rPr>
        <w:t>一、主要职能</w:t>
      </w:r>
    </w:p>
    <w:p w14:paraId="10E807D3">
      <w:pPr>
        <w:spacing w:line="580" w:lineRule="exact"/>
        <w:ind w:firstLine="640"/>
        <w:jc w:val="both"/>
      </w:pPr>
      <w:r>
        <w:rPr>
          <w:rFonts w:ascii="仿宋_GB2312" w:hAnsi="仿宋_GB2312" w:eastAsia="仿宋_GB2312"/>
          <w:sz w:val="32"/>
        </w:rPr>
        <w:t>1、完成上级下达的疾病预防控制任务，负责辖区内疾病预防控制具体工作的管理和落实</w:t>
      </w:r>
      <w:r>
        <w:rPr>
          <w:rFonts w:hint="eastAsia" w:ascii="仿宋_GB2312" w:hAnsi="仿宋_GB2312" w:eastAsia="仿宋_GB2312"/>
          <w:sz w:val="32"/>
          <w:lang w:eastAsia="zh-CN"/>
        </w:rPr>
        <w:t>；</w:t>
      </w:r>
      <w:r>
        <w:rPr>
          <w:rFonts w:ascii="仿宋_GB2312" w:hAnsi="仿宋_GB2312" w:eastAsia="仿宋_GB2312"/>
          <w:sz w:val="32"/>
        </w:rPr>
        <w:t>负责辖区内疫苗使用管理,组织实施免疫、消毒、控制病媒生物的危害。</w:t>
      </w:r>
    </w:p>
    <w:p w14:paraId="1C115F64">
      <w:pPr>
        <w:spacing w:line="580" w:lineRule="exact"/>
        <w:ind w:firstLine="640"/>
        <w:jc w:val="both"/>
      </w:pPr>
      <w:r>
        <w:rPr>
          <w:rFonts w:ascii="仿宋_GB2312" w:hAnsi="仿宋_GB2312" w:eastAsia="仿宋_GB2312"/>
          <w:sz w:val="32"/>
        </w:rPr>
        <w:t>2、负责辖区内突发公共卫生事件的监测调查与信息收集、报告，落实具体控制措施。</w:t>
      </w:r>
    </w:p>
    <w:p w14:paraId="7B026457">
      <w:pPr>
        <w:spacing w:line="580" w:lineRule="exact"/>
        <w:ind w:firstLine="640"/>
        <w:jc w:val="both"/>
      </w:pPr>
      <w:r>
        <w:rPr>
          <w:rFonts w:ascii="仿宋_GB2312" w:hAnsi="仿宋_GB2312" w:eastAsia="仿宋_GB2312"/>
          <w:sz w:val="32"/>
        </w:rPr>
        <w:t>3、开展病原微生物常规检验和常见污染物的检验。</w:t>
      </w:r>
    </w:p>
    <w:p w14:paraId="53389788">
      <w:pPr>
        <w:spacing w:line="580" w:lineRule="exact"/>
        <w:ind w:firstLine="640"/>
        <w:jc w:val="both"/>
      </w:pPr>
      <w:r>
        <w:rPr>
          <w:rFonts w:ascii="仿宋_GB2312" w:hAnsi="仿宋_GB2312" w:eastAsia="仿宋_GB2312"/>
          <w:sz w:val="32"/>
        </w:rPr>
        <w:t>4、承担卫生行政部门委托的与卫生监督执法相关的检验检测任务。</w:t>
      </w:r>
    </w:p>
    <w:p w14:paraId="26AD9006">
      <w:pPr>
        <w:spacing w:line="580" w:lineRule="exact"/>
        <w:ind w:firstLine="640"/>
        <w:jc w:val="both"/>
      </w:pPr>
      <w:r>
        <w:rPr>
          <w:rFonts w:ascii="仿宋_GB2312" w:hAnsi="仿宋_GB2312" w:eastAsia="仿宋_GB2312"/>
          <w:sz w:val="32"/>
        </w:rPr>
        <w:t>5、指导辖区内医疗卫生机构、城市社区卫生组织和农村乡(镇)卫生院开展卫生防病工作，负责考核和评价，对从事疾病预防控制相关工作的人员进行培训。</w:t>
      </w:r>
    </w:p>
    <w:p w14:paraId="1C8D9137">
      <w:pPr>
        <w:spacing w:line="580" w:lineRule="exact"/>
        <w:ind w:firstLine="640"/>
        <w:jc w:val="both"/>
      </w:pPr>
      <w:r>
        <w:rPr>
          <w:rFonts w:ascii="仿宋_GB2312" w:hAnsi="仿宋_GB2312" w:eastAsia="仿宋_GB2312"/>
          <w:sz w:val="32"/>
        </w:rPr>
        <w:t>6、负责</w:t>
      </w:r>
      <w:r>
        <w:rPr>
          <w:rFonts w:hint="eastAsia" w:ascii="仿宋_GB2312" w:hAnsi="仿宋_GB2312" w:eastAsia="仿宋_GB2312"/>
          <w:sz w:val="32"/>
          <w:lang w:eastAsia="zh-CN"/>
        </w:rPr>
        <w:t>防疫</w:t>
      </w:r>
      <w:r>
        <w:rPr>
          <w:rFonts w:ascii="仿宋_GB2312" w:hAnsi="仿宋_GB2312" w:eastAsia="仿宋_GB2312"/>
          <w:sz w:val="32"/>
        </w:rPr>
        <w:t>和公共卫生健康危害因素监测、报告，指导乡、村和有关部门收集、报告</w:t>
      </w:r>
      <w:r>
        <w:rPr>
          <w:rFonts w:hint="eastAsia" w:ascii="仿宋_GB2312" w:hAnsi="仿宋_GB2312" w:eastAsia="仿宋_GB2312"/>
          <w:sz w:val="32"/>
          <w:lang w:eastAsia="zh-CN"/>
        </w:rPr>
        <w:t>防疫</w:t>
      </w:r>
      <w:r>
        <w:rPr>
          <w:rFonts w:ascii="仿宋_GB2312" w:hAnsi="仿宋_GB2312" w:eastAsia="仿宋_GB2312"/>
          <w:sz w:val="32"/>
        </w:rPr>
        <w:t>。</w:t>
      </w:r>
    </w:p>
    <w:p w14:paraId="26472883">
      <w:pPr>
        <w:spacing w:line="580" w:lineRule="exact"/>
        <w:ind w:firstLine="640"/>
        <w:jc w:val="both"/>
      </w:pPr>
      <w:r>
        <w:rPr>
          <w:rFonts w:ascii="仿宋_GB2312" w:hAnsi="仿宋_GB2312" w:eastAsia="仿宋_GB2312"/>
          <w:sz w:val="32"/>
        </w:rPr>
        <w:t>7、开展卫生宣传教育与健康促进活动，普及卫生防病知识。</w:t>
      </w:r>
    </w:p>
    <w:p w14:paraId="3545ED5C">
      <w:pPr>
        <w:spacing w:line="640" w:lineRule="exact"/>
        <w:ind w:firstLine="640"/>
        <w:jc w:val="both"/>
        <w:outlineLvl w:val="2"/>
      </w:pPr>
      <w:r>
        <w:rPr>
          <w:rFonts w:ascii="黑体" w:hAnsi="黑体" w:eastAsia="黑体"/>
          <w:sz w:val="32"/>
        </w:rPr>
        <w:t>二、机构设置及人员情况</w:t>
      </w:r>
    </w:p>
    <w:p w14:paraId="63BC8377">
      <w:pPr>
        <w:spacing w:line="580" w:lineRule="exact"/>
        <w:ind w:firstLine="640"/>
        <w:jc w:val="both"/>
      </w:pPr>
      <w:r>
        <w:rPr>
          <w:rFonts w:ascii="仿宋_GB2312" w:hAnsi="仿宋_GB2312" w:eastAsia="仿宋_GB2312"/>
          <w:sz w:val="32"/>
        </w:rPr>
        <w:t>霍城县疾病预防控制中心2024年度，实有人数84人，其中：在职人员60人，减少3人；离休人员0人，增加0人；退休人员24人,增加1人。</w:t>
      </w:r>
    </w:p>
    <w:p w14:paraId="7A57520F">
      <w:pPr>
        <w:spacing w:line="580" w:lineRule="exact"/>
        <w:ind w:firstLine="640"/>
        <w:jc w:val="both"/>
      </w:pPr>
      <w:r>
        <w:rPr>
          <w:rFonts w:ascii="仿宋_GB2312" w:hAnsi="仿宋_GB2312" w:eastAsia="仿宋_GB2312"/>
          <w:sz w:val="32"/>
        </w:rPr>
        <w:t>霍城县疾病预防控制中心无下属预算单位，下设8个科室，分别是：办公室、财务室、结防科、地方病科、免疫规划科、传防科、艾防科、慢病科。</w:t>
      </w:r>
    </w:p>
    <w:p w14:paraId="141676A8">
      <w:r>
        <w:br w:type="page"/>
      </w:r>
    </w:p>
    <w:p w14:paraId="6F4BDAA0">
      <w:pPr>
        <w:spacing w:line="240" w:lineRule="auto"/>
        <w:jc w:val="center"/>
        <w:outlineLvl w:val="1"/>
      </w:pPr>
      <w:r>
        <w:rPr>
          <w:rFonts w:ascii="黑体" w:hAnsi="黑体" w:eastAsia="黑体"/>
          <w:sz w:val="32"/>
        </w:rPr>
        <w:t>第二部分 部门决算情况说明</w:t>
      </w:r>
    </w:p>
    <w:p w14:paraId="3A427F2B">
      <w:pPr>
        <w:spacing w:line="640" w:lineRule="exact"/>
        <w:ind w:firstLine="640"/>
        <w:jc w:val="both"/>
        <w:outlineLvl w:val="2"/>
      </w:pPr>
      <w:r>
        <w:rPr>
          <w:rFonts w:ascii="黑体" w:hAnsi="黑体" w:eastAsia="黑体"/>
          <w:sz w:val="32"/>
        </w:rPr>
        <w:t>一、收入支出决算总体情况说明</w:t>
      </w:r>
    </w:p>
    <w:p w14:paraId="3418F2B8">
      <w:pPr>
        <w:spacing w:line="580" w:lineRule="exact"/>
        <w:ind w:firstLine="640"/>
        <w:jc w:val="both"/>
      </w:pPr>
      <w:r>
        <w:rPr>
          <w:rFonts w:ascii="仿宋_GB2312" w:hAnsi="仿宋_GB2312" w:eastAsia="仿宋_GB2312"/>
          <w:b/>
          <w:sz w:val="32"/>
        </w:rPr>
        <w:t>2024年度收入总计1,382.46万元，</w:t>
      </w:r>
      <w:r>
        <w:rPr>
          <w:rFonts w:ascii="仿宋_GB2312" w:hAnsi="仿宋_GB2312" w:eastAsia="仿宋_GB2312"/>
          <w:b w:val="0"/>
          <w:sz w:val="32"/>
        </w:rPr>
        <w:t>其中：本年收入合计1,271.15万元，使用非财政拨款结余（含专用结余）111.31万元，年初结转和结余0.00万元。</w:t>
      </w:r>
    </w:p>
    <w:p w14:paraId="60AB4BB8">
      <w:pPr>
        <w:spacing w:line="580" w:lineRule="exact"/>
        <w:ind w:firstLine="640"/>
        <w:jc w:val="both"/>
      </w:pPr>
      <w:r>
        <w:rPr>
          <w:rFonts w:ascii="仿宋_GB2312" w:hAnsi="仿宋_GB2312" w:eastAsia="仿宋_GB2312"/>
          <w:b/>
          <w:sz w:val="32"/>
        </w:rPr>
        <w:t>2024年度支出总计1,382.46万元，</w:t>
      </w:r>
      <w:r>
        <w:rPr>
          <w:rFonts w:ascii="仿宋_GB2312" w:hAnsi="仿宋_GB2312" w:eastAsia="仿宋_GB2312"/>
          <w:b w:val="0"/>
          <w:sz w:val="32"/>
        </w:rPr>
        <w:t>其中：本年支出合计1,382.46万元，结余分配0.00万元，年末结转和结余0.00万元。</w:t>
      </w:r>
    </w:p>
    <w:p w14:paraId="3899AE6A">
      <w:pPr>
        <w:spacing w:line="580" w:lineRule="exact"/>
        <w:ind w:firstLine="640"/>
        <w:jc w:val="both"/>
      </w:pPr>
      <w:r>
        <w:rPr>
          <w:rFonts w:ascii="仿宋_GB2312" w:hAnsi="仿宋_GB2312" w:eastAsia="仿宋_GB2312"/>
          <w:b w:val="0"/>
          <w:sz w:val="32"/>
        </w:rPr>
        <w:t>收入支出总体与上年相比，减少473.97万元，下降25.53%，主要原因是：一是本年减少中央基本卫生服务补助资金和中央重大公共卫生服务补助项目。二是本年度各级医疗机构达到疫苗库存数，购二类疫苗少，事业收入减少，导致经费较上年减少。</w:t>
      </w:r>
    </w:p>
    <w:p w14:paraId="53166F2E">
      <w:pPr>
        <w:spacing w:line="640" w:lineRule="exact"/>
        <w:ind w:firstLine="640"/>
        <w:jc w:val="both"/>
        <w:outlineLvl w:val="2"/>
      </w:pPr>
      <w:r>
        <w:rPr>
          <w:rFonts w:ascii="黑体" w:hAnsi="黑体" w:eastAsia="黑体"/>
          <w:sz w:val="32"/>
        </w:rPr>
        <w:t>二、收入决算情况说明</w:t>
      </w:r>
    </w:p>
    <w:p w14:paraId="2FE9E942">
      <w:pPr>
        <w:spacing w:line="580" w:lineRule="exact"/>
        <w:ind w:firstLine="640"/>
        <w:jc w:val="both"/>
      </w:pPr>
      <w:r>
        <w:rPr>
          <w:rFonts w:ascii="仿宋_GB2312" w:hAnsi="仿宋_GB2312" w:eastAsia="仿宋_GB2312"/>
          <w:b/>
          <w:sz w:val="32"/>
        </w:rPr>
        <w:t>本年收入1,271.15万元，</w:t>
      </w:r>
      <w:r>
        <w:rPr>
          <w:rFonts w:ascii="仿宋_GB2312" w:hAnsi="仿宋_GB2312" w:eastAsia="仿宋_GB2312"/>
          <w:b w:val="0"/>
          <w:sz w:val="32"/>
        </w:rPr>
        <w:t>其中：财政拨款收入1,261.23万元，占99.22%；上级补助收入0.00万元，占0.00%；事业收入9.87万元，占0.78%；经营收入0.00万元，占0.00%；附属单位上缴收入0.00万元，占0.00%；其他收入0.05万元，占0.004%。</w:t>
      </w:r>
    </w:p>
    <w:p w14:paraId="77F29CAA">
      <w:pPr>
        <w:spacing w:line="640" w:lineRule="exact"/>
        <w:ind w:firstLine="640"/>
        <w:jc w:val="both"/>
        <w:outlineLvl w:val="2"/>
      </w:pPr>
      <w:r>
        <w:rPr>
          <w:rFonts w:ascii="黑体" w:hAnsi="黑体" w:eastAsia="黑体"/>
          <w:sz w:val="32"/>
        </w:rPr>
        <w:t>三、支出决算情况说明</w:t>
      </w:r>
    </w:p>
    <w:p w14:paraId="2C865C25">
      <w:pPr>
        <w:spacing w:line="580" w:lineRule="exact"/>
        <w:ind w:firstLine="640"/>
        <w:jc w:val="both"/>
      </w:pPr>
      <w:r>
        <w:rPr>
          <w:rFonts w:ascii="仿宋_GB2312" w:hAnsi="仿宋_GB2312" w:eastAsia="仿宋_GB2312"/>
          <w:b/>
          <w:sz w:val="32"/>
        </w:rPr>
        <w:t>本年支出1,382.46万元，</w:t>
      </w:r>
      <w:r>
        <w:rPr>
          <w:rFonts w:ascii="仿宋_GB2312" w:hAnsi="仿宋_GB2312" w:eastAsia="仿宋_GB2312"/>
          <w:b w:val="0"/>
          <w:sz w:val="32"/>
        </w:rPr>
        <w:t>其中：基本支出1,095.60万元，占79.25%；项目支出286.86万元，占20.75%；上缴上级支出0.00万元，占0.00%；经营支出0.00万元，占0.00%；对附属单位补助支出0.00万元，占0.00%。</w:t>
      </w:r>
    </w:p>
    <w:p w14:paraId="0F20DAEE">
      <w:pPr>
        <w:spacing w:line="640" w:lineRule="exact"/>
        <w:ind w:firstLine="640"/>
        <w:jc w:val="both"/>
        <w:outlineLvl w:val="2"/>
      </w:pPr>
      <w:r>
        <w:rPr>
          <w:rFonts w:ascii="黑体" w:hAnsi="黑体" w:eastAsia="黑体"/>
          <w:sz w:val="32"/>
        </w:rPr>
        <w:t>四、财政拨款收入支出决算总体情况说明</w:t>
      </w:r>
    </w:p>
    <w:p w14:paraId="4CF005A0">
      <w:pPr>
        <w:spacing w:line="580" w:lineRule="exact"/>
        <w:ind w:firstLine="640"/>
        <w:jc w:val="both"/>
      </w:pPr>
      <w:r>
        <w:rPr>
          <w:rFonts w:ascii="仿宋_GB2312" w:hAnsi="仿宋_GB2312" w:eastAsia="仿宋_GB2312"/>
          <w:b/>
          <w:sz w:val="32"/>
        </w:rPr>
        <w:t>2024年度财政拨款收入总计1,261.23万元，</w:t>
      </w:r>
      <w:r>
        <w:rPr>
          <w:rFonts w:ascii="仿宋_GB2312" w:hAnsi="仿宋_GB2312" w:eastAsia="仿宋_GB2312"/>
          <w:b w:val="0"/>
          <w:sz w:val="32"/>
        </w:rPr>
        <w:t>其中：年初财政拨款结转和结余0.00万元，本年财政拨款收入1,261.23万元。</w:t>
      </w:r>
      <w:r>
        <w:rPr>
          <w:rFonts w:ascii="仿宋_GB2312" w:hAnsi="仿宋_GB2312" w:eastAsia="仿宋_GB2312"/>
          <w:b/>
          <w:sz w:val="32"/>
        </w:rPr>
        <w:t>财政拨款支出总计1,261.23万元，</w:t>
      </w:r>
      <w:r>
        <w:rPr>
          <w:rFonts w:ascii="仿宋_GB2312" w:hAnsi="仿宋_GB2312" w:eastAsia="仿宋_GB2312"/>
          <w:b w:val="0"/>
          <w:sz w:val="32"/>
        </w:rPr>
        <w:t>其中：年末财政拨款结转和结余0.00万元，本年财政拨款支出1,261.23万元。</w:t>
      </w:r>
    </w:p>
    <w:p w14:paraId="0506E9C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减少182.38万元，下降12.63%，主要原因是：本年减少中央基本卫生服务补助资金和中央重大公共卫生服务补助项目，导致经费较上年减少。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年初预算数1,006.57万元，决算数1,261.23万元，预决算差异率25.30%，主要原因是：年中追加中央</w:t>
      </w:r>
      <w:r>
        <w:rPr>
          <w:rFonts w:hint="eastAsia" w:ascii="仿宋_GB2312" w:hAnsi="仿宋_GB2312" w:eastAsia="仿宋_GB2312"/>
          <w:b w:val="0"/>
          <w:sz w:val="32"/>
          <w:lang w:eastAsia="zh-CN"/>
        </w:rPr>
        <w:t>基本公共卫生服务</w:t>
      </w:r>
      <w:r>
        <w:rPr>
          <w:rFonts w:ascii="仿宋_GB2312" w:hAnsi="仿宋_GB2312" w:eastAsia="仿宋_GB2312"/>
          <w:b w:val="0"/>
          <w:sz w:val="32"/>
        </w:rPr>
        <w:t>补助资金、中央重点传染病防控补助资金、自治区基本公共卫生服务补助资金等，导致预决算存在差异。</w:t>
      </w:r>
    </w:p>
    <w:p w14:paraId="54CCEAA9">
      <w:pPr>
        <w:spacing w:line="640" w:lineRule="exact"/>
        <w:ind w:firstLine="640"/>
        <w:jc w:val="both"/>
        <w:outlineLvl w:val="2"/>
      </w:pPr>
      <w:r>
        <w:rPr>
          <w:rFonts w:ascii="黑体" w:hAnsi="黑体" w:eastAsia="黑体"/>
          <w:sz w:val="32"/>
        </w:rPr>
        <w:t>五、一般公共预算财政拨款支出决算情况说明</w:t>
      </w:r>
    </w:p>
    <w:p w14:paraId="35D97D7E">
      <w:pPr>
        <w:spacing w:line="640" w:lineRule="exact"/>
        <w:ind w:firstLine="640"/>
        <w:jc w:val="both"/>
        <w:outlineLvl w:val="3"/>
      </w:pPr>
      <w:r>
        <w:rPr>
          <w:rFonts w:ascii="楷体_GB2312" w:hAnsi="楷体_GB2312" w:eastAsia="楷体_GB2312"/>
          <w:b/>
          <w:sz w:val="32"/>
        </w:rPr>
        <w:t>（一）一般公共预算财政拨款支出决算总体情况</w:t>
      </w:r>
    </w:p>
    <w:p w14:paraId="4E6183F6">
      <w:pPr>
        <w:spacing w:line="580" w:lineRule="exact"/>
        <w:ind w:firstLine="640"/>
        <w:jc w:val="both"/>
      </w:pPr>
      <w:r>
        <w:rPr>
          <w:rFonts w:ascii="仿宋_GB2312" w:hAnsi="仿宋_GB2312" w:eastAsia="仿宋_GB2312"/>
          <w:b/>
          <w:sz w:val="32"/>
        </w:rPr>
        <w:t>2024年度一般公共预算财政拨款支出1,261.23万元，</w:t>
      </w:r>
      <w:r>
        <w:rPr>
          <w:rFonts w:ascii="仿宋_GB2312" w:hAnsi="仿宋_GB2312" w:eastAsia="仿宋_GB2312"/>
          <w:b w:val="0"/>
          <w:sz w:val="32"/>
        </w:rPr>
        <w:t>占本年支出合计的91.23%。</w:t>
      </w:r>
      <w:r>
        <w:rPr>
          <w:rFonts w:ascii="仿宋_GB2312" w:hAnsi="仿宋_GB2312" w:eastAsia="仿宋_GB2312"/>
          <w:b/>
          <w:sz w:val="32"/>
        </w:rPr>
        <w:t>与上年相比，</w:t>
      </w:r>
      <w:r>
        <w:rPr>
          <w:rFonts w:ascii="仿宋_GB2312" w:hAnsi="仿宋_GB2312" w:eastAsia="仿宋_GB2312"/>
          <w:b w:val="0"/>
          <w:sz w:val="32"/>
        </w:rPr>
        <w:t>减少182.38万元，下降12.63%，主要原因是：本年减少中央基本卫生服务补助资金和中央重大公共卫生服务补助项目，导致经费较上年减少。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年初预算数1,006.57万元，决算数1,261.23万元，预决算差异率25.30%，主要原因是：年中追加中央</w:t>
      </w:r>
      <w:r>
        <w:rPr>
          <w:rFonts w:hint="eastAsia" w:ascii="仿宋_GB2312" w:hAnsi="仿宋_GB2312" w:eastAsia="仿宋_GB2312"/>
          <w:b w:val="0"/>
          <w:sz w:val="32"/>
          <w:lang w:eastAsia="zh-CN"/>
        </w:rPr>
        <w:t>基本公共卫生服务</w:t>
      </w:r>
      <w:r>
        <w:rPr>
          <w:rFonts w:ascii="仿宋_GB2312" w:hAnsi="仿宋_GB2312" w:eastAsia="仿宋_GB2312"/>
          <w:b w:val="0"/>
          <w:sz w:val="32"/>
        </w:rPr>
        <w:t>补助资金、中央重点传染病防控补助资金、自治区基本公共卫生服务补助资金等，导致预决算存在差异。</w:t>
      </w:r>
    </w:p>
    <w:p w14:paraId="42FF610D">
      <w:pPr>
        <w:spacing w:line="640" w:lineRule="exact"/>
        <w:ind w:firstLine="640"/>
        <w:jc w:val="both"/>
        <w:outlineLvl w:val="3"/>
      </w:pPr>
      <w:r>
        <w:rPr>
          <w:rFonts w:ascii="楷体_GB2312" w:hAnsi="楷体_GB2312" w:eastAsia="楷体_GB2312"/>
          <w:b/>
          <w:sz w:val="32"/>
        </w:rPr>
        <w:t>（二）一般公共预算财政拨款支出决算结构情况</w:t>
      </w:r>
    </w:p>
    <w:p w14:paraId="72B3B48A">
      <w:pPr>
        <w:spacing w:line="580" w:lineRule="exact"/>
        <w:ind w:firstLine="640"/>
        <w:jc w:val="both"/>
      </w:pPr>
      <w:r>
        <w:rPr>
          <w:rFonts w:ascii="仿宋_GB2312" w:hAnsi="仿宋_GB2312" w:eastAsia="仿宋_GB2312"/>
          <w:b w:val="0"/>
          <w:sz w:val="32"/>
        </w:rPr>
        <w:t>1.社会保障和就业支出(类)118.20万元,占9.37%。</w:t>
      </w:r>
    </w:p>
    <w:p w14:paraId="5A8F3177">
      <w:pPr>
        <w:spacing w:line="580" w:lineRule="exact"/>
        <w:ind w:firstLine="640"/>
        <w:jc w:val="both"/>
      </w:pPr>
      <w:r>
        <w:rPr>
          <w:rFonts w:ascii="仿宋_GB2312" w:hAnsi="仿宋_GB2312" w:eastAsia="仿宋_GB2312"/>
          <w:b w:val="0"/>
          <w:sz w:val="32"/>
        </w:rPr>
        <w:t>2.卫生健康支出(类)1,062.27万元,占84.22%。</w:t>
      </w:r>
    </w:p>
    <w:p w14:paraId="034118F3">
      <w:pPr>
        <w:spacing w:line="580" w:lineRule="exact"/>
        <w:ind w:firstLine="640"/>
        <w:jc w:val="both"/>
      </w:pPr>
      <w:r>
        <w:rPr>
          <w:rFonts w:ascii="仿宋_GB2312" w:hAnsi="仿宋_GB2312" w:eastAsia="仿宋_GB2312"/>
          <w:b w:val="0"/>
          <w:sz w:val="32"/>
        </w:rPr>
        <w:t>3.住房保障支出(类)80.76万元,占6.40%。</w:t>
      </w:r>
    </w:p>
    <w:p w14:paraId="46F4DE39">
      <w:pPr>
        <w:spacing w:line="640" w:lineRule="exact"/>
        <w:ind w:firstLine="640"/>
        <w:jc w:val="both"/>
        <w:outlineLvl w:val="3"/>
      </w:pPr>
      <w:r>
        <w:rPr>
          <w:rFonts w:ascii="楷体_GB2312" w:hAnsi="楷体_GB2312" w:eastAsia="楷体_GB2312"/>
          <w:b/>
          <w:sz w:val="32"/>
        </w:rPr>
        <w:t>（三）一般公共预算财政拨款支出决算具体情况</w:t>
      </w:r>
    </w:p>
    <w:p w14:paraId="20F28E61">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18.82万元，比上年决算增加7.45万元，增长65.52%,主要原因是：本年退休人员增加，退休人员基础绩效奖增加，退休费支出增加。</w:t>
      </w:r>
    </w:p>
    <w:p w14:paraId="6F4A858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99.38万元，比上年决算增加7.33万元，增长7.96%,主要原因是：本年在职人员工资基数调增，养老缴费基数上涨，相应支出增加。</w:t>
      </w:r>
    </w:p>
    <w:p w14:paraId="1003CFDF">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3.社会保障和就业支出(类)行政事业单位养老支出(款)机关事业单位职业年金缴费支出(项):支出决算数为0.00万元，比上年决算减少16.63万元，下降100.00%,主要原因是：本年</w:t>
      </w:r>
      <w:r>
        <w:rPr>
          <w:rFonts w:hint="eastAsia" w:ascii="仿宋_GB2312" w:hAnsi="仿宋_GB2312" w:eastAsia="仿宋_GB2312"/>
          <w:b w:val="0"/>
          <w:sz w:val="32"/>
          <w:lang w:val="en-US" w:eastAsia="zh-CN"/>
        </w:rPr>
        <w:t>退休人员职业年金在下一年做实</w:t>
      </w:r>
      <w:r>
        <w:rPr>
          <w:rFonts w:ascii="仿宋_GB2312" w:hAnsi="仿宋_GB2312" w:eastAsia="仿宋_GB2312"/>
          <w:b w:val="0"/>
          <w:sz w:val="32"/>
        </w:rPr>
        <w:t>，职业年金缴费较上年减少。</w:t>
      </w:r>
    </w:p>
    <w:p w14:paraId="3D675F15">
      <w:pPr>
        <w:spacing w:line="580" w:lineRule="exact"/>
        <w:ind w:firstLine="640"/>
        <w:jc w:val="both"/>
      </w:pPr>
      <w:r>
        <w:rPr>
          <w:rFonts w:ascii="仿宋_GB2312" w:hAnsi="仿宋_GB2312" w:eastAsia="仿宋_GB2312"/>
          <w:b w:val="0"/>
          <w:sz w:val="32"/>
        </w:rPr>
        <w:t>4.卫生健康支出(类)公共卫生(款)疾病预防控制机构(项):支出决算数为725.72万元，比上年决算减少80.39万元，下降9.97%,主要原因是：本年在职人员减少，相关人员经费支出较上年减少。</w:t>
      </w:r>
    </w:p>
    <w:p w14:paraId="1E01E18D">
      <w:pPr>
        <w:spacing w:line="580" w:lineRule="exact"/>
        <w:ind w:firstLine="640"/>
        <w:jc w:val="both"/>
      </w:pPr>
      <w:r>
        <w:rPr>
          <w:rFonts w:ascii="仿宋_GB2312" w:hAnsi="仿宋_GB2312" w:eastAsia="仿宋_GB2312"/>
          <w:b w:val="0"/>
          <w:sz w:val="32"/>
        </w:rPr>
        <w:t>5.卫生健康支出(类)公共卫生(款)基本公共卫生服务(项):支出决算数为18.40万元，比上年决算减少20.90万元，下降53.18%,主要原因是：本年基本公共卫生服务专项资金支出较上年减少。</w:t>
      </w:r>
    </w:p>
    <w:p w14:paraId="5DCA0E04">
      <w:pPr>
        <w:spacing w:line="580" w:lineRule="exact"/>
        <w:ind w:firstLine="640"/>
        <w:jc w:val="both"/>
      </w:pPr>
      <w:r>
        <w:rPr>
          <w:rFonts w:ascii="仿宋_GB2312" w:hAnsi="仿宋_GB2312" w:eastAsia="仿宋_GB2312"/>
          <w:b w:val="0"/>
          <w:sz w:val="32"/>
        </w:rPr>
        <w:t>6.卫生健康支出(类)公共卫生(款)重大公共卫生服务(项):支出决算数为246.46万元，比上年决算减少81.82万元，下降24.92%,主要原因是：本年中央重大公共卫生服务专项资金支出较上年减少。</w:t>
      </w:r>
    </w:p>
    <w:p w14:paraId="57ABC311">
      <w:pPr>
        <w:spacing w:line="580" w:lineRule="exact"/>
        <w:ind w:firstLine="640"/>
        <w:jc w:val="both"/>
      </w:pPr>
      <w:r>
        <w:rPr>
          <w:rFonts w:ascii="仿宋_GB2312" w:hAnsi="仿宋_GB2312" w:eastAsia="仿宋_GB2312"/>
          <w:b w:val="0"/>
          <w:sz w:val="32"/>
        </w:rPr>
        <w:t>7.卫生健康支出(类)公共卫生(款)其他公共卫生支出(项):支出决算数为22.00万元，比上年决算增加7.30万元，增长49.66%,主要原因是：本年其他基本公共卫生服务专项资金较上年增加。</w:t>
      </w:r>
    </w:p>
    <w:p w14:paraId="6243E71B">
      <w:pPr>
        <w:spacing w:line="580" w:lineRule="exact"/>
        <w:ind w:firstLine="640"/>
        <w:jc w:val="both"/>
      </w:pPr>
      <w:r>
        <w:rPr>
          <w:rFonts w:ascii="仿宋_GB2312" w:hAnsi="仿宋_GB2312" w:eastAsia="仿宋_GB2312"/>
          <w:b w:val="0"/>
          <w:sz w:val="32"/>
        </w:rPr>
        <w:t>8.卫生健康支出(类)行政事业单位医疗(款)事业单位医疗(项):支出决算数为49.69万元，比上年决算减少9.25万元，下降15.69%,主要原因是：本年在职人员减少，导致事业单位</w:t>
      </w:r>
      <w:r>
        <w:rPr>
          <w:rFonts w:hint="eastAsia" w:ascii="仿宋_GB2312" w:hAnsi="仿宋_GB2312" w:eastAsia="仿宋_GB2312"/>
          <w:b w:val="0"/>
          <w:sz w:val="32"/>
          <w:lang w:eastAsia="zh-CN"/>
        </w:rPr>
        <w:t>医疗</w:t>
      </w:r>
      <w:r>
        <w:rPr>
          <w:rFonts w:ascii="仿宋_GB2312" w:hAnsi="仿宋_GB2312" w:eastAsia="仿宋_GB2312"/>
          <w:b w:val="0"/>
          <w:sz w:val="32"/>
        </w:rPr>
        <w:t>较上年减少。</w:t>
      </w:r>
    </w:p>
    <w:p w14:paraId="42ADB186">
      <w:pPr>
        <w:spacing w:line="580" w:lineRule="exact"/>
        <w:ind w:firstLine="640"/>
        <w:jc w:val="both"/>
      </w:pPr>
      <w:r>
        <w:rPr>
          <w:rFonts w:ascii="仿宋_GB2312" w:hAnsi="仿宋_GB2312" w:eastAsia="仿宋_GB2312"/>
          <w:b w:val="0"/>
          <w:sz w:val="32"/>
        </w:rPr>
        <w:t>9.住房保障支出(类)住房改革支出(款)住房公积金(项):支出决算数为80.76万元，比上年决算增加4.52万元，增长5.93%,主要原因是：本年在职人员工资基数调增，公积金缴费基数上涨，相应支出增加。</w:t>
      </w:r>
    </w:p>
    <w:p w14:paraId="15E2EAAA">
      <w:pPr>
        <w:spacing w:line="640" w:lineRule="exact"/>
        <w:ind w:firstLine="640"/>
        <w:jc w:val="both"/>
        <w:outlineLvl w:val="2"/>
      </w:pPr>
      <w:r>
        <w:rPr>
          <w:rFonts w:ascii="黑体" w:hAnsi="黑体" w:eastAsia="黑体"/>
          <w:sz w:val="32"/>
        </w:rPr>
        <w:t>六、一般公共预算财政拨款基本支出决算情况说明</w:t>
      </w:r>
    </w:p>
    <w:p w14:paraId="41F54F00">
      <w:pPr>
        <w:spacing w:line="580" w:lineRule="exact"/>
        <w:ind w:firstLine="640"/>
        <w:jc w:val="both"/>
      </w:pPr>
      <w:r>
        <w:rPr>
          <w:rFonts w:ascii="仿宋_GB2312" w:hAnsi="仿宋_GB2312" w:eastAsia="仿宋_GB2312"/>
          <w:b w:val="0"/>
          <w:sz w:val="32"/>
        </w:rPr>
        <w:t>2024年度一般公共预算财政拨款基本支出974.37万元，其中：</w:t>
      </w:r>
      <w:r>
        <w:rPr>
          <w:rFonts w:ascii="仿宋_GB2312" w:hAnsi="仿宋_GB2312" w:eastAsia="仿宋_GB2312"/>
          <w:b/>
          <w:sz w:val="32"/>
        </w:rPr>
        <w:t>人员经费971.61万元，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包括：基本工资、津贴补贴、奖金、绩效工资、机关事业单位基本养老保险缴费、职工基本医疗保险缴费、其他社会保障缴费、住房公积金、退休费、抚恤金、生活补助、奖励金。</w:t>
      </w:r>
    </w:p>
    <w:p w14:paraId="463023B3">
      <w:pPr>
        <w:spacing w:line="580" w:lineRule="exact"/>
        <w:ind w:firstLine="640"/>
        <w:jc w:val="both"/>
      </w:pPr>
      <w:r>
        <w:rPr>
          <w:rFonts w:ascii="仿宋_GB2312" w:hAnsi="仿宋_GB2312" w:eastAsia="仿宋_GB2312"/>
          <w:b/>
          <w:sz w:val="32"/>
        </w:rPr>
        <w:t>公用经费2.76万元，</w:t>
      </w:r>
      <w:r>
        <w:rPr>
          <w:rFonts w:ascii="仿宋_GB2312" w:hAnsi="仿宋_GB2312" w:eastAsia="仿宋_GB2312"/>
          <w:b w:val="0"/>
          <w:sz w:val="32"/>
        </w:rPr>
        <w:t>包括：工会经费、福利费。</w:t>
      </w:r>
    </w:p>
    <w:p w14:paraId="5AFAAEDA">
      <w:pPr>
        <w:spacing w:line="640" w:lineRule="exact"/>
        <w:ind w:firstLine="640"/>
        <w:jc w:val="both"/>
        <w:outlineLvl w:val="2"/>
      </w:pPr>
      <w:r>
        <w:rPr>
          <w:rFonts w:ascii="黑体" w:hAnsi="黑体" w:eastAsia="黑体"/>
          <w:sz w:val="32"/>
        </w:rPr>
        <w:t>七、政府性基金预算财政拨款收入支出决算情况说明</w:t>
      </w:r>
    </w:p>
    <w:p w14:paraId="0081283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7703696">
      <w:pPr>
        <w:spacing w:line="640" w:lineRule="exact"/>
        <w:ind w:firstLine="640"/>
        <w:jc w:val="both"/>
        <w:outlineLvl w:val="2"/>
      </w:pPr>
      <w:r>
        <w:rPr>
          <w:rFonts w:ascii="黑体" w:hAnsi="黑体" w:eastAsia="黑体"/>
          <w:sz w:val="32"/>
        </w:rPr>
        <w:t>八、国有资本经营预算财政拨款收入支出决算情况说明</w:t>
      </w:r>
    </w:p>
    <w:p w14:paraId="3A3A011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B91A608">
      <w:pPr>
        <w:spacing w:line="640" w:lineRule="exact"/>
        <w:ind w:firstLine="640"/>
        <w:jc w:val="both"/>
        <w:outlineLvl w:val="2"/>
      </w:pPr>
      <w:r>
        <w:rPr>
          <w:rFonts w:ascii="黑体" w:hAnsi="黑体" w:eastAsia="黑体"/>
          <w:sz w:val="32"/>
        </w:rPr>
        <w:t>九、财政拨款“三公”经费支出决算情况说明</w:t>
      </w:r>
    </w:p>
    <w:p w14:paraId="3687B5B8">
      <w:pPr>
        <w:spacing w:line="580" w:lineRule="exact"/>
        <w:ind w:firstLine="640"/>
        <w:jc w:val="both"/>
      </w:pPr>
      <w:r>
        <w:rPr>
          <w:rFonts w:ascii="仿宋_GB2312" w:hAnsi="仿宋_GB2312" w:eastAsia="仿宋_GB2312"/>
          <w:b/>
          <w:sz w:val="32"/>
        </w:rPr>
        <w:t>2024年度财政拨款“三公”经费支出4.32万元，</w:t>
      </w:r>
      <w:r>
        <w:rPr>
          <w:rFonts w:ascii="仿宋_GB2312" w:hAnsi="仿宋_GB2312" w:eastAsia="仿宋_GB2312"/>
          <w:b w:val="0"/>
          <w:sz w:val="32"/>
        </w:rPr>
        <w:t>比上年减少8.71万元，下降66.85%，主要原因是：本年度减少车辆使用次数，故车辆燃油费及车辆维修费减少。其中：因公出国（境）费支出0.00万元，占0.00%，比上年增加0.00万元，增长0.00%，主要原因是：2023年与2024年均未安排因公出国（境）费支出。公务用车购置及运行维护费支出4.32万元，占100.00%，比上年减少8.71万元，下降66.85%，主要原因是：本年度减少车辆使用次数，故车辆燃油费及车辆维修费减少。公务接待费支出0.00万元，占0.00%，比上年增加0.00万元，增长0.00%，主要原因是：2023年与2024年均未安排公务接待费支出。</w:t>
      </w:r>
    </w:p>
    <w:p w14:paraId="759223DA">
      <w:pPr>
        <w:spacing w:line="580" w:lineRule="exact"/>
        <w:ind w:firstLine="640"/>
        <w:jc w:val="both"/>
      </w:pPr>
      <w:r>
        <w:rPr>
          <w:rFonts w:ascii="仿宋_GB2312" w:hAnsi="仿宋_GB2312" w:eastAsia="仿宋_GB2312"/>
          <w:b/>
          <w:sz w:val="32"/>
        </w:rPr>
        <w:t>具体情况如下：</w:t>
      </w:r>
    </w:p>
    <w:p w14:paraId="4945A56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7B7722C">
      <w:pPr>
        <w:spacing w:line="580" w:lineRule="exact"/>
        <w:ind w:firstLine="640"/>
        <w:jc w:val="both"/>
      </w:pPr>
      <w:r>
        <w:rPr>
          <w:rFonts w:ascii="仿宋_GB2312" w:hAnsi="仿宋_GB2312" w:eastAsia="仿宋_GB2312"/>
          <w:b w:val="0"/>
          <w:sz w:val="32"/>
        </w:rPr>
        <w:t>公务用车购置及运行维护费4.32万元，其中：公务用车购置费0.00万元，公务用车运行维护费4.32万元。公务用车运行维护费开支内容包括车辆加油费、维修费、保险费、审车费、过路费。公务用车购置数0辆，公务用车保有量4辆。国有资产占用情况中固定资产车辆4辆，与公务用车保有量差异原因是：本单位固定资产车辆与公务用车保有量一致无差异。</w:t>
      </w:r>
    </w:p>
    <w:p w14:paraId="4E0D40B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7FB9D4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4.32万元，决算数4.32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4.32万元，决算数4.32万元，预决算差异率0.00%，主要原因是：严格按照预算执行，预决算无差异。公务接待费全年预算数0.00万元，决算数0.00万元，预决算差异率0.00%，主要原因是：本单位无公务接待费。</w:t>
      </w:r>
    </w:p>
    <w:p w14:paraId="70C1A9A9">
      <w:pPr>
        <w:spacing w:line="640" w:lineRule="exact"/>
        <w:ind w:firstLine="640"/>
        <w:jc w:val="both"/>
        <w:outlineLvl w:val="2"/>
      </w:pPr>
      <w:r>
        <w:rPr>
          <w:rFonts w:ascii="黑体" w:hAnsi="黑体" w:eastAsia="黑体"/>
          <w:sz w:val="32"/>
        </w:rPr>
        <w:t>十、其他重要事项的情况说明</w:t>
      </w:r>
    </w:p>
    <w:p w14:paraId="5A813FE8">
      <w:pPr>
        <w:spacing w:line="640" w:lineRule="exact"/>
        <w:ind w:firstLine="640"/>
        <w:jc w:val="both"/>
        <w:outlineLvl w:val="3"/>
      </w:pPr>
      <w:r>
        <w:rPr>
          <w:rFonts w:ascii="楷体_GB2312" w:hAnsi="楷体_GB2312" w:eastAsia="楷体_GB2312"/>
          <w:b/>
          <w:sz w:val="32"/>
        </w:rPr>
        <w:t>（一）机关运行经费及公用经费支出情况</w:t>
      </w:r>
    </w:p>
    <w:p w14:paraId="2B0A05BA">
      <w:pPr>
        <w:spacing w:line="580" w:lineRule="exact"/>
        <w:ind w:firstLine="640"/>
        <w:jc w:val="both"/>
      </w:pPr>
      <w:r>
        <w:rPr>
          <w:rFonts w:ascii="仿宋_GB2312" w:hAnsi="仿宋_GB2312" w:eastAsia="仿宋_GB2312"/>
          <w:b w:val="0"/>
          <w:sz w:val="32"/>
        </w:rPr>
        <w:t>2024年度霍城县疾病预防控制中心（事业单位）公用经费支出2.76万元，比上年减少1.16万元，下降29.59%，主要原因是：严格控制公用经费，合理节约办公用品，减少不必要开支。</w:t>
      </w:r>
    </w:p>
    <w:p w14:paraId="3D6A7A33">
      <w:pPr>
        <w:spacing w:line="640" w:lineRule="exact"/>
        <w:ind w:firstLine="640"/>
        <w:jc w:val="both"/>
        <w:outlineLvl w:val="3"/>
      </w:pPr>
      <w:r>
        <w:rPr>
          <w:rFonts w:ascii="楷体_GB2312" w:hAnsi="楷体_GB2312" w:eastAsia="楷体_GB2312"/>
          <w:b/>
          <w:sz w:val="32"/>
        </w:rPr>
        <w:t>（二）政府采购情况</w:t>
      </w:r>
    </w:p>
    <w:p w14:paraId="6710D61F">
      <w:pPr>
        <w:spacing w:line="580" w:lineRule="exact"/>
        <w:ind w:firstLine="640"/>
        <w:jc w:val="both"/>
      </w:pPr>
      <w:r>
        <w:rPr>
          <w:rFonts w:ascii="仿宋_GB2312" w:hAnsi="仿宋_GB2312" w:eastAsia="仿宋_GB2312"/>
          <w:b w:val="0"/>
          <w:sz w:val="32"/>
        </w:rPr>
        <w:t>2024年度政府采购支出总额11.59万元，其中：政府采购货物支出5.50万元、政府采购工程支出0.00万元、政府采购服务支出6.09万元。</w:t>
      </w:r>
    </w:p>
    <w:p w14:paraId="4E52EB79">
      <w:pPr>
        <w:spacing w:line="580" w:lineRule="exact"/>
        <w:ind w:firstLine="640"/>
        <w:jc w:val="both"/>
      </w:pPr>
      <w:r>
        <w:rPr>
          <w:rFonts w:ascii="仿宋_GB2312" w:hAnsi="仿宋_GB2312" w:eastAsia="仿宋_GB2312"/>
          <w:b w:val="0"/>
          <w:sz w:val="32"/>
        </w:rPr>
        <w:t>授予中小企业合同金额11.59万元，占政府采购支出总额的100.00%，其中：授予小微企业合同金额11.59万元，占政府采购支出总额的100.00%。</w:t>
      </w:r>
    </w:p>
    <w:p w14:paraId="0C31C411">
      <w:pPr>
        <w:spacing w:line="640" w:lineRule="exact"/>
        <w:ind w:firstLine="640"/>
        <w:jc w:val="both"/>
        <w:outlineLvl w:val="3"/>
      </w:pPr>
      <w:r>
        <w:rPr>
          <w:rFonts w:ascii="楷体_GB2312" w:hAnsi="楷体_GB2312" w:eastAsia="楷体_GB2312"/>
          <w:b/>
          <w:sz w:val="32"/>
        </w:rPr>
        <w:t>（三）国有资产占用情况说明</w:t>
      </w:r>
    </w:p>
    <w:p w14:paraId="7AD27C37">
      <w:pPr>
        <w:spacing w:line="580" w:lineRule="exact"/>
        <w:ind w:firstLine="640"/>
        <w:jc w:val="both"/>
      </w:pPr>
      <w:r>
        <w:rPr>
          <w:rFonts w:ascii="仿宋_GB2312" w:hAnsi="仿宋_GB2312" w:eastAsia="仿宋_GB2312"/>
          <w:b w:val="0"/>
          <w:sz w:val="32"/>
        </w:rPr>
        <w:t>截至2024年12月31日，房屋4,091.48平方米，价值1,112.53万元。车辆4辆，价值81.78万元，其中：副部（省）级及以上领导用车0辆、主要负责人用车0辆、机要通信用车0辆、应急保障用车1辆、执法执勤用车0辆、特种专业技术用车1辆、离退休干部服务用车0辆、其他用车2辆，其他用车主要是：一般公务用车。单价100万元（含）以上设备（不含车辆）0台（套）。</w:t>
      </w:r>
    </w:p>
    <w:p w14:paraId="4FB9312C">
      <w:pPr>
        <w:spacing w:line="640" w:lineRule="exact"/>
        <w:ind w:firstLine="640"/>
        <w:jc w:val="both"/>
        <w:outlineLvl w:val="2"/>
      </w:pPr>
      <w:r>
        <w:rPr>
          <w:rFonts w:ascii="黑体" w:hAnsi="黑体" w:eastAsia="黑体"/>
          <w:sz w:val="32"/>
        </w:rPr>
        <w:t>十一、预算绩效的情况说明</w:t>
      </w:r>
    </w:p>
    <w:p w14:paraId="7619B59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1,382.45万元，实际执行总额1,382.45万元；预算绩效评价项目1个，全年预算数116.30万元，全年执行数116.30万元。预算绩效管理取得的成效：一是在制定各类资金管理办法时，明确绩效结果应用要求，规范绩效因素使用方式。将重点绩效评价结果反馈被评价部门，及时督促整改；二是将绩效管理融入预算编制、执行、监督全过程。强化绩效目标管理，不断提高绩效目标的科学性、规范性。组织开展绩效运行监控，加强监控结果应用。发现的问题及原因：公共卫生防治体系和应急机制不健全。疾病预防控制、保障任务十分艰巨，应急人员、物资储备不足，应对突发公共卫生事件的反应和应急救治能力还需进一步提高。下一步改进措施：1、从源头抓起，科学合理编制经费预算。根据中央和省、市、县财政预算改革的有 关要求，结合单位实际需要，按标准、按项目科学认真编制部门预算。逐步实现全面预算管理，加强事前控制，及时分析、总结及评估，不断提高预算编制的准确性，提高可操作性。2、</w:t>
      </w:r>
      <w:r>
        <w:rPr>
          <w:rFonts w:hint="eastAsia" w:ascii="仿宋_GB2312" w:hAnsi="仿宋_GB2312" w:eastAsia="仿宋_GB2312"/>
          <w:b w:val="0"/>
          <w:sz w:val="32"/>
          <w:lang w:eastAsia="zh-CN"/>
        </w:rPr>
        <w:t>预算</w:t>
      </w:r>
      <w:r>
        <w:rPr>
          <w:rFonts w:ascii="仿宋_GB2312" w:hAnsi="仿宋_GB2312" w:eastAsia="仿宋_GB2312"/>
          <w:b w:val="0"/>
          <w:sz w:val="32"/>
        </w:rPr>
        <w:t>执行方面，支出总额基本控制在预算总额以内；不存在截留或滞留专项资金情况。支持和督促业务办理人员参加各种业务培训，不断提高国有资产管理业务能力。具体附整体支出绩效自评表，项目支出绩效自评表和评价报告。</w:t>
      </w:r>
    </w:p>
    <w:p w14:paraId="7BA4BFD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FE55EE1">
        <w:tblPrEx>
          <w:tblCellMar>
            <w:top w:w="0" w:type="dxa"/>
            <w:left w:w="108" w:type="dxa"/>
            <w:bottom w:w="0" w:type="dxa"/>
            <w:right w:w="108" w:type="dxa"/>
          </w:tblCellMar>
        </w:tblPrEx>
        <w:tc>
          <w:tcPr>
            <w:tcW w:w="8840" w:type="dxa"/>
            <w:gridSpan w:val="8"/>
            <w:vAlign w:val="center"/>
          </w:tcPr>
          <w:p w14:paraId="726A1DEC">
            <w:pPr>
              <w:jc w:val="center"/>
            </w:pPr>
            <w:r>
              <w:rPr>
                <w:rFonts w:ascii="宋体" w:hAnsi="宋体" w:eastAsia="宋体"/>
                <w:sz w:val="24"/>
              </w:rPr>
              <w:t>单位整体支出绩效自评表</w:t>
            </w:r>
          </w:p>
        </w:tc>
      </w:tr>
      <w:tr w14:paraId="62FE0061">
        <w:tblPrEx>
          <w:tblCellMar>
            <w:top w:w="0" w:type="dxa"/>
            <w:left w:w="108" w:type="dxa"/>
            <w:bottom w:w="0" w:type="dxa"/>
            <w:right w:w="108" w:type="dxa"/>
          </w:tblCellMar>
        </w:tblPrEx>
        <w:tc>
          <w:tcPr>
            <w:tcW w:w="8840" w:type="dxa"/>
            <w:gridSpan w:val="8"/>
            <w:vAlign w:val="center"/>
          </w:tcPr>
          <w:p w14:paraId="6999771F">
            <w:pPr>
              <w:jc w:val="center"/>
            </w:pPr>
            <w:r>
              <w:rPr>
                <w:rFonts w:ascii="宋体" w:hAnsi="宋体" w:eastAsia="宋体"/>
                <w:sz w:val="24"/>
              </w:rPr>
              <w:t>（2024年度）</w:t>
            </w:r>
          </w:p>
        </w:tc>
      </w:tr>
      <w:tr w14:paraId="644E779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8D6C0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79BCD8">
            <w:pPr>
              <w:jc w:val="center"/>
            </w:pPr>
            <w:r>
              <w:rPr>
                <w:rFonts w:ascii="宋体" w:hAnsi="宋体" w:eastAsia="宋体"/>
                <w:sz w:val="16"/>
              </w:rPr>
              <w:t>霍城县疾病预防控制中心</w:t>
            </w:r>
          </w:p>
        </w:tc>
      </w:tr>
      <w:tr w14:paraId="6B6B1F2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D673C">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F7568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61A4A1">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533445">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8CA167">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C402C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9230A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79CA2">
            <w:pPr>
              <w:jc w:val="center"/>
            </w:pPr>
            <w:r>
              <w:rPr>
                <w:rFonts w:ascii="宋体" w:hAnsi="宋体" w:eastAsia="宋体"/>
                <w:sz w:val="16"/>
              </w:rPr>
              <w:t>得分</w:t>
            </w:r>
          </w:p>
        </w:tc>
      </w:tr>
      <w:tr w14:paraId="2B39785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AF1A0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0F029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06EB8">
            <w:pPr>
              <w:jc w:val="center"/>
            </w:pPr>
            <w:r>
              <w:rPr>
                <w:rFonts w:ascii="宋体" w:hAnsi="宋体" w:eastAsia="宋体"/>
                <w:sz w:val="16"/>
              </w:rPr>
              <w:t>1,122.87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ED6BB3">
            <w:pPr>
              <w:jc w:val="center"/>
            </w:pPr>
            <w:r>
              <w:rPr>
                <w:rFonts w:ascii="宋体" w:hAnsi="宋体" w:eastAsia="宋体"/>
                <w:sz w:val="16"/>
              </w:rPr>
              <w:t>1,382.45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E9A482">
            <w:pPr>
              <w:jc w:val="center"/>
            </w:pPr>
            <w:r>
              <w:rPr>
                <w:rFonts w:ascii="宋体" w:hAnsi="宋体" w:eastAsia="宋体"/>
                <w:sz w:val="16"/>
              </w:rPr>
              <w:t>1,382.45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CB2FC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46B2A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6B2117">
            <w:pPr>
              <w:jc w:val="center"/>
            </w:pPr>
            <w:r>
              <w:rPr>
                <w:rFonts w:ascii="宋体" w:hAnsi="宋体" w:eastAsia="宋体"/>
                <w:sz w:val="16"/>
              </w:rPr>
              <w:t>10</w:t>
            </w:r>
          </w:p>
        </w:tc>
      </w:tr>
      <w:tr w14:paraId="457D4D6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D9140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896FDA">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DBA4C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4E56B3">
            <w:pPr>
              <w:jc w:val="center"/>
            </w:pPr>
            <w:r>
              <w:rPr>
                <w:rFonts w:ascii="宋体" w:hAnsi="宋体" w:eastAsia="宋体"/>
                <w:sz w:val="16"/>
              </w:rPr>
              <w:t>286.86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7F4967">
            <w:pPr>
              <w:jc w:val="center"/>
            </w:pPr>
            <w:r>
              <w:rPr>
                <w:rFonts w:ascii="宋体" w:hAnsi="宋体" w:eastAsia="宋体"/>
                <w:sz w:val="16"/>
              </w:rPr>
              <w:t>286.86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0EBB1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73B67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E4D0D7">
            <w:pPr>
              <w:jc w:val="center"/>
            </w:pPr>
            <w:r>
              <w:rPr>
                <w:rFonts w:ascii="宋体" w:hAnsi="宋体" w:eastAsia="宋体"/>
                <w:sz w:val="16"/>
              </w:rPr>
              <w:t>-</w:t>
            </w:r>
          </w:p>
        </w:tc>
      </w:tr>
      <w:tr w14:paraId="54AF2AF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10699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EEE73C">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4D3C8B">
            <w:pPr>
              <w:jc w:val="center"/>
            </w:pPr>
            <w:r>
              <w:rPr>
                <w:rFonts w:ascii="宋体" w:hAnsi="宋体" w:eastAsia="宋体"/>
                <w:sz w:val="16"/>
              </w:rPr>
              <w:t>1,006.57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F6CC82">
            <w:pPr>
              <w:jc w:val="center"/>
            </w:pPr>
            <w:r>
              <w:rPr>
                <w:rFonts w:ascii="宋体" w:hAnsi="宋体" w:eastAsia="宋体"/>
                <w:sz w:val="16"/>
              </w:rPr>
              <w:t>1,095.59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54889A">
            <w:pPr>
              <w:jc w:val="center"/>
            </w:pPr>
            <w:r>
              <w:rPr>
                <w:rFonts w:ascii="宋体" w:hAnsi="宋体" w:eastAsia="宋体"/>
                <w:sz w:val="16"/>
              </w:rPr>
              <w:t>1,095.59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95D73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655AE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89D858">
            <w:pPr>
              <w:jc w:val="center"/>
            </w:pPr>
            <w:r>
              <w:rPr>
                <w:rFonts w:ascii="宋体" w:hAnsi="宋体" w:eastAsia="宋体"/>
                <w:sz w:val="16"/>
              </w:rPr>
              <w:t>-</w:t>
            </w:r>
          </w:p>
        </w:tc>
      </w:tr>
      <w:tr w14:paraId="179308D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5272D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4BC79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D652A4">
            <w:pPr>
              <w:jc w:val="center"/>
            </w:pPr>
            <w:r>
              <w:rPr>
                <w:rFonts w:ascii="宋体" w:hAnsi="宋体" w:eastAsia="宋体"/>
                <w:sz w:val="16"/>
              </w:rPr>
              <w:t>116.30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373DE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C8DCB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3326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4A6D2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A52459">
            <w:pPr>
              <w:jc w:val="center"/>
            </w:pPr>
            <w:r>
              <w:rPr>
                <w:rFonts w:ascii="宋体" w:hAnsi="宋体" w:eastAsia="宋体"/>
                <w:sz w:val="16"/>
              </w:rPr>
              <w:t>-</w:t>
            </w:r>
          </w:p>
        </w:tc>
      </w:tr>
      <w:tr w14:paraId="77C87FC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68DFE9">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CEF75A">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1F93EA">
            <w:pPr>
              <w:jc w:val="center"/>
            </w:pPr>
            <w:r>
              <w:rPr>
                <w:rFonts w:ascii="宋体" w:hAnsi="宋体" w:eastAsia="宋体"/>
                <w:sz w:val="16"/>
              </w:rPr>
              <w:t>实际完成情况</w:t>
            </w:r>
          </w:p>
        </w:tc>
      </w:tr>
      <w:tr w14:paraId="0A438BC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56EB7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813720">
            <w:pPr>
              <w:jc w:val="both"/>
            </w:pPr>
            <w:r>
              <w:rPr>
                <w:rFonts w:ascii="宋体" w:hAnsi="宋体" w:eastAsia="宋体"/>
                <w:sz w:val="16"/>
              </w:rPr>
              <w:t xml:space="preserve">一、全面贯彻落实国家疾控任务，深化疾病预防控制质量体系管理；二、强化疾病预防控制，加强各医疗机构传染病网络 </w:t>
            </w:r>
            <w:r>
              <w:rPr>
                <w:rFonts w:hint="eastAsia" w:ascii="宋体" w:hAnsi="宋体"/>
                <w:sz w:val="16"/>
                <w:lang w:eastAsia="zh-CN"/>
              </w:rPr>
              <w:t>直播</w:t>
            </w:r>
            <w:r>
              <w:rPr>
                <w:rFonts w:ascii="宋体" w:hAnsi="宋体" w:eastAsia="宋体"/>
                <w:sz w:val="16"/>
              </w:rPr>
              <w:t>监督检查，分析YQ及传染病流行趋势；三、加强免疫规划工作培训，提升疫苗接种率；四、落实AZB、结核病高危人群的行为干预工作要求，做好随访管理工作；五是提高居民健康知识知晓率。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0D6108">
            <w:pPr>
              <w:jc w:val="both"/>
            </w:pPr>
            <w:r>
              <w:rPr>
                <w:rFonts w:ascii="宋体" w:hAnsi="宋体" w:eastAsia="宋体"/>
                <w:sz w:val="16"/>
              </w:rPr>
              <w:t>2024年霍城县疾病预防控制中心免疫规划工作疫苗接种率为98%以上，保障疫苗充足提高健康水平；azb防治全面达标配偶检测 99.2%，抗病毒治疗覆盖率96.7%，治疗有效率 96.4%，病毒载量检测 98.4%，结核病筛查率97.7%。二是完成国家级 400 人暗娼哨点及250 名吸毒人员哨点任务；结核病防治工作规范服药率95%，更加规范化管理病人有利于病人追踪；传染病报告及时率100%，做好吹哨人，避免发生重大</w:t>
            </w:r>
            <w:r>
              <w:rPr>
                <w:rFonts w:hint="eastAsia" w:ascii="宋体" w:hAnsi="宋体"/>
                <w:sz w:val="16"/>
                <w:lang w:eastAsia="zh-CN"/>
              </w:rPr>
              <w:t>防YQ</w:t>
            </w:r>
            <w:r>
              <w:rPr>
                <w:rFonts w:ascii="宋体" w:hAnsi="宋体" w:eastAsia="宋体"/>
                <w:sz w:val="16"/>
              </w:rPr>
              <w:t>况，同时提高居民健康意识。</w:t>
            </w:r>
          </w:p>
        </w:tc>
      </w:tr>
      <w:tr w14:paraId="193B7D2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8D026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06E8B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3E9E6C">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250955">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4C47D0">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C5178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26C222">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938B0C">
            <w:pPr>
              <w:jc w:val="center"/>
            </w:pPr>
            <w:r>
              <w:rPr>
                <w:rFonts w:ascii="宋体" w:hAnsi="宋体" w:eastAsia="宋体"/>
                <w:sz w:val="16"/>
              </w:rPr>
              <w:t>得分</w:t>
            </w:r>
          </w:p>
        </w:tc>
      </w:tr>
      <w:tr w14:paraId="36F33DB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B6F12E">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55EA2">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6AF702">
            <w:pPr>
              <w:jc w:val="center"/>
            </w:pPr>
            <w:r>
              <w:rPr>
                <w:rFonts w:ascii="宋体" w:hAnsi="宋体" w:eastAsia="宋体"/>
                <w:sz w:val="16"/>
              </w:rPr>
              <w:t>AZB病人抗病毒治疗、随访管理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7ED97D">
            <w:pPr>
              <w:jc w:val="center"/>
            </w:pPr>
            <w:r>
              <w:rPr>
                <w:rFonts w:ascii="宋体" w:hAnsi="宋体" w:eastAsia="宋体"/>
                <w:sz w:val="16"/>
              </w:rPr>
              <w:t>&gt;=1210次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86E2FC">
            <w:pPr>
              <w:jc w:val="center"/>
            </w:pPr>
            <w:r>
              <w:rPr>
                <w:rFonts w:ascii="宋体" w:hAnsi="宋体" w:eastAsia="宋体"/>
                <w:sz w:val="16"/>
              </w:rPr>
              <w:t>霍城县国民经济和社会发展第十四个五年规划纲要与2035年远景目标、关于印发2024年提前下达重大传染病防控项目实施方案的通知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6CF0B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AC1AF9">
            <w:pPr>
              <w:jc w:val="center"/>
            </w:pPr>
            <w:r>
              <w:rPr>
                <w:rFonts w:ascii="宋体" w:hAnsi="宋体" w:eastAsia="宋体"/>
                <w:sz w:val="16"/>
              </w:rPr>
              <w:t>1379次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B9A589">
            <w:pPr>
              <w:jc w:val="center"/>
            </w:pPr>
            <w:r>
              <w:rPr>
                <w:rFonts w:ascii="宋体" w:hAnsi="宋体" w:eastAsia="宋体"/>
                <w:sz w:val="16"/>
              </w:rPr>
              <w:t>15</w:t>
            </w:r>
          </w:p>
        </w:tc>
      </w:tr>
      <w:tr w14:paraId="366AF11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53CE8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DF127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484744">
            <w:pPr>
              <w:jc w:val="center"/>
            </w:pPr>
            <w:r>
              <w:rPr>
                <w:rFonts w:ascii="宋体" w:hAnsi="宋体" w:eastAsia="宋体"/>
                <w:sz w:val="16"/>
              </w:rPr>
              <w:t>结核病患者管理人数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4135C2">
            <w:pPr>
              <w:jc w:val="center"/>
            </w:pPr>
            <w:r>
              <w:rPr>
                <w:rFonts w:ascii="宋体" w:hAnsi="宋体" w:eastAsia="宋体"/>
                <w:sz w:val="16"/>
              </w:rPr>
              <w:t>&gt;=100人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28F4E">
            <w:pPr>
              <w:jc w:val="center"/>
            </w:pPr>
            <w:r>
              <w:rPr>
                <w:rFonts w:ascii="宋体" w:hAnsi="宋体" w:eastAsia="宋体"/>
                <w:sz w:val="16"/>
              </w:rPr>
              <w:t>霍城县国民经济和社会发展第十四个五年规划纲要与2035年远景目标、关于印发2024年提前下达重大传染病防控项目实施方案的通知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A6356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27BD5">
            <w:pPr>
              <w:jc w:val="center"/>
            </w:pPr>
            <w:r>
              <w:rPr>
                <w:rFonts w:ascii="宋体" w:hAnsi="宋体" w:eastAsia="宋体"/>
                <w:sz w:val="16"/>
              </w:rPr>
              <w:t>111人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8E8493">
            <w:pPr>
              <w:jc w:val="center"/>
            </w:pPr>
            <w:r>
              <w:rPr>
                <w:rFonts w:ascii="宋体" w:hAnsi="宋体" w:eastAsia="宋体"/>
                <w:sz w:val="16"/>
              </w:rPr>
              <w:t>15</w:t>
            </w:r>
          </w:p>
        </w:tc>
      </w:tr>
      <w:tr w14:paraId="36A70F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1FBE9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46657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2FA086">
            <w:pPr>
              <w:jc w:val="center"/>
            </w:pPr>
            <w:r>
              <w:rPr>
                <w:rFonts w:ascii="宋体" w:hAnsi="宋体" w:eastAsia="宋体"/>
                <w:sz w:val="16"/>
              </w:rPr>
              <w:t>精神病、高血压、2型糖尿病患者</w:t>
            </w:r>
            <w:bookmarkStart w:id="0" w:name="_GoBack"/>
            <w:r>
              <w:rPr>
                <w:rFonts w:ascii="宋体" w:hAnsi="宋体" w:eastAsia="宋体"/>
                <w:sz w:val="16"/>
              </w:rPr>
              <w:t>慢病</w:t>
            </w:r>
            <w:bookmarkEnd w:id="0"/>
            <w:r>
              <w:rPr>
                <w:rFonts w:ascii="宋体" w:hAnsi="宋体" w:eastAsia="宋体"/>
                <w:sz w:val="16"/>
              </w:rPr>
              <w:t>基层规范管理人数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B5B19">
            <w:pPr>
              <w:jc w:val="center"/>
            </w:pPr>
            <w:r>
              <w:rPr>
                <w:rFonts w:ascii="宋体" w:hAnsi="宋体" w:eastAsia="宋体"/>
                <w:sz w:val="16"/>
              </w:rPr>
              <w:t>&gt;=28000人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47ED2C">
            <w:pPr>
              <w:jc w:val="center"/>
            </w:pPr>
            <w:r>
              <w:rPr>
                <w:rFonts w:ascii="宋体" w:hAnsi="宋体" w:eastAsia="宋体"/>
                <w:sz w:val="16"/>
              </w:rPr>
              <w:t>霍城县国民经济和社会发展第十四个五年规划纲要与2035年远景目标、关于印发2024年提前下达重大传染病防控项目实施方案的通知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2AB4C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D00488">
            <w:pPr>
              <w:jc w:val="center"/>
            </w:pPr>
            <w:r>
              <w:rPr>
                <w:rFonts w:ascii="宋体" w:hAnsi="宋体" w:eastAsia="宋体"/>
                <w:sz w:val="16"/>
              </w:rPr>
              <w:t>29307人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C28D2A">
            <w:pPr>
              <w:jc w:val="center"/>
            </w:pPr>
            <w:r>
              <w:rPr>
                <w:rFonts w:ascii="宋体" w:hAnsi="宋体" w:eastAsia="宋体"/>
                <w:sz w:val="16"/>
              </w:rPr>
              <w:t>10</w:t>
            </w:r>
          </w:p>
        </w:tc>
      </w:tr>
      <w:tr w14:paraId="02A7B0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B3D02A"/>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9C2F9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6F90B8">
            <w:pPr>
              <w:jc w:val="center"/>
            </w:pPr>
            <w:r>
              <w:rPr>
                <w:rFonts w:ascii="宋体" w:hAnsi="宋体" w:eastAsia="宋体"/>
                <w:sz w:val="16"/>
              </w:rPr>
              <w:t>适龄儿童免疫规划疫苗接种率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C0A26E">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AE686A">
            <w:pPr>
              <w:jc w:val="center"/>
            </w:pPr>
            <w:r>
              <w:rPr>
                <w:rFonts w:ascii="宋体" w:hAnsi="宋体" w:eastAsia="宋体"/>
                <w:sz w:val="16"/>
              </w:rPr>
              <w:t>霍城县国民经济和社会发展第十四个五年规划纲要与2035年远景目标、关于印发2024年提前下达重大传染病防控项目实施方案的通知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B992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1837C3">
            <w:pPr>
              <w:jc w:val="center"/>
            </w:pPr>
            <w:r>
              <w:rPr>
                <w:rFonts w:ascii="宋体" w:hAnsi="宋体" w:eastAsia="宋体"/>
                <w:sz w:val="16"/>
              </w:rPr>
              <w:t>99.21%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DD8402">
            <w:pPr>
              <w:jc w:val="center"/>
            </w:pPr>
            <w:r>
              <w:rPr>
                <w:rFonts w:ascii="宋体" w:hAnsi="宋体" w:eastAsia="宋体"/>
                <w:sz w:val="16"/>
              </w:rPr>
              <w:t>10</w:t>
            </w:r>
          </w:p>
        </w:tc>
      </w:tr>
      <w:tr w14:paraId="3D07EF5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4D159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E489A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27787E">
            <w:pPr>
              <w:jc w:val="center"/>
            </w:pPr>
            <w:r>
              <w:rPr>
                <w:rFonts w:ascii="宋体" w:hAnsi="宋体" w:eastAsia="宋体"/>
                <w:sz w:val="16"/>
              </w:rPr>
              <w:t>肺结核患者规则服药率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8F2D4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32587F">
            <w:pPr>
              <w:jc w:val="center"/>
            </w:pPr>
            <w:r>
              <w:rPr>
                <w:rFonts w:ascii="宋体" w:hAnsi="宋体" w:eastAsia="宋体"/>
                <w:sz w:val="16"/>
              </w:rPr>
              <w:t>霍城县国民经济和社会发展第十四个五年规划纲要与2035年远景目标、关于印发2024年提前下达重大传染病防控项目实施方案的通知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B4D7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F4084A">
            <w:pPr>
              <w:jc w:val="center"/>
            </w:pPr>
            <w:r>
              <w:rPr>
                <w:rFonts w:ascii="宋体" w:hAnsi="宋体" w:eastAsia="宋体"/>
                <w:sz w:val="16"/>
              </w:rPr>
              <w:t>98.3%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C917E8">
            <w:pPr>
              <w:jc w:val="center"/>
            </w:pPr>
            <w:r>
              <w:rPr>
                <w:rFonts w:ascii="宋体" w:hAnsi="宋体" w:eastAsia="宋体"/>
                <w:sz w:val="16"/>
              </w:rPr>
              <w:t>10</w:t>
            </w:r>
          </w:p>
        </w:tc>
      </w:tr>
      <w:tr w14:paraId="1966883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67C84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BCC3D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349834">
            <w:pPr>
              <w:jc w:val="center"/>
            </w:pPr>
            <w:r>
              <w:rPr>
                <w:rFonts w:ascii="宋体" w:hAnsi="宋体" w:eastAsia="宋体"/>
                <w:sz w:val="16"/>
              </w:rPr>
              <w:t>AZB病人管理率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DEED3E">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4F9F27">
            <w:pPr>
              <w:jc w:val="center"/>
            </w:pPr>
            <w:r>
              <w:rPr>
                <w:rFonts w:ascii="宋体" w:hAnsi="宋体" w:eastAsia="宋体"/>
                <w:sz w:val="16"/>
              </w:rPr>
              <w:t>霍城县国民经济和社会发展第十四个五年规划纲要与2035年远景目标、关于印发2024年提前下达重大传染病防控项目实施方案的通知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16A64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C0B3A6">
            <w:pPr>
              <w:jc w:val="center"/>
            </w:pPr>
            <w:r>
              <w:rPr>
                <w:rFonts w:ascii="宋体" w:hAnsi="宋体" w:eastAsia="宋体"/>
                <w:sz w:val="16"/>
              </w:rPr>
              <w:t>96.7%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F40A96">
            <w:pPr>
              <w:jc w:val="center"/>
            </w:pPr>
            <w:r>
              <w:rPr>
                <w:rFonts w:ascii="宋体" w:hAnsi="宋体" w:eastAsia="宋体"/>
                <w:sz w:val="16"/>
              </w:rPr>
              <w:t>10</w:t>
            </w:r>
          </w:p>
        </w:tc>
      </w:tr>
      <w:tr w14:paraId="5F0015E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FD7EA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1149E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35FB09">
            <w:pPr>
              <w:jc w:val="center"/>
            </w:pPr>
            <w:r>
              <w:rPr>
                <w:rFonts w:ascii="宋体" w:hAnsi="宋体" w:eastAsia="宋体"/>
                <w:sz w:val="16"/>
              </w:rPr>
              <w:t>精神病、高血压、2型糖尿病患者慢病基层规范管理服务率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D01ECD">
            <w:pPr>
              <w:jc w:val="center"/>
            </w:pPr>
            <w:r>
              <w:rPr>
                <w:rFonts w:ascii="宋体" w:hAnsi="宋体" w:eastAsia="宋体"/>
                <w:sz w:val="16"/>
              </w:rPr>
              <w:t>&gt;=80%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93B11B">
            <w:pPr>
              <w:jc w:val="center"/>
            </w:pPr>
            <w:r>
              <w:rPr>
                <w:rFonts w:ascii="宋体" w:hAnsi="宋体" w:eastAsia="宋体"/>
                <w:sz w:val="16"/>
              </w:rPr>
              <w:t>霍城县国民经济和社会发展第十四个五年规划纲要与2035年远景目标、关于印发2024年提前下达重大传染病防控项目实施方案的通知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B767C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6DDD45">
            <w:pPr>
              <w:jc w:val="center"/>
            </w:pPr>
            <w:r>
              <w:rPr>
                <w:rFonts w:ascii="宋体" w:hAnsi="宋体" w:eastAsia="宋体"/>
                <w:sz w:val="16"/>
              </w:rPr>
              <w:t>88.4%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4EE9B">
            <w:pPr>
              <w:jc w:val="center"/>
            </w:pPr>
            <w:r>
              <w:rPr>
                <w:rFonts w:ascii="宋体" w:hAnsi="宋体" w:eastAsia="宋体"/>
                <w:sz w:val="16"/>
              </w:rPr>
              <w:t>10</w:t>
            </w:r>
          </w:p>
        </w:tc>
      </w:tr>
      <w:tr w14:paraId="75F81F1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29A3E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75074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35C653">
            <w:pPr>
              <w:jc w:val="center"/>
            </w:pPr>
            <w:r>
              <w:rPr>
                <w:rFonts w:ascii="宋体" w:hAnsi="宋体" w:eastAsia="宋体"/>
                <w:sz w:val="16"/>
              </w:rPr>
              <w:t>重大YQ直报及时率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FA7CA1">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66446">
            <w:pPr>
              <w:jc w:val="center"/>
            </w:pPr>
            <w:r>
              <w:rPr>
                <w:rFonts w:ascii="宋体" w:hAnsi="宋体" w:eastAsia="宋体"/>
                <w:sz w:val="16"/>
              </w:rPr>
              <w:t>霍城县国民经济和社会发展第十四个五年规划纲要与2035年远景目标、关于印发2024年提前下达重大传染病防控项目实施方案的通知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1D302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F345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A581C">
            <w:pPr>
              <w:jc w:val="center"/>
            </w:pPr>
            <w:r>
              <w:rPr>
                <w:rFonts w:ascii="宋体" w:hAnsi="宋体" w:eastAsia="宋体"/>
                <w:sz w:val="16"/>
              </w:rPr>
              <w:t>10</w:t>
            </w:r>
          </w:p>
        </w:tc>
      </w:tr>
    </w:tbl>
    <w:p w14:paraId="788A4DA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32"/>
        <w:gridCol w:w="632"/>
        <w:gridCol w:w="632"/>
        <w:gridCol w:w="632"/>
        <w:gridCol w:w="632"/>
        <w:gridCol w:w="632"/>
        <w:gridCol w:w="632"/>
        <w:gridCol w:w="632"/>
      </w:tblGrid>
      <w:tr w14:paraId="20F51283">
        <w:tblPrEx>
          <w:tblCellMar>
            <w:top w:w="0" w:type="dxa"/>
            <w:left w:w="108" w:type="dxa"/>
            <w:bottom w:w="0" w:type="dxa"/>
            <w:right w:w="108" w:type="dxa"/>
          </w:tblCellMar>
        </w:tblPrEx>
        <w:tc>
          <w:tcPr>
            <w:tcW w:w="8848" w:type="dxa"/>
            <w:gridSpan w:val="14"/>
            <w:vAlign w:val="center"/>
          </w:tcPr>
          <w:p w14:paraId="0AEEA326">
            <w:pPr>
              <w:jc w:val="center"/>
            </w:pPr>
            <w:r>
              <w:rPr>
                <w:rFonts w:ascii="宋体" w:hAnsi="宋体" w:eastAsia="宋体"/>
                <w:sz w:val="24"/>
              </w:rPr>
              <w:t>项目支出绩效自评表</w:t>
            </w:r>
          </w:p>
        </w:tc>
      </w:tr>
      <w:tr w14:paraId="1E0713BC">
        <w:tblPrEx>
          <w:tblCellMar>
            <w:top w:w="0" w:type="dxa"/>
            <w:left w:w="108" w:type="dxa"/>
            <w:bottom w:w="0" w:type="dxa"/>
            <w:right w:w="108" w:type="dxa"/>
          </w:tblCellMar>
        </w:tblPrEx>
        <w:tc>
          <w:tcPr>
            <w:tcW w:w="8848" w:type="dxa"/>
            <w:gridSpan w:val="14"/>
            <w:vAlign w:val="center"/>
          </w:tcPr>
          <w:p w14:paraId="7CB4ECD9">
            <w:pPr>
              <w:jc w:val="center"/>
            </w:pPr>
            <w:r>
              <w:rPr>
                <w:rFonts w:ascii="宋体" w:hAnsi="宋体" w:eastAsia="宋体"/>
                <w:sz w:val="24"/>
              </w:rPr>
              <w:t>(2024年度)</w:t>
            </w:r>
          </w:p>
        </w:tc>
      </w:tr>
      <w:tr w14:paraId="532361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4740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63AAF32">
            <w:pPr>
              <w:jc w:val="center"/>
            </w:pPr>
            <w:r>
              <w:rPr>
                <w:rFonts w:ascii="宋体" w:hAnsi="宋体" w:eastAsia="宋体"/>
                <w:sz w:val="16"/>
              </w:rPr>
              <w:t>2024年事业收入（自有资金）</w:t>
            </w:r>
          </w:p>
        </w:tc>
      </w:tr>
      <w:tr w14:paraId="5C20BF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BFB9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AB67FF">
            <w:pPr>
              <w:jc w:val="center"/>
            </w:pPr>
            <w:r>
              <w:rPr>
                <w:rFonts w:ascii="宋体" w:hAnsi="宋体" w:eastAsia="宋体"/>
                <w:sz w:val="16"/>
              </w:rPr>
              <w:t>霍城县疾病预防控制中心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D20D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CE07D8">
            <w:pPr>
              <w:jc w:val="center"/>
            </w:pPr>
            <w:r>
              <w:rPr>
                <w:rFonts w:ascii="宋体" w:hAnsi="宋体" w:eastAsia="宋体"/>
                <w:sz w:val="16"/>
              </w:rPr>
              <w:t>霍城县疾病预防控制中心</w:t>
            </w:r>
          </w:p>
        </w:tc>
      </w:tr>
      <w:tr w14:paraId="27332A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6FB17B">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7A89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4890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EFE4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52F9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2E95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D379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4C1A8">
            <w:pPr>
              <w:jc w:val="center"/>
            </w:pPr>
            <w:r>
              <w:rPr>
                <w:rFonts w:ascii="宋体" w:hAnsi="宋体" w:eastAsia="宋体"/>
                <w:sz w:val="16"/>
              </w:rPr>
              <w:t>得分</w:t>
            </w:r>
          </w:p>
        </w:tc>
      </w:tr>
      <w:tr w14:paraId="2175E8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CE5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1C84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B9501">
            <w:pPr>
              <w:jc w:val="center"/>
            </w:pPr>
            <w:r>
              <w:rPr>
                <w:rFonts w:ascii="宋体" w:hAnsi="宋体" w:eastAsia="宋体"/>
                <w:sz w:val="16"/>
              </w:rPr>
              <w:t>116.30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4EADF">
            <w:pPr>
              <w:jc w:val="center"/>
            </w:pPr>
            <w:r>
              <w:rPr>
                <w:rFonts w:ascii="宋体" w:hAnsi="宋体" w:eastAsia="宋体"/>
                <w:sz w:val="16"/>
              </w:rPr>
              <w:t>116.30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BD116">
            <w:pPr>
              <w:jc w:val="center"/>
            </w:pPr>
            <w:r>
              <w:rPr>
                <w:rFonts w:ascii="宋体" w:hAnsi="宋体" w:eastAsia="宋体"/>
                <w:sz w:val="16"/>
              </w:rPr>
              <w:t>116.30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FFD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4801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B5C9A">
            <w:pPr>
              <w:jc w:val="center"/>
            </w:pPr>
            <w:r>
              <w:rPr>
                <w:rFonts w:ascii="宋体" w:hAnsi="宋体" w:eastAsia="宋体"/>
                <w:sz w:val="16"/>
              </w:rPr>
              <w:t>10.00</w:t>
            </w:r>
          </w:p>
        </w:tc>
      </w:tr>
      <w:tr w14:paraId="4F7DB9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514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5EC1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174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E49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FE8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67D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F29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F1BD0">
            <w:pPr>
              <w:jc w:val="center"/>
            </w:pPr>
            <w:r>
              <w:rPr>
                <w:rFonts w:ascii="宋体" w:hAnsi="宋体" w:eastAsia="宋体"/>
                <w:sz w:val="16"/>
              </w:rPr>
              <w:t>—</w:t>
            </w:r>
          </w:p>
        </w:tc>
      </w:tr>
      <w:tr w14:paraId="586F94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E3A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F49B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6E9D7">
            <w:pPr>
              <w:jc w:val="center"/>
            </w:pPr>
            <w:r>
              <w:rPr>
                <w:rFonts w:ascii="宋体" w:hAnsi="宋体" w:eastAsia="宋体"/>
                <w:sz w:val="16"/>
              </w:rPr>
              <w:t>116.30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F9E2D">
            <w:pPr>
              <w:jc w:val="center"/>
            </w:pPr>
            <w:r>
              <w:rPr>
                <w:rFonts w:ascii="宋体" w:hAnsi="宋体" w:eastAsia="宋体"/>
                <w:sz w:val="16"/>
              </w:rPr>
              <w:t>116.30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933FD">
            <w:pPr>
              <w:jc w:val="center"/>
              <w:rPr>
                <w:rFonts w:hint="eastAsia" w:eastAsia="宋体"/>
                <w:lang w:val="en-US" w:eastAsia="zh-CN"/>
              </w:rPr>
            </w:pPr>
            <w:r>
              <w:rPr>
                <w:rFonts w:ascii="宋体" w:hAnsi="宋体" w:eastAsia="宋体"/>
                <w:sz w:val="16"/>
              </w:rPr>
              <w:t>116.3</w:t>
            </w:r>
            <w:r>
              <w:rPr>
                <w:rFonts w:hint="eastAsia" w:ascii="宋体" w:hAnsi="宋体"/>
                <w:sz w:val="16"/>
                <w:lang w:val="en-US" w:eastAsia="zh-CN"/>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168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7E8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9A50B">
            <w:pPr>
              <w:jc w:val="center"/>
            </w:pPr>
            <w:r>
              <w:rPr>
                <w:rFonts w:ascii="宋体" w:hAnsi="宋体" w:eastAsia="宋体"/>
                <w:sz w:val="16"/>
              </w:rPr>
              <w:t>—</w:t>
            </w:r>
          </w:p>
        </w:tc>
      </w:tr>
      <w:tr w14:paraId="4DE830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F8239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46A7C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A2F894">
            <w:pPr>
              <w:jc w:val="center"/>
            </w:pPr>
            <w:r>
              <w:rPr>
                <w:rFonts w:ascii="宋体" w:hAnsi="宋体" w:eastAsia="宋体"/>
                <w:sz w:val="16"/>
              </w:rPr>
              <w:t>实际完成情况</w:t>
            </w:r>
          </w:p>
        </w:tc>
      </w:tr>
      <w:tr w14:paraId="1B740F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287E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A9BB93">
            <w:pPr>
              <w:jc w:val="both"/>
            </w:pPr>
            <w:r>
              <w:rPr>
                <w:rFonts w:ascii="宋体" w:hAnsi="宋体" w:eastAsia="宋体"/>
                <w:sz w:val="16"/>
              </w:rPr>
              <w:t>深入贯彻习近平新时代中国特色社会主义思想和党的二十大精神，不断深化医药卫生体制改革，推动基本公共卫生服务项目工作,提升医疗卫生服务水平，提供安全有效的医疗服务,保障疫苗按照行业要求采购。</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79ACA0">
            <w:pPr>
              <w:jc w:val="both"/>
            </w:pPr>
            <w:r>
              <w:rPr>
                <w:rFonts w:ascii="宋体" w:hAnsi="宋体" w:eastAsia="宋体"/>
                <w:sz w:val="16"/>
              </w:rPr>
              <w:t>2024年度一是加大基层人员的培训和指导，强化儿童信息化系统的规范使用。二是各剂次疫苗以乡为单位接种率均达到98%以上，完成两轮脊灰疫苗补充免疫及查漏补种活动，接种率99.21%。三是上报疑似异常反应40例，完成麻疹2/10万的排除率和AFP1/10万的上报指标，查漏补种、IPV补种、疫苗接种率调查、血清抗体水平监测的工作均已圆满完成。四是冷链及疫苗规范管理工作得到进一步加强，保证疫苗全程追溯，及时配送，确保各接种点疫苗充足。</w:t>
            </w:r>
          </w:p>
        </w:tc>
      </w:tr>
      <w:tr w14:paraId="727D61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3BE1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94F8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0C57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1737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E2B2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0274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2EE1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B79D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F365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EE9B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AACF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7B05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0335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9E274">
            <w:pPr>
              <w:jc w:val="center"/>
            </w:pPr>
            <w:r>
              <w:rPr>
                <w:rFonts w:ascii="宋体" w:hAnsi="宋体" w:eastAsia="宋体"/>
                <w:sz w:val="16"/>
              </w:rPr>
              <w:t>偏差原因分析及改进措施</w:t>
            </w:r>
          </w:p>
        </w:tc>
      </w:tr>
      <w:tr w14:paraId="16093E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74DC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9715B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247B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DD180">
            <w:pPr>
              <w:jc w:val="center"/>
            </w:pPr>
            <w:r>
              <w:rPr>
                <w:rFonts w:ascii="宋体" w:hAnsi="宋体" w:eastAsia="宋体"/>
                <w:sz w:val="16"/>
              </w:rPr>
              <w:t>购买二类疫苗批次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6B4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0BB71">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2448D">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61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7210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AF62C">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032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645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383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12B42">
            <w:pPr>
              <w:jc w:val="center"/>
            </w:pPr>
          </w:p>
        </w:tc>
      </w:tr>
      <w:tr w14:paraId="322A43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FA5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F56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7FD7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E6491">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31D4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EFD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20C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E75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C4E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B19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37A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8F8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992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CFCF8">
            <w:pPr>
              <w:jc w:val="center"/>
            </w:pPr>
          </w:p>
        </w:tc>
      </w:tr>
      <w:tr w14:paraId="3B8C56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C3C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AA4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067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9C6D0">
            <w:pPr>
              <w:jc w:val="center"/>
            </w:pPr>
            <w:r>
              <w:rPr>
                <w:rFonts w:ascii="宋体" w:hAnsi="宋体" w:eastAsia="宋体"/>
                <w:sz w:val="16"/>
              </w:rPr>
              <w:t>二类疫苗验收合格率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7E6C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A0F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895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60C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B19A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C87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739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C2A0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D3B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6359B">
            <w:pPr>
              <w:jc w:val="center"/>
            </w:pPr>
          </w:p>
        </w:tc>
      </w:tr>
      <w:tr w14:paraId="74A2C6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BEB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8EC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974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EDC37">
            <w:pPr>
              <w:jc w:val="center"/>
            </w:pPr>
            <w:r>
              <w:rPr>
                <w:rFonts w:ascii="宋体" w:hAnsi="宋体" w:eastAsia="宋体"/>
                <w:sz w:val="16"/>
              </w:rPr>
              <w:t>疫苗冷链运输达标率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B929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9DC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A28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29F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E3E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6EC0D">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19B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D034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669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08E2F">
            <w:pPr>
              <w:jc w:val="center"/>
            </w:pPr>
          </w:p>
        </w:tc>
      </w:tr>
      <w:tr w14:paraId="049D73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EF6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F44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DA3E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4349C">
            <w:pPr>
              <w:jc w:val="center"/>
            </w:pPr>
            <w:r>
              <w:rPr>
                <w:rFonts w:ascii="宋体" w:hAnsi="宋体" w:eastAsia="宋体"/>
                <w:sz w:val="16"/>
              </w:rPr>
              <w:t>购买二类疫苗及时率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09C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97D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96E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7F5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AEE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3B9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862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489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962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9CB1A">
            <w:pPr>
              <w:jc w:val="center"/>
            </w:pPr>
          </w:p>
        </w:tc>
      </w:tr>
      <w:tr w14:paraId="250ED0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3C6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6AAE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D95A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5EE38">
            <w:pPr>
              <w:jc w:val="center"/>
            </w:pPr>
            <w:r>
              <w:rPr>
                <w:rFonts w:ascii="宋体" w:hAnsi="宋体" w:eastAsia="宋体"/>
                <w:sz w:val="16"/>
              </w:rPr>
              <w:t>购买二类疫苗成本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37E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30112">
            <w:pPr>
              <w:jc w:val="center"/>
            </w:pPr>
            <w:r>
              <w:rPr>
                <w:rFonts w:ascii="宋体" w:hAnsi="宋体" w:eastAsia="宋体"/>
                <w:sz w:val="16"/>
              </w:rPr>
              <w:t>&lt;=116.3万元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6D582">
            <w:pPr>
              <w:jc w:val="center"/>
            </w:pPr>
            <w:r>
              <w:rPr>
                <w:rFonts w:ascii="宋体" w:hAnsi="宋体" w:eastAsia="宋体"/>
                <w:sz w:val="16"/>
              </w:rPr>
              <w:t>116.3万元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00B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89EE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83E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D26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29E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DB7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31FA5">
            <w:pPr>
              <w:jc w:val="center"/>
            </w:pPr>
          </w:p>
        </w:tc>
      </w:tr>
      <w:tr w14:paraId="792E04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5A3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0B15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3043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F5E97">
            <w:pPr>
              <w:jc w:val="center"/>
            </w:pPr>
            <w:r>
              <w:rPr>
                <w:rFonts w:ascii="宋体" w:hAnsi="宋体" w:eastAsia="宋体"/>
                <w:sz w:val="16"/>
              </w:rPr>
              <w:t>有效预防传染疾病发生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4989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F09EB">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F4DBC">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3B2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E266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ADC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BBA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7B5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579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2920B">
            <w:pPr>
              <w:jc w:val="center"/>
            </w:pPr>
          </w:p>
        </w:tc>
      </w:tr>
      <w:tr w14:paraId="560BD0C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F5B49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EA1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56B8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EAA3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2CDE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E9B4D">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BF47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4D04A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6F52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3EF4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11724D"/>
        </w:tc>
      </w:tr>
    </w:tbl>
    <w:p w14:paraId="0934C92F">
      <w:r>
        <w:br w:type="page"/>
      </w:r>
    </w:p>
    <w:p w14:paraId="2F3A9107">
      <w:pPr>
        <w:spacing w:line="640" w:lineRule="exact"/>
        <w:ind w:firstLine="640"/>
        <w:jc w:val="both"/>
        <w:outlineLvl w:val="2"/>
      </w:pPr>
      <w:r>
        <w:rPr>
          <w:rFonts w:ascii="黑体" w:hAnsi="黑体" w:eastAsia="黑体"/>
          <w:sz w:val="32"/>
        </w:rPr>
        <w:t>十二、其他需说明的事项</w:t>
      </w:r>
    </w:p>
    <w:p w14:paraId="719F50BD">
      <w:pPr>
        <w:spacing w:line="580" w:lineRule="exact"/>
        <w:ind w:firstLine="640"/>
        <w:jc w:val="both"/>
      </w:pPr>
      <w:r>
        <w:rPr>
          <w:rFonts w:ascii="仿宋_GB2312" w:hAnsi="仿宋_GB2312" w:eastAsia="仿宋_GB2312"/>
          <w:b w:val="0"/>
          <w:sz w:val="32"/>
        </w:rPr>
        <w:t>本单位无其他需说明的事项。</w:t>
      </w:r>
    </w:p>
    <w:p w14:paraId="157709F7">
      <w:r>
        <w:br w:type="page"/>
      </w:r>
    </w:p>
    <w:p w14:paraId="05152CEC">
      <w:pPr>
        <w:spacing w:line="240" w:lineRule="auto"/>
        <w:jc w:val="center"/>
        <w:outlineLvl w:val="1"/>
      </w:pPr>
      <w:r>
        <w:rPr>
          <w:rFonts w:ascii="黑体" w:hAnsi="黑体" w:eastAsia="黑体"/>
          <w:sz w:val="32"/>
        </w:rPr>
        <w:t>第三部分 专业名词解释</w:t>
      </w:r>
    </w:p>
    <w:p w14:paraId="4E5B074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BF2EF4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A5AC01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C53A52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14B480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D98007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34A186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32D1AB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1A832D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6DB234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66DD55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21EF3C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FED129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775A5A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E27B365">
      <w:r>
        <w:br w:type="page"/>
      </w:r>
    </w:p>
    <w:p w14:paraId="7A31182D">
      <w:pPr>
        <w:spacing w:line="240" w:lineRule="auto"/>
        <w:jc w:val="center"/>
        <w:outlineLvl w:val="1"/>
      </w:pPr>
      <w:r>
        <w:rPr>
          <w:rFonts w:ascii="黑体" w:hAnsi="黑体" w:eastAsia="黑体"/>
          <w:sz w:val="32"/>
        </w:rPr>
        <w:t>第四部分 部门决算报表（见附表）</w:t>
      </w:r>
    </w:p>
    <w:p w14:paraId="3932FCF9">
      <w:pPr>
        <w:spacing w:line="240" w:lineRule="auto"/>
        <w:ind w:firstLine="640"/>
        <w:jc w:val="both"/>
      </w:pPr>
      <w:r>
        <w:rPr>
          <w:rFonts w:ascii="仿宋_GB2312" w:hAnsi="仿宋_GB2312" w:eastAsia="仿宋_GB2312"/>
          <w:b w:val="0"/>
          <w:sz w:val="32"/>
        </w:rPr>
        <w:t>一、《收入支出决算总表》</w:t>
      </w:r>
    </w:p>
    <w:p w14:paraId="5FC1A001">
      <w:pPr>
        <w:spacing w:line="240" w:lineRule="auto"/>
        <w:ind w:firstLine="640"/>
        <w:jc w:val="both"/>
      </w:pPr>
      <w:r>
        <w:rPr>
          <w:rFonts w:ascii="仿宋_GB2312" w:hAnsi="仿宋_GB2312" w:eastAsia="仿宋_GB2312"/>
          <w:b w:val="0"/>
          <w:sz w:val="32"/>
        </w:rPr>
        <w:t>二、《收入决算表》</w:t>
      </w:r>
    </w:p>
    <w:p w14:paraId="0ADE2F72">
      <w:pPr>
        <w:spacing w:line="240" w:lineRule="auto"/>
        <w:ind w:firstLine="640"/>
        <w:jc w:val="both"/>
      </w:pPr>
      <w:r>
        <w:rPr>
          <w:rFonts w:ascii="仿宋_GB2312" w:hAnsi="仿宋_GB2312" w:eastAsia="仿宋_GB2312"/>
          <w:b w:val="0"/>
          <w:sz w:val="32"/>
        </w:rPr>
        <w:t>三、《支出决算表》</w:t>
      </w:r>
    </w:p>
    <w:p w14:paraId="465EB3E8">
      <w:pPr>
        <w:spacing w:line="240" w:lineRule="auto"/>
        <w:ind w:firstLine="640"/>
        <w:jc w:val="both"/>
      </w:pPr>
      <w:r>
        <w:rPr>
          <w:rFonts w:ascii="仿宋_GB2312" w:hAnsi="仿宋_GB2312" w:eastAsia="仿宋_GB2312"/>
          <w:b w:val="0"/>
          <w:sz w:val="32"/>
        </w:rPr>
        <w:t>四、《财政拨款收入支出决算总表》</w:t>
      </w:r>
    </w:p>
    <w:p w14:paraId="6A22901A">
      <w:pPr>
        <w:spacing w:line="240" w:lineRule="auto"/>
        <w:ind w:firstLine="640"/>
        <w:jc w:val="both"/>
      </w:pPr>
      <w:r>
        <w:rPr>
          <w:rFonts w:ascii="仿宋_GB2312" w:hAnsi="仿宋_GB2312" w:eastAsia="仿宋_GB2312"/>
          <w:b w:val="0"/>
          <w:sz w:val="32"/>
        </w:rPr>
        <w:t>五、《一般公共预算财政拨款支出决算表》</w:t>
      </w:r>
    </w:p>
    <w:p w14:paraId="742DC2BC">
      <w:pPr>
        <w:spacing w:line="240" w:lineRule="auto"/>
        <w:ind w:firstLine="640"/>
        <w:jc w:val="both"/>
      </w:pPr>
      <w:r>
        <w:rPr>
          <w:rFonts w:ascii="仿宋_GB2312" w:hAnsi="仿宋_GB2312" w:eastAsia="仿宋_GB2312"/>
          <w:b w:val="0"/>
          <w:sz w:val="32"/>
        </w:rPr>
        <w:t>六、《一般公共预算财政拨款基本支出决算表》</w:t>
      </w:r>
    </w:p>
    <w:p w14:paraId="5689B216">
      <w:pPr>
        <w:spacing w:line="240" w:lineRule="auto"/>
        <w:ind w:firstLine="640"/>
        <w:jc w:val="both"/>
      </w:pPr>
      <w:r>
        <w:rPr>
          <w:rFonts w:ascii="仿宋_GB2312" w:hAnsi="仿宋_GB2312" w:eastAsia="仿宋_GB2312"/>
          <w:b w:val="0"/>
          <w:sz w:val="32"/>
        </w:rPr>
        <w:t>七、《政府性基金预算财政拨款收入支出决算表》</w:t>
      </w:r>
    </w:p>
    <w:p w14:paraId="358FFC71">
      <w:pPr>
        <w:spacing w:line="240" w:lineRule="auto"/>
        <w:ind w:firstLine="640"/>
        <w:jc w:val="both"/>
      </w:pPr>
      <w:r>
        <w:rPr>
          <w:rFonts w:ascii="仿宋_GB2312" w:hAnsi="仿宋_GB2312" w:eastAsia="仿宋_GB2312"/>
          <w:b w:val="0"/>
          <w:sz w:val="32"/>
        </w:rPr>
        <w:t>八、《国有资本经营预算财政拨款收入支出决算表》</w:t>
      </w:r>
    </w:p>
    <w:p w14:paraId="6E1A21F6">
      <w:pPr>
        <w:spacing w:line="240" w:lineRule="auto"/>
        <w:ind w:firstLine="640"/>
        <w:jc w:val="both"/>
      </w:pPr>
      <w:r>
        <w:rPr>
          <w:rFonts w:ascii="仿宋_GB2312" w:hAnsi="仿宋_GB2312" w:eastAsia="仿宋_GB2312"/>
          <w:b w:val="0"/>
          <w:sz w:val="32"/>
        </w:rPr>
        <w:t>九、《财政拨款“三公”经费支出决算表》</w:t>
      </w:r>
    </w:p>
    <w:p w14:paraId="0F84BBFD">
      <w:pPr>
        <w:spacing w:line="240" w:lineRule="auto"/>
        <w:ind w:firstLine="640"/>
        <w:jc w:val="both"/>
      </w:pPr>
    </w:p>
    <w:p w14:paraId="71EA6F70">
      <w:pPr>
        <w:spacing w:line="240" w:lineRule="auto"/>
        <w:ind w:firstLine="640"/>
        <w:jc w:val="both"/>
      </w:pPr>
    </w:p>
    <w:p w14:paraId="02989C91">
      <w:pPr>
        <w:spacing w:line="240" w:lineRule="auto"/>
        <w:ind w:firstLine="640"/>
        <w:jc w:val="both"/>
      </w:pPr>
    </w:p>
    <w:p w14:paraId="38A77111">
      <w:pPr>
        <w:spacing w:line="240" w:lineRule="auto"/>
        <w:ind w:firstLine="640"/>
        <w:jc w:val="both"/>
      </w:pPr>
    </w:p>
    <w:p w14:paraId="554FA07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34BED66-E126-4701-80C8-260B024F664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7928099-9E70-4A34-99C1-5104E45A9518}"/>
  </w:font>
  <w:font w:name="仿宋_GB2312">
    <w:panose1 w:val="02010609030101010101"/>
    <w:charset w:val="86"/>
    <w:family w:val="modern"/>
    <w:pitch w:val="default"/>
    <w:sig w:usb0="00000001" w:usb1="080E0000" w:usb2="00000000" w:usb3="00000000" w:csb0="00040000" w:csb1="00000000"/>
    <w:embedRegular r:id="rId3" w:fontKey="{D1E7A9B9-8D3E-4997-844F-A5853AB8337A}"/>
  </w:font>
  <w:font w:name="楷体_GB2312">
    <w:panose1 w:val="02010609030101010101"/>
    <w:charset w:val="86"/>
    <w:family w:val="auto"/>
    <w:pitch w:val="default"/>
    <w:sig w:usb0="00000001" w:usb1="080E0000" w:usb2="00000000" w:usb3="00000000" w:csb0="00040000" w:csb1="00000000"/>
    <w:embedRegular r:id="rId4" w:fontKey="{B24F9AF6-F1C7-4224-8E02-CB5C72694C9F}"/>
  </w:font>
  <w:font w:name="WPSEMBED5">
    <w:panose1 w:val="02010609030101010101"/>
    <w:charset w:val="86"/>
    <w:family w:val="auto"/>
    <w:pitch w:val="default"/>
    <w:sig w:usb0="00000001" w:usb1="080E0000" w:usb2="00000000" w:usb3="00000000" w:csb0="00040000" w:csb1="00000000"/>
  </w:font>
  <w:font w:name="WPSEMBED6">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054E2B"/>
    <w:rsid w:val="68DB0208"/>
    <w:rsid w:val="68DF36D5"/>
    <w:rsid w:val="69846A0E"/>
    <w:rsid w:val="69AD798C"/>
    <w:rsid w:val="6B68175F"/>
    <w:rsid w:val="6B8B5C99"/>
    <w:rsid w:val="6CA7198F"/>
    <w:rsid w:val="6D8919A8"/>
    <w:rsid w:val="6E0F7A08"/>
    <w:rsid w:val="6E220C15"/>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4866</Words>
  <Characters>5578</Characters>
  <Lines>0</Lines>
  <Paragraphs>0</Paragraphs>
  <TotalTime>6</TotalTime>
  <ScaleCrop>false</ScaleCrop>
  <LinksUpToDate>false</LinksUpToDate>
  <CharactersWithSpaces>5587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2025-09-25T05:10:35Z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