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霍城县清水开发区（镇）卫生院2024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8B02FE">
      <w:r>
        <w:br w:type="page"/>
      </w:r>
    </w:p>
    <w:p w14:paraId="4CF69BC7">
      <w:pPr>
        <w:spacing w:line="640" w:lineRule="exact"/>
        <w:jc w:val="center"/>
        <w:outlineLvl w:val="1"/>
      </w:pPr>
      <w:r>
        <w:rPr>
          <w:rFonts w:ascii="黑体" w:hAnsi="黑体" w:eastAsia="黑体"/>
          <w:sz w:val="32"/>
        </w:rPr>
        <w:t>第一部分 单位概况</w:t>
      </w:r>
    </w:p>
    <w:p w14:paraId="0FCED4C4">
      <w:pPr>
        <w:spacing w:line="640" w:lineRule="exact"/>
        <w:ind w:firstLine="640"/>
        <w:jc w:val="both"/>
        <w:outlineLvl w:val="2"/>
      </w:pPr>
      <w:r>
        <w:rPr>
          <w:rFonts w:ascii="黑体" w:hAnsi="黑体" w:eastAsia="黑体"/>
          <w:sz w:val="32"/>
        </w:rPr>
        <w:t>一、主要职能</w:t>
      </w:r>
    </w:p>
    <w:p w14:paraId="17E81AF9">
      <w:pPr>
        <w:spacing w:line="580" w:lineRule="exact"/>
        <w:ind w:firstLine="640"/>
        <w:jc w:val="both"/>
      </w:pPr>
      <w:r>
        <w:rPr>
          <w:rFonts w:ascii="仿宋_GB2312" w:hAnsi="仿宋_GB2312" w:eastAsia="仿宋_GB2312"/>
          <w:sz w:val="32"/>
        </w:rPr>
        <w:t>以公共卫生服务为主，提供预防保健、基本医疗、康复、健康教育和计生技术服务等为主要内容的综合性卫生服务；受县级卫生行政主管部门委托，承担所在乡镇的公共卫生管理工作；对邻近乡（镇）卫生院医疗、预防、保健等业务工作的技术指导。</w:t>
      </w:r>
    </w:p>
    <w:p w14:paraId="006193C8">
      <w:pPr>
        <w:spacing w:line="640" w:lineRule="exact"/>
        <w:ind w:firstLine="640"/>
        <w:jc w:val="both"/>
        <w:outlineLvl w:val="2"/>
      </w:pPr>
      <w:r>
        <w:rPr>
          <w:rFonts w:ascii="黑体" w:hAnsi="黑体" w:eastAsia="黑体"/>
          <w:sz w:val="32"/>
        </w:rPr>
        <w:t>二、机构设置及人员情况</w:t>
      </w:r>
    </w:p>
    <w:p w14:paraId="6279ACFF">
      <w:pPr>
        <w:spacing w:line="580" w:lineRule="exact"/>
        <w:ind w:firstLine="640"/>
        <w:jc w:val="both"/>
      </w:pPr>
      <w:r>
        <w:rPr>
          <w:rFonts w:ascii="仿宋_GB2312" w:hAnsi="仿宋_GB2312" w:eastAsia="仿宋_GB2312"/>
          <w:sz w:val="32"/>
        </w:rPr>
        <w:t>霍城县清水开发区（镇）卫生院2024年度，实有人数42人，其中：在职人员41人，减少2人；离休人员0人，增加0人；退休人员1人,增加0人。</w:t>
      </w:r>
    </w:p>
    <w:p w14:paraId="7A9CC109">
      <w:pPr>
        <w:spacing w:line="580" w:lineRule="exact"/>
        <w:ind w:firstLine="640"/>
        <w:jc w:val="both"/>
      </w:pPr>
      <w:r>
        <w:rPr>
          <w:rFonts w:ascii="仿宋_GB2312" w:hAnsi="仿宋_GB2312" w:eastAsia="仿宋_GB2312"/>
          <w:sz w:val="32"/>
        </w:rPr>
        <w:t>霍城县清水开发区（镇）卫生院无下属预算单位，下设1</w:t>
      </w:r>
      <w:r>
        <w:rPr>
          <w:rFonts w:hint="eastAsia" w:ascii="仿宋_GB2312" w:hAnsi="仿宋_GB2312" w:eastAsia="仿宋_GB2312"/>
          <w:sz w:val="32"/>
          <w:lang w:val="en-US" w:eastAsia="zh-CN"/>
        </w:rPr>
        <w:t>5</w:t>
      </w:r>
      <w:r>
        <w:rPr>
          <w:rFonts w:ascii="仿宋_GB2312" w:hAnsi="仿宋_GB2312" w:eastAsia="仿宋_GB2312"/>
          <w:sz w:val="32"/>
        </w:rPr>
        <w:t>个科室，分别是：行政办公室、财务科、门诊（内</w:t>
      </w:r>
      <w:r>
        <w:rPr>
          <w:rFonts w:hint="eastAsia" w:ascii="仿宋_GB2312" w:hAnsi="仿宋_GB2312" w:eastAsia="仿宋_GB2312"/>
          <w:sz w:val="32"/>
          <w:lang w:eastAsia="zh-CN"/>
        </w:rPr>
        <w:t>，</w:t>
      </w:r>
      <w:r>
        <w:rPr>
          <w:rFonts w:ascii="仿宋_GB2312" w:hAnsi="仿宋_GB2312" w:eastAsia="仿宋_GB2312"/>
          <w:sz w:val="32"/>
        </w:rPr>
        <w:t>外</w:t>
      </w:r>
      <w:r>
        <w:rPr>
          <w:rFonts w:hint="eastAsia" w:ascii="仿宋_GB2312" w:hAnsi="仿宋_GB2312" w:eastAsia="仿宋_GB2312"/>
          <w:sz w:val="32"/>
          <w:lang w:eastAsia="zh-CN"/>
        </w:rPr>
        <w:t>，</w:t>
      </w:r>
      <w:r>
        <w:rPr>
          <w:rFonts w:ascii="仿宋_GB2312" w:hAnsi="仿宋_GB2312" w:eastAsia="仿宋_GB2312"/>
          <w:sz w:val="32"/>
        </w:rPr>
        <w:t>妇</w:t>
      </w:r>
      <w:r>
        <w:rPr>
          <w:rFonts w:hint="eastAsia" w:ascii="仿宋_GB2312" w:hAnsi="仿宋_GB2312" w:eastAsia="仿宋_GB2312"/>
          <w:sz w:val="32"/>
          <w:lang w:eastAsia="zh-CN"/>
        </w:rPr>
        <w:t>，</w:t>
      </w:r>
      <w:r>
        <w:rPr>
          <w:rFonts w:ascii="仿宋_GB2312" w:hAnsi="仿宋_GB2312" w:eastAsia="仿宋_GB2312"/>
          <w:sz w:val="32"/>
        </w:rPr>
        <w:t>儿</w:t>
      </w:r>
      <w:r>
        <w:rPr>
          <w:rFonts w:hint="eastAsia" w:ascii="仿宋_GB2312" w:hAnsi="仿宋_GB2312" w:eastAsia="仿宋_GB2312"/>
          <w:sz w:val="32"/>
          <w:lang w:eastAsia="zh-CN"/>
        </w:rPr>
        <w:t>，</w:t>
      </w:r>
      <w:r>
        <w:rPr>
          <w:rFonts w:ascii="仿宋_GB2312" w:hAnsi="仿宋_GB2312" w:eastAsia="仿宋_GB2312"/>
          <w:sz w:val="32"/>
        </w:rPr>
        <w:t>中医）、药剂科、内儿科住院部、急诊科、中医科住院部、妇产科、牙科、检验室、心电B超室、放射科、公共卫生科、体检科、后勤科。</w:t>
      </w:r>
    </w:p>
    <w:p w14:paraId="7552A062">
      <w:r>
        <w:br w:type="page"/>
      </w:r>
    </w:p>
    <w:p w14:paraId="438926F6">
      <w:pPr>
        <w:spacing w:line="240" w:lineRule="auto"/>
        <w:jc w:val="center"/>
        <w:outlineLvl w:val="1"/>
      </w:pPr>
      <w:r>
        <w:rPr>
          <w:rFonts w:ascii="黑体" w:hAnsi="黑体" w:eastAsia="黑体"/>
          <w:sz w:val="32"/>
        </w:rPr>
        <w:t>第二部分 部门决算情况说明</w:t>
      </w:r>
    </w:p>
    <w:p w14:paraId="0D32E75B">
      <w:pPr>
        <w:spacing w:line="640" w:lineRule="exact"/>
        <w:ind w:firstLine="640"/>
        <w:jc w:val="both"/>
        <w:outlineLvl w:val="2"/>
      </w:pPr>
      <w:r>
        <w:rPr>
          <w:rFonts w:ascii="黑体" w:hAnsi="黑体" w:eastAsia="黑体"/>
          <w:sz w:val="32"/>
        </w:rPr>
        <w:t>一、收入支出决算总体情况说明</w:t>
      </w:r>
    </w:p>
    <w:p w14:paraId="73FF5618">
      <w:pPr>
        <w:spacing w:line="580" w:lineRule="exact"/>
        <w:ind w:firstLine="640"/>
        <w:jc w:val="both"/>
      </w:pPr>
      <w:r>
        <w:rPr>
          <w:rFonts w:ascii="仿宋_GB2312" w:hAnsi="仿宋_GB2312" w:eastAsia="仿宋_GB2312"/>
          <w:b/>
          <w:sz w:val="32"/>
        </w:rPr>
        <w:t>2024年度收入总计1,651.68万元，</w:t>
      </w:r>
      <w:r>
        <w:rPr>
          <w:rFonts w:ascii="仿宋_GB2312" w:hAnsi="仿宋_GB2312" w:eastAsia="仿宋_GB2312"/>
          <w:b w:val="0"/>
          <w:sz w:val="32"/>
        </w:rPr>
        <w:t>其中：本年收入合计1,651.68万元，使用非财政拨款结余（含专用结余）0.00万元，年初结转和结余0.00万元。</w:t>
      </w:r>
    </w:p>
    <w:p w14:paraId="4C941545">
      <w:pPr>
        <w:spacing w:line="580" w:lineRule="exact"/>
        <w:ind w:firstLine="640"/>
        <w:jc w:val="both"/>
      </w:pPr>
      <w:r>
        <w:rPr>
          <w:rFonts w:ascii="仿宋_GB2312" w:hAnsi="仿宋_GB2312" w:eastAsia="仿宋_GB2312"/>
          <w:b/>
          <w:sz w:val="32"/>
        </w:rPr>
        <w:t>2024年度支出总计1,651.68万元，</w:t>
      </w:r>
      <w:r>
        <w:rPr>
          <w:rFonts w:ascii="仿宋_GB2312" w:hAnsi="仿宋_GB2312" w:eastAsia="仿宋_GB2312"/>
          <w:b w:val="0"/>
          <w:sz w:val="32"/>
        </w:rPr>
        <w:t>其中：本年支出合计1,651.68万元，结余分配0.00万元，年末结转和结余0.00万元。</w:t>
      </w:r>
    </w:p>
    <w:p w14:paraId="0AA608A7">
      <w:pPr>
        <w:spacing w:line="580" w:lineRule="exact"/>
        <w:ind w:firstLine="640"/>
        <w:jc w:val="both"/>
      </w:pPr>
      <w:r>
        <w:rPr>
          <w:rFonts w:ascii="仿宋_GB2312" w:hAnsi="仿宋_GB2312" w:eastAsia="仿宋_GB2312"/>
          <w:b w:val="0"/>
          <w:sz w:val="32"/>
        </w:rPr>
        <w:t>收入支出总体与上年相比，减少81.57万元，下降4.71%，主要原因是：本年度门诊及住院人数</w:t>
      </w:r>
      <w:r>
        <w:rPr>
          <w:rFonts w:hint="eastAsia" w:ascii="仿宋_GB2312" w:hAnsi="仿宋_GB2312" w:eastAsia="仿宋_GB2312"/>
          <w:b w:val="0"/>
          <w:sz w:val="32"/>
          <w:lang w:val="en-US" w:eastAsia="zh-CN"/>
        </w:rPr>
        <w:t>减少</w:t>
      </w:r>
      <w:r>
        <w:rPr>
          <w:rFonts w:ascii="仿宋_GB2312" w:hAnsi="仿宋_GB2312" w:eastAsia="仿宋_GB2312"/>
          <w:b w:val="0"/>
          <w:sz w:val="32"/>
        </w:rPr>
        <w:t>，医疗收入支出减少。本年度减少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、孕产妇及儿童管理、老年人管理等服务项目、执行基本药物制度补助资金项目、中央突发事件财力补助项目、全民健康体检支出项目、中医（民族医）药专项的项目资金。</w:t>
      </w:r>
    </w:p>
    <w:p w14:paraId="63498E0B">
      <w:pPr>
        <w:spacing w:line="640" w:lineRule="exact"/>
        <w:ind w:firstLine="640"/>
        <w:jc w:val="both"/>
        <w:outlineLvl w:val="2"/>
      </w:pPr>
      <w:r>
        <w:rPr>
          <w:rFonts w:ascii="黑体" w:hAnsi="黑体" w:eastAsia="黑体"/>
          <w:sz w:val="32"/>
        </w:rPr>
        <w:t>二、收入决算情况说明</w:t>
      </w:r>
    </w:p>
    <w:p w14:paraId="6623200F">
      <w:pPr>
        <w:spacing w:line="580" w:lineRule="exact"/>
        <w:ind w:firstLine="640"/>
        <w:jc w:val="both"/>
      </w:pPr>
      <w:r>
        <w:rPr>
          <w:rFonts w:ascii="仿宋_GB2312" w:hAnsi="仿宋_GB2312" w:eastAsia="仿宋_GB2312"/>
          <w:b/>
          <w:sz w:val="32"/>
        </w:rPr>
        <w:t>本年收入1,651.68万元，</w:t>
      </w:r>
      <w:r>
        <w:rPr>
          <w:rFonts w:ascii="仿宋_GB2312" w:hAnsi="仿宋_GB2312" w:eastAsia="仿宋_GB2312"/>
          <w:b w:val="0"/>
          <w:sz w:val="32"/>
        </w:rPr>
        <w:t>其中：财政拨款收入1,231.68万元，占74.57%；上级补助收入0.00万元，占0.00%；事业收入420.00万元，占25.43%；经营收入0.00万元，占0.00%；附属单位上缴收入0.00万元，占0.00%；其他收入0.00万元，占0.00%。</w:t>
      </w:r>
    </w:p>
    <w:p w14:paraId="455DA818">
      <w:pPr>
        <w:spacing w:line="640" w:lineRule="exact"/>
        <w:ind w:firstLine="640"/>
        <w:jc w:val="both"/>
        <w:outlineLvl w:val="2"/>
      </w:pPr>
      <w:r>
        <w:rPr>
          <w:rFonts w:ascii="黑体" w:hAnsi="黑体" w:eastAsia="黑体"/>
          <w:sz w:val="32"/>
        </w:rPr>
        <w:t>三、支出决算情况说明</w:t>
      </w:r>
    </w:p>
    <w:p w14:paraId="1EECE3B6">
      <w:pPr>
        <w:spacing w:line="580" w:lineRule="exact"/>
        <w:ind w:firstLine="640"/>
        <w:jc w:val="both"/>
      </w:pPr>
      <w:r>
        <w:rPr>
          <w:rFonts w:ascii="仿宋_GB2312" w:hAnsi="仿宋_GB2312" w:eastAsia="仿宋_GB2312"/>
          <w:b/>
          <w:sz w:val="32"/>
        </w:rPr>
        <w:t>本年支出1,651.68万元，</w:t>
      </w:r>
      <w:r>
        <w:rPr>
          <w:rFonts w:ascii="仿宋_GB2312" w:hAnsi="仿宋_GB2312" w:eastAsia="仿宋_GB2312"/>
          <w:b w:val="0"/>
          <w:sz w:val="32"/>
        </w:rPr>
        <w:t>其中：基本支出1,127.35万元，占68.25%；项目支出524.33万元，占31.75%；上缴上级支出0.00万元，占0.00%；经营支出0.00万元，占0.00%；对附属单位补助支出0.00万元，占0.00%。</w:t>
      </w:r>
    </w:p>
    <w:p w14:paraId="1988D6F7">
      <w:pPr>
        <w:spacing w:line="640" w:lineRule="exact"/>
        <w:ind w:firstLine="640"/>
        <w:jc w:val="both"/>
        <w:outlineLvl w:val="2"/>
      </w:pPr>
      <w:r>
        <w:rPr>
          <w:rFonts w:ascii="黑体" w:hAnsi="黑体" w:eastAsia="黑体"/>
          <w:sz w:val="32"/>
        </w:rPr>
        <w:t>四、财政拨款收入支出决算总体情况说明</w:t>
      </w:r>
    </w:p>
    <w:p w14:paraId="1DD91316">
      <w:pPr>
        <w:spacing w:line="580" w:lineRule="exact"/>
        <w:ind w:firstLine="640"/>
        <w:jc w:val="both"/>
      </w:pPr>
      <w:r>
        <w:rPr>
          <w:rFonts w:ascii="仿宋_GB2312" w:hAnsi="仿宋_GB2312" w:eastAsia="仿宋_GB2312"/>
          <w:b/>
          <w:sz w:val="32"/>
        </w:rPr>
        <w:t>2024年度财政拨款收入总计1,231.68万元，</w:t>
      </w:r>
      <w:r>
        <w:rPr>
          <w:rFonts w:ascii="仿宋_GB2312" w:hAnsi="仿宋_GB2312" w:eastAsia="仿宋_GB2312"/>
          <w:b w:val="0"/>
          <w:sz w:val="32"/>
        </w:rPr>
        <w:t>其中：年初财政拨款结转和结余0.00万元，本年财政拨款收入1,231.68万元。</w:t>
      </w:r>
      <w:r>
        <w:rPr>
          <w:rFonts w:ascii="仿宋_GB2312" w:hAnsi="仿宋_GB2312" w:eastAsia="仿宋_GB2312"/>
          <w:b/>
          <w:sz w:val="32"/>
        </w:rPr>
        <w:t>财政拨款支出总计1,231.68万元，</w:t>
      </w:r>
      <w:r>
        <w:rPr>
          <w:rFonts w:ascii="仿宋_GB2312" w:hAnsi="仿宋_GB2312" w:eastAsia="仿宋_GB2312"/>
          <w:b w:val="0"/>
          <w:sz w:val="32"/>
        </w:rPr>
        <w:t>其中：年末财政拨款结转和结余0.00万元，本年财政拨款支出1,231.68万元。</w:t>
      </w:r>
    </w:p>
    <w:p w14:paraId="448CDFE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减少58.01万元，下降4.50%，主要原因是：本年度减少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、孕产妇及儿童管理、老年人管理等服务项目、执行基本药物制度补助资金项目、中央突发事件财力补助项目、全民健康体检支出项目、中医（民族医）药专项的项目资金。</w:t>
      </w:r>
      <w:r>
        <w:rPr>
          <w:rFonts w:ascii="仿宋_GB2312" w:hAnsi="仿宋_GB2312" w:eastAsia="仿宋_GB2312"/>
          <w:b/>
          <w:sz w:val="32"/>
        </w:rPr>
        <w:t>与年初预算相比，</w:t>
      </w:r>
      <w:r>
        <w:rPr>
          <w:rFonts w:ascii="仿宋_GB2312" w:hAnsi="仿宋_GB2312" w:eastAsia="仿宋_GB2312"/>
          <w:b w:val="0"/>
          <w:sz w:val="32"/>
        </w:rPr>
        <w:t>年初预算数672.26万元，决算数1,231.68万元，预决算差异率83.21%，主要原因是：1.年中追加人员工资、社保、公积金基数调增部分资金，导致预决算存在差异；2.年中追加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专项彩票公益金支持地方社会公益事业发展（医疗救助）资金项目，80岁以上老年人免费体检补助资金项目，导致预决算存在差异。</w:t>
      </w:r>
    </w:p>
    <w:p w14:paraId="694527DC">
      <w:pPr>
        <w:spacing w:line="640" w:lineRule="exact"/>
        <w:ind w:firstLine="640"/>
        <w:jc w:val="both"/>
        <w:outlineLvl w:val="2"/>
      </w:pPr>
      <w:r>
        <w:rPr>
          <w:rFonts w:ascii="黑体" w:hAnsi="黑体" w:eastAsia="黑体"/>
          <w:sz w:val="32"/>
        </w:rPr>
        <w:t>五、一般公共预算财政拨款支出决算情况说明</w:t>
      </w:r>
    </w:p>
    <w:p w14:paraId="4A003068">
      <w:pPr>
        <w:spacing w:line="640" w:lineRule="exact"/>
        <w:ind w:firstLine="640"/>
        <w:jc w:val="both"/>
        <w:outlineLvl w:val="3"/>
      </w:pPr>
      <w:r>
        <w:rPr>
          <w:rFonts w:ascii="楷体_GB2312" w:hAnsi="楷体_GB2312" w:eastAsia="楷体_GB2312"/>
          <w:b/>
          <w:sz w:val="32"/>
        </w:rPr>
        <w:t>（一）一般公共预算财政拨款支出决算总体情况</w:t>
      </w:r>
    </w:p>
    <w:p w14:paraId="3142AA7D">
      <w:pPr>
        <w:spacing w:line="580" w:lineRule="exact"/>
        <w:ind w:firstLine="640"/>
        <w:jc w:val="both"/>
      </w:pPr>
      <w:r>
        <w:rPr>
          <w:rFonts w:ascii="仿宋_GB2312" w:hAnsi="仿宋_GB2312" w:eastAsia="仿宋_GB2312"/>
          <w:b/>
          <w:sz w:val="32"/>
        </w:rPr>
        <w:t>2024年度一般公共预算财政拨款支出1,225.00万元，</w:t>
      </w:r>
      <w:r>
        <w:rPr>
          <w:rFonts w:ascii="仿宋_GB2312" w:hAnsi="仿宋_GB2312" w:eastAsia="仿宋_GB2312"/>
          <w:b w:val="0"/>
          <w:sz w:val="32"/>
        </w:rPr>
        <w:t>占本年支出合计的74.17%。</w:t>
      </w:r>
      <w:r>
        <w:rPr>
          <w:rFonts w:ascii="仿宋_GB2312" w:hAnsi="仿宋_GB2312" w:eastAsia="仿宋_GB2312"/>
          <w:b/>
          <w:sz w:val="32"/>
        </w:rPr>
        <w:t>与上年相比，</w:t>
      </w:r>
      <w:r>
        <w:rPr>
          <w:rFonts w:ascii="仿宋_GB2312" w:hAnsi="仿宋_GB2312" w:eastAsia="仿宋_GB2312"/>
          <w:b w:val="0"/>
          <w:sz w:val="32"/>
        </w:rPr>
        <w:t>减少60.33万元，下降4.69%，主要原因是：本年度减少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、孕产妇及儿童管理、老年人管理等服务项目、执行基本药物制度补助资金项目、中央突发事件财力补助项目、全民健康体检支出项目、中医（民族医）药专项的项目资金。</w:t>
      </w:r>
      <w:r>
        <w:rPr>
          <w:rFonts w:ascii="仿宋_GB2312" w:hAnsi="仿宋_GB2312" w:eastAsia="仿宋_GB2312"/>
          <w:b/>
          <w:sz w:val="32"/>
        </w:rPr>
        <w:t>与年初预算相比,</w:t>
      </w:r>
      <w:r>
        <w:rPr>
          <w:rFonts w:ascii="仿宋_GB2312" w:hAnsi="仿宋_GB2312" w:eastAsia="仿宋_GB2312"/>
          <w:b w:val="0"/>
          <w:sz w:val="32"/>
        </w:rPr>
        <w:t>年初预算数672.26万元，决算数1,225.00万元，预决算差异率82.22%，主要原因是：1.年中追加人员工资、社保、公积金基数调增部分资金，导致预决算存在差异；2.年中追加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导致预决算存在差异。</w:t>
      </w:r>
    </w:p>
    <w:p w14:paraId="48A8A95E">
      <w:pPr>
        <w:spacing w:line="640" w:lineRule="exact"/>
        <w:ind w:firstLine="640"/>
        <w:jc w:val="both"/>
        <w:outlineLvl w:val="3"/>
      </w:pPr>
      <w:r>
        <w:rPr>
          <w:rFonts w:ascii="楷体_GB2312" w:hAnsi="楷体_GB2312" w:eastAsia="楷体_GB2312"/>
          <w:b/>
          <w:sz w:val="32"/>
        </w:rPr>
        <w:t>（二）一般公共预算财政拨款支出决算结构情况</w:t>
      </w:r>
    </w:p>
    <w:p w14:paraId="754985EE">
      <w:pPr>
        <w:spacing w:line="580" w:lineRule="exact"/>
        <w:ind w:firstLine="640"/>
        <w:jc w:val="both"/>
      </w:pPr>
      <w:r>
        <w:rPr>
          <w:rFonts w:ascii="仿宋_GB2312" w:hAnsi="仿宋_GB2312" w:eastAsia="仿宋_GB2312"/>
          <w:b w:val="0"/>
          <w:sz w:val="32"/>
        </w:rPr>
        <w:t>1.社会保障和就业支出(类)76.55万元,占6.25%。</w:t>
      </w:r>
    </w:p>
    <w:p w14:paraId="5DDBA4B3">
      <w:pPr>
        <w:spacing w:line="580" w:lineRule="exact"/>
        <w:ind w:firstLine="640"/>
        <w:jc w:val="both"/>
      </w:pPr>
      <w:r>
        <w:rPr>
          <w:rFonts w:ascii="仿宋_GB2312" w:hAnsi="仿宋_GB2312" w:eastAsia="仿宋_GB2312"/>
          <w:b w:val="0"/>
          <w:sz w:val="32"/>
        </w:rPr>
        <w:t>2.卫生健康支出(类)1,091.29万元,占89.08%。</w:t>
      </w:r>
    </w:p>
    <w:p w14:paraId="327C3BF4">
      <w:pPr>
        <w:spacing w:line="580" w:lineRule="exact"/>
        <w:ind w:firstLine="640"/>
        <w:jc w:val="both"/>
      </w:pPr>
      <w:r>
        <w:rPr>
          <w:rFonts w:ascii="仿宋_GB2312" w:hAnsi="仿宋_GB2312" w:eastAsia="仿宋_GB2312"/>
          <w:b w:val="0"/>
          <w:sz w:val="32"/>
        </w:rPr>
        <w:t>3.住房保障支出(类)57.17万元,占4.67%。</w:t>
      </w:r>
    </w:p>
    <w:p w14:paraId="72318BF5">
      <w:pPr>
        <w:spacing w:line="640" w:lineRule="exact"/>
        <w:ind w:firstLine="640"/>
        <w:jc w:val="both"/>
        <w:outlineLvl w:val="3"/>
      </w:pPr>
      <w:r>
        <w:rPr>
          <w:rFonts w:ascii="楷体_GB2312" w:hAnsi="楷体_GB2312" w:eastAsia="楷体_GB2312"/>
          <w:b/>
          <w:sz w:val="32"/>
        </w:rPr>
        <w:t>（三）一般公共预算财政拨款支出决算具体情况</w:t>
      </w:r>
    </w:p>
    <w:p w14:paraId="1D9E2C7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1.社会保障和就业支出(类)行政事业单位养老支出(款)事业单位离退休(项):支出决算数为0.77万元，比上年决算增加0.52万元，增长208.00%,主要原因是：本年度增加退休人员基础绩效奖，退休费支出增加。</w:t>
      </w:r>
    </w:p>
    <w:p w14:paraId="24E54B3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67.41万元，比上年决算增加4.96万元，增长7.94%,主要原因是：本年在职人员工资基数调增，养老缴费基数上涨，相应支出增加。</w:t>
      </w:r>
    </w:p>
    <w:p w14:paraId="5723C4C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8.37万元，比上年决算增加4.36万元，增长108.73%,主要原因是：本年度在职人员开除，职业年金做实，相关经费增加。</w:t>
      </w:r>
    </w:p>
    <w:p w14:paraId="08CB0CC0">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4.卫生健康支出(类)卫生健康管理事务(款)其他卫生健康管理事务支出(项):支出决算数为2.24万元，比上年决算减少7.03万元，下降75.84%,主要原因是：本年减少村医经费，支出较上年减少。</w:t>
      </w:r>
    </w:p>
    <w:p w14:paraId="2BC3EB60">
      <w:pPr>
        <w:spacing w:line="580" w:lineRule="exact"/>
        <w:ind w:firstLine="640"/>
        <w:jc w:val="both"/>
      </w:pPr>
      <w:r>
        <w:rPr>
          <w:rFonts w:ascii="仿宋_GB2312" w:hAnsi="仿宋_GB2312" w:eastAsia="仿宋_GB2312"/>
          <w:b w:val="0"/>
          <w:sz w:val="32"/>
        </w:rPr>
        <w:t>5.卫生健康支出(类)公立医院(款)其他公立医院支出(项):支出决算数为5.00万元，比上年决算增加5.00万元，增长100.00%,主要原因是：本年增加医疗服务与保障能力提升（卫生健康人才队伍建设）补助资金项目支出。</w:t>
      </w:r>
    </w:p>
    <w:p w14:paraId="57A02508">
      <w:pPr>
        <w:spacing w:line="580" w:lineRule="exact"/>
        <w:ind w:firstLine="640"/>
        <w:jc w:val="both"/>
      </w:pPr>
      <w:r>
        <w:rPr>
          <w:rFonts w:ascii="仿宋_GB2312" w:hAnsi="仿宋_GB2312" w:eastAsia="仿宋_GB2312"/>
          <w:b w:val="0"/>
          <w:sz w:val="32"/>
        </w:rPr>
        <w:t>6.卫生健康支出(类)基层医疗卫生机构(款)乡镇卫生院(项):支出决算数为539.93万元，比上年决算减少22.76万元，下降4.04%,主要原因是：本年度在职人员减少，人员经费减少。</w:t>
      </w:r>
    </w:p>
    <w:p w14:paraId="5C61A5C9">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7.卫生健康支出(类)基层医疗卫生机构(款)其他基层医疗卫生机构支出(项):支出决算数为51.33万元，比上年决算增加3.49万元，增长7.30%,主要原因是：本年增加执行基本药物制度补助资金项目资金拨付，支出增加。</w:t>
      </w:r>
    </w:p>
    <w:p w14:paraId="55F1EC6F">
      <w:pPr>
        <w:spacing w:line="580" w:lineRule="exact"/>
        <w:ind w:firstLine="640"/>
        <w:jc w:val="both"/>
      </w:pPr>
      <w:r>
        <w:rPr>
          <w:rFonts w:ascii="仿宋_GB2312" w:hAnsi="仿宋_GB2312" w:eastAsia="仿宋_GB2312"/>
          <w:b w:val="0"/>
          <w:sz w:val="32"/>
        </w:rPr>
        <w:t>8.卫生健康支出(类)公共卫生(款)基本公共卫生服务(项):支出决算数为327.72万元，比上年决算减少9.67万元，下降2.87%,主要原因是：本年度减少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、孕产妇及儿童管理、老年人管理等服务项目资金拨付，支出减少。</w:t>
      </w:r>
    </w:p>
    <w:p w14:paraId="5A4AAD28">
      <w:pPr>
        <w:spacing w:line="580" w:lineRule="exact"/>
        <w:ind w:firstLine="640"/>
        <w:jc w:val="both"/>
      </w:pPr>
      <w:r>
        <w:rPr>
          <w:rFonts w:ascii="仿宋_GB2312" w:hAnsi="仿宋_GB2312" w:eastAsia="仿宋_GB2312"/>
          <w:b w:val="0"/>
          <w:sz w:val="32"/>
        </w:rPr>
        <w:t>9.卫生健康支出(类)公共卫生(款)重大公共卫生服务(项):支出决算数为5.80万元，比上年决算增加5.80万元，增长100.00%,主要原因是：本年增加重大传染病防控补助资金项目资金拨付，支出增加。</w:t>
      </w:r>
    </w:p>
    <w:p w14:paraId="03B15A28">
      <w:pPr>
        <w:spacing w:line="580" w:lineRule="exact"/>
        <w:ind w:firstLine="640"/>
        <w:jc w:val="both"/>
      </w:pPr>
      <w:r>
        <w:rPr>
          <w:rFonts w:ascii="仿宋_GB2312" w:hAnsi="仿宋_GB2312" w:eastAsia="仿宋_GB2312"/>
          <w:b w:val="0"/>
          <w:sz w:val="32"/>
        </w:rPr>
        <w:t>10.卫生健康支出(类)公共卫生(款)突发公共卫生事件应急处理(项):支出决算数为0.00万元，比上年决算减少72.40万元，下降100.00%,主要原因是：本年度减少中央突发事件财力补助项目资金拨付，支出减少。</w:t>
      </w:r>
    </w:p>
    <w:p w14:paraId="6AA7AEC5">
      <w:pPr>
        <w:spacing w:line="580" w:lineRule="exact"/>
        <w:ind w:firstLine="640"/>
        <w:jc w:val="both"/>
      </w:pPr>
      <w:r>
        <w:rPr>
          <w:rFonts w:ascii="仿宋_GB2312" w:hAnsi="仿宋_GB2312" w:eastAsia="仿宋_GB2312"/>
          <w:b w:val="0"/>
          <w:sz w:val="32"/>
        </w:rPr>
        <w:t>11.卫生健康支出(类)公共卫生(款)其他公共卫生支出(项):支出决算数为125.57万元，比上年决算增加21.64万元，增长20.82%,主要原因是：本年增加全民健康体检支出项目资金拨付，支出增加。</w:t>
      </w:r>
    </w:p>
    <w:p w14:paraId="602202F0">
      <w:pPr>
        <w:spacing w:line="580" w:lineRule="exact"/>
        <w:ind w:firstLine="640"/>
        <w:jc w:val="both"/>
      </w:pPr>
      <w:r>
        <w:rPr>
          <w:rFonts w:ascii="仿宋_GB2312" w:hAnsi="仿宋_GB2312" w:eastAsia="仿宋_GB2312"/>
          <w:b w:val="0"/>
          <w:sz w:val="32"/>
        </w:rPr>
        <w:t>12.卫生健康支出(类)中医药(款)中医（民族医）药专项(项):支出决算数为0.00万元，比上年决算减少0.05万元，下降100.00%,主要原因是：本年度未安排中医（民族医）药专项的项目资金，支出减少。</w:t>
      </w:r>
    </w:p>
    <w:p w14:paraId="2CA4681C">
      <w:pPr>
        <w:spacing w:line="580" w:lineRule="exact"/>
        <w:ind w:firstLine="640"/>
        <w:jc w:val="both"/>
      </w:pPr>
      <w:r>
        <w:rPr>
          <w:rFonts w:ascii="仿宋_GB2312" w:hAnsi="仿宋_GB2312" w:eastAsia="仿宋_GB2312"/>
          <w:b w:val="0"/>
          <w:sz w:val="32"/>
        </w:rPr>
        <w:t>13.卫生健康支出(类)行政事业单位医疗(款)事业单位医疗(项):支出决算数为33.71万元，比上年决算增加2.18万元，增长6.91%,主要原因是：本年度事业单位在职人员工资调增，医疗保险缴费基数调增，支出增加。</w:t>
      </w:r>
    </w:p>
    <w:p w14:paraId="32E30BC7">
      <w:pPr>
        <w:spacing w:line="580" w:lineRule="exact"/>
        <w:ind w:firstLine="640"/>
        <w:jc w:val="both"/>
      </w:pPr>
      <w:r>
        <w:rPr>
          <w:rFonts w:ascii="仿宋_GB2312" w:hAnsi="仿宋_GB2312" w:eastAsia="仿宋_GB2312"/>
          <w:b w:val="0"/>
          <w:sz w:val="32"/>
        </w:rPr>
        <w:t>14.住房保障支出(类)住房改革支出(款)住房公积金(项):支出决算数为57.17万元，比上年决算增加3.65万元，增长6.82%,主要原因是：本年在职人员工资基数调增，公积金缴费基数上涨，相应支出增加。</w:t>
      </w:r>
    </w:p>
    <w:p w14:paraId="36857FE2">
      <w:pPr>
        <w:spacing w:line="640" w:lineRule="exact"/>
        <w:ind w:firstLine="640"/>
        <w:jc w:val="both"/>
        <w:outlineLvl w:val="2"/>
      </w:pPr>
      <w:r>
        <w:rPr>
          <w:rFonts w:ascii="黑体" w:hAnsi="黑体" w:eastAsia="黑体"/>
          <w:sz w:val="32"/>
        </w:rPr>
        <w:t>六、一般公共预算财政拨款基本支出决算情况说明</w:t>
      </w:r>
    </w:p>
    <w:p w14:paraId="46D098E8">
      <w:pPr>
        <w:spacing w:line="580" w:lineRule="exact"/>
        <w:ind w:firstLine="640"/>
        <w:jc w:val="both"/>
      </w:pPr>
      <w:r>
        <w:rPr>
          <w:rFonts w:ascii="仿宋_GB2312" w:hAnsi="仿宋_GB2312" w:eastAsia="仿宋_GB2312"/>
          <w:b w:val="0"/>
          <w:sz w:val="32"/>
        </w:rPr>
        <w:t>2024年度一般公共预算财政拨款基本支出707.35万元，其中：</w:t>
      </w:r>
      <w:r>
        <w:rPr>
          <w:rFonts w:ascii="仿宋_GB2312" w:hAnsi="仿宋_GB2312" w:eastAsia="仿宋_GB2312"/>
          <w:b/>
          <w:sz w:val="32"/>
        </w:rPr>
        <w:t>人员经费707.35万元，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w:t>
      </w:r>
    </w:p>
    <w:p w14:paraId="200EE94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6DD92E5">
      <w:pPr>
        <w:spacing w:line="640" w:lineRule="exact"/>
        <w:ind w:firstLine="640"/>
        <w:jc w:val="both"/>
        <w:outlineLvl w:val="2"/>
      </w:pPr>
      <w:r>
        <w:rPr>
          <w:rFonts w:ascii="黑体" w:hAnsi="黑体" w:eastAsia="黑体"/>
          <w:sz w:val="32"/>
        </w:rPr>
        <w:t>七、政府性基金预算财政拨款收入支出决算情况说明</w:t>
      </w:r>
    </w:p>
    <w:p w14:paraId="72DA1F1E">
      <w:pPr>
        <w:spacing w:line="580" w:lineRule="exact"/>
        <w:ind w:firstLine="640"/>
        <w:jc w:val="both"/>
      </w:pPr>
      <w:r>
        <w:rPr>
          <w:rFonts w:ascii="仿宋_GB2312" w:hAnsi="仿宋_GB2312" w:eastAsia="仿宋_GB2312"/>
          <w:b/>
          <w:sz w:val="32"/>
        </w:rPr>
        <w:t>2024年度政府性基金预算财政拨款收入总计6.68万元，</w:t>
      </w:r>
      <w:r>
        <w:rPr>
          <w:rFonts w:ascii="仿宋_GB2312" w:hAnsi="仿宋_GB2312" w:eastAsia="仿宋_GB2312"/>
          <w:b w:val="0"/>
          <w:sz w:val="32"/>
        </w:rPr>
        <w:t>其中：年初结转和结余0.00万元，本年收入6.68万元。</w:t>
      </w:r>
      <w:r>
        <w:rPr>
          <w:rFonts w:ascii="仿宋_GB2312" w:hAnsi="仿宋_GB2312" w:eastAsia="仿宋_GB2312"/>
          <w:b/>
          <w:sz w:val="32"/>
        </w:rPr>
        <w:t>政府性基金预算财政拨款支出总计6.68万元，</w:t>
      </w:r>
      <w:r>
        <w:rPr>
          <w:rFonts w:ascii="仿宋_GB2312" w:hAnsi="仿宋_GB2312" w:eastAsia="仿宋_GB2312"/>
          <w:b w:val="0"/>
          <w:sz w:val="32"/>
        </w:rPr>
        <w:t>其中：年末结转和结余0.00万元，本年支出6.68万元。</w:t>
      </w:r>
    </w:p>
    <w:p w14:paraId="338A536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增加2.32万元，增长53.21%，主要原因是：1.本年增加专项彩票公益金支持地方社会公益事业发展（医疗救助）资金项目；2.本年80岁以上老年人免费体检补助资金项目资金较上年增加。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6.68万元，预决算差异率100.00%，主要原因是：年中追加专项彩票公益金支持地方社会公益事业发展（医疗救助）资金项目，80岁以上老年人免费体检补助资金项目，导致预决算存在差异。</w:t>
      </w:r>
    </w:p>
    <w:p w14:paraId="0749BE14">
      <w:pPr>
        <w:spacing w:line="580" w:lineRule="exact"/>
        <w:ind w:firstLine="640"/>
        <w:jc w:val="both"/>
      </w:pPr>
      <w:r>
        <w:rPr>
          <w:rFonts w:ascii="仿宋_GB2312" w:hAnsi="仿宋_GB2312" w:eastAsia="仿宋_GB2312"/>
          <w:b w:val="0"/>
          <w:sz w:val="32"/>
        </w:rPr>
        <w:t>政府性基金预算财政拨款支出6.68万元。</w:t>
      </w:r>
    </w:p>
    <w:p w14:paraId="1808392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5.63万元，比上年决算增加1.27万元，增长29.13%,主要原因是：本年80岁以上老年人免费体检补助资金项目资金较上年增加，支出增加。</w:t>
      </w:r>
    </w:p>
    <w:p w14:paraId="61773652">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1.05万元，比上年决算增加1.05万元，增长100.00%,主要原因是：本年增加专项彩票公益金支持地方社会公益事业发展（医疗救助）资金项目资金，支出增加。</w:t>
      </w:r>
    </w:p>
    <w:p w14:paraId="7A575C04">
      <w:pPr>
        <w:spacing w:line="640" w:lineRule="exact"/>
        <w:ind w:firstLine="640"/>
        <w:jc w:val="both"/>
        <w:outlineLvl w:val="2"/>
      </w:pPr>
      <w:r>
        <w:rPr>
          <w:rFonts w:ascii="黑体" w:hAnsi="黑体" w:eastAsia="黑体"/>
          <w:sz w:val="32"/>
        </w:rPr>
        <w:t>八、国有资本经营预算财政拨款收入支出决算情况说明</w:t>
      </w:r>
    </w:p>
    <w:p w14:paraId="016E43F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F31F1BC">
      <w:pPr>
        <w:spacing w:line="640" w:lineRule="exact"/>
        <w:ind w:firstLine="640"/>
        <w:jc w:val="both"/>
        <w:outlineLvl w:val="2"/>
      </w:pPr>
      <w:r>
        <w:rPr>
          <w:rFonts w:ascii="黑体" w:hAnsi="黑体" w:eastAsia="黑体"/>
          <w:sz w:val="32"/>
        </w:rPr>
        <w:t>九、财政拨款“三公”经费支出决算情况说明</w:t>
      </w:r>
    </w:p>
    <w:p w14:paraId="5C21A2C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3.16万元，下降100.00%，主要原因是：严格落实中央八项规定精神，厉行节约，未安排公务用车运行维护费。其中：因公出国（境）费支出0.00万元，占0.00%，比上年增加0.00万元，增长0.00%，主要原因是：2023年与2024年均未安排因公出国（境）费支出。公务用车购置及运行维护费支出0.00万元，占0.00%，比上年减少3.16万元，下降100.00%，主要原因是：严格落实中央八项规定精神，厉行节约，未安排公务用车运行维护费。公务接待费支出0.00万元，占0.00%，比上年增加0.00万元，增长0.00%，主要原因是：2023年与2024年均未安排公务接待费支出。</w:t>
      </w:r>
    </w:p>
    <w:p w14:paraId="1886E2A8">
      <w:pPr>
        <w:spacing w:line="580" w:lineRule="exact"/>
        <w:ind w:firstLine="640"/>
        <w:jc w:val="both"/>
      </w:pPr>
      <w:r>
        <w:rPr>
          <w:rFonts w:ascii="仿宋_GB2312" w:hAnsi="仿宋_GB2312" w:eastAsia="仿宋_GB2312"/>
          <w:b/>
          <w:sz w:val="32"/>
        </w:rPr>
        <w:t>具体情况如下：</w:t>
      </w:r>
    </w:p>
    <w:p w14:paraId="354D58F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5A5271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6辆，与公务用车保有量差异原因是：单位业务用车，车辆费用未使用财政拨款公务用车运行维护费支付。</w:t>
      </w:r>
    </w:p>
    <w:p w14:paraId="7B2E5A4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2FFCB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FB81CBD">
      <w:pPr>
        <w:spacing w:line="640" w:lineRule="exact"/>
        <w:ind w:firstLine="640"/>
        <w:jc w:val="both"/>
        <w:outlineLvl w:val="2"/>
      </w:pPr>
      <w:r>
        <w:rPr>
          <w:rFonts w:ascii="黑体" w:hAnsi="黑体" w:eastAsia="黑体"/>
          <w:sz w:val="32"/>
        </w:rPr>
        <w:t>十、其他重要事项的情况说明</w:t>
      </w:r>
    </w:p>
    <w:p w14:paraId="3CDE4B30">
      <w:pPr>
        <w:spacing w:line="640" w:lineRule="exact"/>
        <w:ind w:firstLine="640"/>
        <w:jc w:val="both"/>
        <w:outlineLvl w:val="3"/>
      </w:pPr>
      <w:r>
        <w:rPr>
          <w:rFonts w:ascii="楷体_GB2312" w:hAnsi="楷体_GB2312" w:eastAsia="楷体_GB2312"/>
          <w:b/>
          <w:sz w:val="32"/>
        </w:rPr>
        <w:t>（一）机关运行经费及公用经费支出情况</w:t>
      </w:r>
    </w:p>
    <w:p w14:paraId="77104793">
      <w:pPr>
        <w:spacing w:line="580" w:lineRule="exact"/>
        <w:ind w:firstLine="640"/>
        <w:jc w:val="both"/>
      </w:pPr>
      <w:r>
        <w:rPr>
          <w:rFonts w:ascii="仿宋_GB2312" w:hAnsi="仿宋_GB2312" w:eastAsia="仿宋_GB2312"/>
          <w:b w:val="0"/>
          <w:sz w:val="32"/>
        </w:rPr>
        <w:t>2024年度霍城县清水开发区（镇）卫生院（事业单位）公用经费支出0.00万元，比上年减少1.95万元，下降100.00%，主要原因是：本年公用经费由医疗收入</w:t>
      </w:r>
      <w:r>
        <w:rPr>
          <w:rFonts w:hint="eastAsia" w:ascii="仿宋_GB2312" w:hAnsi="仿宋_GB2312" w:eastAsia="仿宋_GB2312"/>
          <w:b w:val="0"/>
          <w:sz w:val="32"/>
          <w:lang w:val="en-US" w:eastAsia="zh-CN"/>
        </w:rPr>
        <w:t>经费保障</w:t>
      </w:r>
      <w:r>
        <w:rPr>
          <w:rFonts w:ascii="仿宋_GB2312" w:hAnsi="仿宋_GB2312" w:eastAsia="仿宋_GB2312"/>
          <w:b w:val="0"/>
          <w:sz w:val="32"/>
        </w:rPr>
        <w:t>，因此公用经费较上年减少。</w:t>
      </w:r>
    </w:p>
    <w:p w14:paraId="70F08B28">
      <w:pPr>
        <w:spacing w:line="640" w:lineRule="exact"/>
        <w:ind w:firstLine="640"/>
        <w:jc w:val="both"/>
        <w:outlineLvl w:val="3"/>
      </w:pPr>
      <w:r>
        <w:rPr>
          <w:rFonts w:ascii="楷体_GB2312" w:hAnsi="楷体_GB2312" w:eastAsia="楷体_GB2312"/>
          <w:b/>
          <w:sz w:val="32"/>
        </w:rPr>
        <w:t>（二）政府采购情况</w:t>
      </w:r>
    </w:p>
    <w:p w14:paraId="4B9884CD">
      <w:pPr>
        <w:spacing w:line="580" w:lineRule="exact"/>
        <w:ind w:firstLine="640"/>
        <w:jc w:val="both"/>
      </w:pPr>
      <w:r>
        <w:rPr>
          <w:rFonts w:ascii="仿宋_GB2312" w:hAnsi="仿宋_GB2312" w:eastAsia="仿宋_GB2312"/>
          <w:b w:val="0"/>
          <w:sz w:val="32"/>
        </w:rPr>
        <w:t>2024年度政府采购支出总额6.47万元，其中：政府采购货物支出3.64万元、政府采购工程支出2.32万元、政府采购服务支出0.51万元。</w:t>
      </w:r>
    </w:p>
    <w:p w14:paraId="5820DA15">
      <w:pPr>
        <w:spacing w:line="580" w:lineRule="exact"/>
        <w:ind w:firstLine="640"/>
        <w:jc w:val="both"/>
      </w:pPr>
      <w:r>
        <w:rPr>
          <w:rFonts w:ascii="仿宋_GB2312" w:hAnsi="仿宋_GB2312" w:eastAsia="仿宋_GB2312"/>
          <w:b w:val="0"/>
          <w:sz w:val="32"/>
        </w:rPr>
        <w:t>授予中小企业合同金额6.47万元，占政府采购支出总额的100.00%，其中：授予小微企业合同金额6.47万元，占政府采购支出总额的100.00%。</w:t>
      </w:r>
    </w:p>
    <w:p w14:paraId="213EF1A6">
      <w:pPr>
        <w:spacing w:line="640" w:lineRule="exact"/>
        <w:ind w:firstLine="640"/>
        <w:jc w:val="both"/>
        <w:outlineLvl w:val="3"/>
      </w:pPr>
      <w:r>
        <w:rPr>
          <w:rFonts w:ascii="楷体_GB2312" w:hAnsi="楷体_GB2312" w:eastAsia="楷体_GB2312"/>
          <w:b/>
          <w:sz w:val="32"/>
        </w:rPr>
        <w:t>（三）国有资产占用情况说明</w:t>
      </w:r>
    </w:p>
    <w:p w14:paraId="07EF100B">
      <w:pPr>
        <w:spacing w:line="580" w:lineRule="exact"/>
        <w:ind w:firstLine="640"/>
        <w:jc w:val="both"/>
      </w:pPr>
      <w:r>
        <w:rPr>
          <w:rFonts w:ascii="仿宋_GB2312" w:hAnsi="仿宋_GB2312" w:eastAsia="仿宋_GB2312"/>
          <w:b w:val="0"/>
          <w:sz w:val="32"/>
        </w:rPr>
        <w:t>截至2024年12月31日，房屋20,507.86平方米，价值4,344.15万元。车辆6辆，价值143.95万元，其中：副部（省）级及以上领导用车0辆、主要负责人用车0辆、机要通信用车0辆、应急保障用车0辆、执法执勤用车0辆、特种专业技术用车0辆、离退休干部服务用车0辆、其他用车6辆，其他用车主要是：本单位救护车及负压救护车，用于开展医疗业务。单价100万元（含）以上设备（不含车辆）2台（套）。</w:t>
      </w:r>
    </w:p>
    <w:p w14:paraId="64AA4519">
      <w:pPr>
        <w:spacing w:line="640" w:lineRule="exact"/>
        <w:ind w:firstLine="640"/>
        <w:jc w:val="both"/>
        <w:outlineLvl w:val="2"/>
      </w:pPr>
      <w:r>
        <w:rPr>
          <w:rFonts w:ascii="黑体" w:hAnsi="黑体" w:eastAsia="黑体"/>
          <w:sz w:val="32"/>
        </w:rPr>
        <w:t>十一、预算绩效的情况说明</w:t>
      </w:r>
    </w:p>
    <w:p w14:paraId="6E8A706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1,796.06万元，实际执行总额1,651.68万元；预算绩效评价项目1个，全年预算数420.00万元，全年执行数420.00万元。预算绩效管理取得的成效：本项目的综合评价基于对项目各方面绩效的深入分析与评估。从项目目标的达成情况来看，该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在项目管理方面，卫生院通过有效</w:t>
      </w:r>
      <w:r>
        <w:rPr>
          <w:rFonts w:hint="eastAsia" w:ascii="仿宋_GB2312" w:hAnsi="仿宋_GB2312" w:eastAsia="仿宋_GB2312"/>
          <w:b w:val="0"/>
          <w:sz w:val="32"/>
          <w:lang w:eastAsia="zh-CN"/>
        </w:rPr>
        <w:t>地</w:t>
      </w:r>
      <w:r>
        <w:rPr>
          <w:rFonts w:ascii="仿宋_GB2312" w:hAnsi="仿宋_GB2312" w:eastAsia="仿宋_GB2312"/>
          <w:b w:val="0"/>
          <w:sz w:val="32"/>
        </w:rPr>
        <w:t>规划、组织与协调，项目得以顺利实施，并在预算与时间上保持了良好的控制。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综上所述，项目在绩效评价中表现出色，达到了项目的预期目标，并在多个方面取得了显著的成效。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w:t>
      </w:r>
      <w:r>
        <w:rPr>
          <w:rFonts w:hint="eastAsia" w:ascii="仿宋_GB2312" w:hAnsi="仿宋_GB2312" w:eastAsia="仿宋_GB2312"/>
          <w:b w:val="0"/>
          <w:sz w:val="32"/>
          <w:lang w:eastAsia="zh-CN"/>
        </w:rPr>
        <w:t>：</w:t>
      </w:r>
      <w:r>
        <w:rPr>
          <w:rFonts w:ascii="仿宋_GB2312" w:hAnsi="仿宋_GB2312" w:eastAsia="仿宋_GB2312"/>
          <w:b w:val="0"/>
          <w:sz w:val="32"/>
        </w:rPr>
        <w:t>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三是规范固定资产的报废、出售、捐赠等处置行为，明确处置审批程序，对处置收入和损失进行及时、准确的账务处理。四是制定详细的盘点方案，定期对固定资产进行全面盘点，核实资产的数量、状态等，对盘盈盘亏资产及时查明原因并进行处理。具体附整体支出绩效自评表，项目支出绩效自评表和评价报告。</w:t>
      </w:r>
    </w:p>
    <w:p w14:paraId="06D5DD8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85D4EB1">
        <w:tblPrEx>
          <w:tblCellMar>
            <w:top w:w="0" w:type="dxa"/>
            <w:left w:w="108" w:type="dxa"/>
            <w:bottom w:w="0" w:type="dxa"/>
            <w:right w:w="108" w:type="dxa"/>
          </w:tblCellMar>
        </w:tblPrEx>
        <w:tc>
          <w:tcPr>
            <w:tcW w:w="8840" w:type="dxa"/>
            <w:gridSpan w:val="8"/>
            <w:vAlign w:val="center"/>
          </w:tcPr>
          <w:p w14:paraId="5AE902A9">
            <w:pPr>
              <w:jc w:val="center"/>
            </w:pPr>
            <w:r>
              <w:rPr>
                <w:rFonts w:ascii="宋体" w:hAnsi="宋体" w:eastAsia="宋体"/>
                <w:sz w:val="24"/>
              </w:rPr>
              <w:t>单位整体支出绩效自评表</w:t>
            </w:r>
          </w:p>
        </w:tc>
      </w:tr>
      <w:tr w14:paraId="61C3DAEF">
        <w:tblPrEx>
          <w:tblCellMar>
            <w:top w:w="0" w:type="dxa"/>
            <w:left w:w="108" w:type="dxa"/>
            <w:bottom w:w="0" w:type="dxa"/>
            <w:right w:w="108" w:type="dxa"/>
          </w:tblCellMar>
        </w:tblPrEx>
        <w:tc>
          <w:tcPr>
            <w:tcW w:w="8840" w:type="dxa"/>
            <w:gridSpan w:val="8"/>
            <w:vAlign w:val="center"/>
          </w:tcPr>
          <w:p w14:paraId="5572670C">
            <w:pPr>
              <w:jc w:val="center"/>
            </w:pPr>
            <w:r>
              <w:rPr>
                <w:rFonts w:ascii="宋体" w:hAnsi="宋体" w:eastAsia="宋体"/>
                <w:sz w:val="24"/>
              </w:rPr>
              <w:t>（2024年度）</w:t>
            </w:r>
          </w:p>
        </w:tc>
      </w:tr>
      <w:tr w14:paraId="68032E5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0DB6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0AFF64">
            <w:pPr>
              <w:jc w:val="center"/>
            </w:pPr>
            <w:r>
              <w:rPr>
                <w:rFonts w:ascii="宋体" w:hAnsi="宋体" w:eastAsia="宋体"/>
                <w:sz w:val="16"/>
              </w:rPr>
              <w:t>霍城县清水开发区（镇）卫生院</w:t>
            </w:r>
          </w:p>
        </w:tc>
      </w:tr>
      <w:tr w14:paraId="098B6C4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C72E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D2E9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DFD8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46A5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B283D">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8C46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5F29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DAF54">
            <w:pPr>
              <w:jc w:val="center"/>
            </w:pPr>
            <w:r>
              <w:rPr>
                <w:rFonts w:ascii="宋体" w:hAnsi="宋体" w:eastAsia="宋体"/>
                <w:sz w:val="16"/>
              </w:rPr>
              <w:t>得分</w:t>
            </w:r>
          </w:p>
        </w:tc>
      </w:tr>
      <w:tr w14:paraId="45AED9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6676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55D6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4A33C">
            <w:pPr>
              <w:jc w:val="center"/>
            </w:pPr>
            <w:r>
              <w:rPr>
                <w:rFonts w:ascii="宋体" w:hAnsi="宋体" w:eastAsia="宋体"/>
                <w:sz w:val="16"/>
              </w:rPr>
              <w:t>1,092.25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1FF2A">
            <w:pPr>
              <w:jc w:val="center"/>
            </w:pPr>
            <w:r>
              <w:rPr>
                <w:rFonts w:ascii="宋体" w:hAnsi="宋体" w:eastAsia="宋体"/>
                <w:sz w:val="16"/>
              </w:rPr>
              <w:t>1,796.06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07C76">
            <w:pPr>
              <w:jc w:val="center"/>
            </w:pPr>
            <w:r>
              <w:rPr>
                <w:rFonts w:ascii="宋体" w:hAnsi="宋体" w:eastAsia="宋体"/>
                <w:sz w:val="16"/>
              </w:rPr>
              <w:t>1,651.68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9C9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1038B">
            <w:pPr>
              <w:jc w:val="center"/>
            </w:pPr>
            <w:r>
              <w:rPr>
                <w:rFonts w:ascii="宋体" w:hAnsi="宋体" w:eastAsia="宋体"/>
                <w:sz w:val="16"/>
              </w:rPr>
              <w:t>91.96%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48C15">
            <w:pPr>
              <w:jc w:val="center"/>
            </w:pPr>
            <w:r>
              <w:rPr>
                <w:rFonts w:ascii="宋体" w:hAnsi="宋体" w:eastAsia="宋体"/>
                <w:sz w:val="16"/>
              </w:rPr>
              <w:t>9.19</w:t>
            </w:r>
          </w:p>
        </w:tc>
      </w:tr>
      <w:tr w14:paraId="0B27BB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FAF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23D4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F20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50EB9">
            <w:pPr>
              <w:jc w:val="center"/>
            </w:pPr>
            <w:r>
              <w:rPr>
                <w:rFonts w:ascii="宋体" w:hAnsi="宋体" w:eastAsia="宋体"/>
                <w:sz w:val="16"/>
              </w:rPr>
              <w:t>524.33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F207F">
            <w:pPr>
              <w:jc w:val="center"/>
            </w:pPr>
            <w:r>
              <w:rPr>
                <w:rFonts w:ascii="宋体" w:hAnsi="宋体" w:eastAsia="宋体"/>
                <w:sz w:val="16"/>
              </w:rPr>
              <w:t>524.33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3509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BEE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00F56">
            <w:pPr>
              <w:jc w:val="center"/>
            </w:pPr>
            <w:r>
              <w:rPr>
                <w:rFonts w:ascii="宋体" w:hAnsi="宋体" w:eastAsia="宋体"/>
                <w:sz w:val="16"/>
              </w:rPr>
              <w:t>-</w:t>
            </w:r>
          </w:p>
        </w:tc>
      </w:tr>
      <w:tr w14:paraId="7CB137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0E86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A0BD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B494F">
            <w:pPr>
              <w:jc w:val="center"/>
            </w:pPr>
            <w:r>
              <w:rPr>
                <w:rFonts w:ascii="宋体" w:hAnsi="宋体" w:eastAsia="宋体"/>
                <w:sz w:val="16"/>
              </w:rPr>
              <w:t>672.25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969A6">
            <w:pPr>
              <w:jc w:val="center"/>
            </w:pPr>
            <w:r>
              <w:rPr>
                <w:rFonts w:ascii="宋体" w:hAnsi="宋体" w:eastAsia="宋体"/>
                <w:sz w:val="16"/>
              </w:rPr>
              <w:t>707.35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6ACB4">
            <w:pPr>
              <w:jc w:val="center"/>
            </w:pPr>
            <w:r>
              <w:rPr>
                <w:rFonts w:ascii="宋体" w:hAnsi="宋体" w:eastAsia="宋体"/>
                <w:sz w:val="16"/>
              </w:rPr>
              <w:t>707.35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FF9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AA3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B7423">
            <w:pPr>
              <w:jc w:val="center"/>
            </w:pPr>
            <w:r>
              <w:rPr>
                <w:rFonts w:ascii="宋体" w:hAnsi="宋体" w:eastAsia="宋体"/>
                <w:sz w:val="16"/>
              </w:rPr>
              <w:t>-</w:t>
            </w:r>
          </w:p>
        </w:tc>
      </w:tr>
      <w:tr w14:paraId="69D8B5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0B9E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6C44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D020D">
            <w:pPr>
              <w:jc w:val="center"/>
            </w:pPr>
            <w:r>
              <w:rPr>
                <w:rFonts w:ascii="宋体" w:hAnsi="宋体" w:eastAsia="宋体"/>
                <w:sz w:val="16"/>
              </w:rPr>
              <w:t>420.00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F96BE">
            <w:pPr>
              <w:jc w:val="center"/>
            </w:pPr>
            <w:r>
              <w:rPr>
                <w:rFonts w:ascii="宋体" w:hAnsi="宋体" w:eastAsia="宋体"/>
                <w:sz w:val="16"/>
              </w:rPr>
              <w:t>564.38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E44E6">
            <w:pPr>
              <w:jc w:val="center"/>
            </w:pPr>
            <w:r>
              <w:rPr>
                <w:rFonts w:ascii="宋体" w:hAnsi="宋体" w:eastAsia="宋体"/>
                <w:sz w:val="16"/>
              </w:rPr>
              <w:t>420.00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4DB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5DF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98336">
            <w:pPr>
              <w:jc w:val="center"/>
            </w:pPr>
            <w:r>
              <w:rPr>
                <w:rFonts w:ascii="宋体" w:hAnsi="宋体" w:eastAsia="宋体"/>
                <w:sz w:val="16"/>
              </w:rPr>
              <w:t>-</w:t>
            </w:r>
          </w:p>
        </w:tc>
      </w:tr>
      <w:tr w14:paraId="1636BEE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D131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81AC6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1037BA">
            <w:pPr>
              <w:jc w:val="center"/>
            </w:pPr>
            <w:r>
              <w:rPr>
                <w:rFonts w:ascii="宋体" w:hAnsi="宋体" w:eastAsia="宋体"/>
                <w:sz w:val="16"/>
              </w:rPr>
              <w:t>实际完成情况</w:t>
            </w:r>
          </w:p>
        </w:tc>
      </w:tr>
      <w:tr w14:paraId="7A77A3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00D9B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050654">
            <w:pPr>
              <w:jc w:val="both"/>
            </w:pPr>
            <w:r>
              <w:rPr>
                <w:rFonts w:ascii="宋体" w:hAnsi="宋体" w:eastAsia="宋体"/>
                <w:sz w:val="16"/>
              </w:rPr>
              <w:t>深入贯彻习近平新时代中国特色社会主义思想和党的二十大精神，不断深化医药卫生体制改革，推动基本公共卫生服务项目工作，提升医疗卫生服务水平，为我镇居民提供安全有效的医疗服务保障，推动卫生工作健康发展。一是加强对药品管理，基本药物的配送率达到100%；二是持续推动全民免费健康体检，保障辖区内群众的常见病、多发病得到正确治疗，对疑难</w:t>
            </w:r>
            <w:r>
              <w:rPr>
                <w:rFonts w:hint="eastAsia" w:ascii="宋体" w:hAnsi="宋体"/>
                <w:sz w:val="16"/>
                <w:lang w:eastAsia="zh-CN"/>
              </w:rPr>
              <w:t>危重</w:t>
            </w:r>
            <w:r>
              <w:rPr>
                <w:rFonts w:ascii="宋体" w:hAnsi="宋体" w:eastAsia="宋体"/>
                <w:sz w:val="16"/>
              </w:rPr>
              <w:t>病人及时处理和转诊；三是完成辖区各类人群家庭医生签约服务，达到国家目标要求</w:t>
            </w:r>
            <w:r>
              <w:rPr>
                <w:rFonts w:hint="eastAsia" w:ascii="宋体" w:hAnsi="宋体"/>
                <w:sz w:val="16"/>
                <w:lang w:eastAsia="zh-CN"/>
              </w:rPr>
              <w:t>；</w:t>
            </w:r>
            <w:r>
              <w:rPr>
                <w:rFonts w:ascii="宋体" w:hAnsi="宋体" w:eastAsia="宋体"/>
                <w:sz w:val="16"/>
              </w:rPr>
              <w:t>四是实施健康促进行动，保障慢性病人群健康，完成高血压、2型糖尿病患者基层规范管理服务；五是加强适龄儿童免疫规划疫苗接种，努力实现基本公共卫生服务均等化的目标；六是加强7岁以下儿童健康管理，实施健康促进行动，保障重点人群健康。</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DC20B2">
            <w:pPr>
              <w:jc w:val="both"/>
            </w:pPr>
            <w:r>
              <w:rPr>
                <w:rFonts w:hint="eastAsia" w:ascii="宋体" w:hAnsi="宋体"/>
                <w:sz w:val="16"/>
                <w:lang w:eastAsia="zh-CN"/>
              </w:rPr>
              <w:t>1.</w:t>
            </w:r>
            <w:r>
              <w:rPr>
                <w:rFonts w:ascii="宋体" w:hAnsi="宋体" w:eastAsia="宋体"/>
                <w:sz w:val="16"/>
              </w:rPr>
              <w:t>严格执行国家基本药物制度，完成药品质量验收合格率100%，通过加强药品管理和规范基层医疗机构和医务人员的用药规范，提升了基层医疗服务的质量和安全性。同时，实施基本药物制度，降低药品成本，实行零差率销售，药品价格下降，减轻患者负担，满足了城乡居民的基本用药需求。2、2024年完成本辖区内体检人数38293人，完成率100.04%，成功提高了居民对慢性病的预防、治疗和控制的意识，实现了疾病的早发现、早诊断、早治疗，降低了慢性疾病的发病率和并发症的发生风险，提高了患者的生活质量，整体提升了居民的健康水平。3、通过推行常住人口家庭医生签约服务，签约率达到87.14%，提高了健康管理的覆盖率，达到了国家目标要求。家庭医生的签约服务，提供了全面和个性化的医疗服务，有效提高了人们的健康水平。4、在公共卫生服务方面，提供了预防保健、基本医疗、康复、健康教育技术服务等综合性卫生服务，完成了对高血压、2型糖尿病患者的基层规范管理服务率81.84%；加强了适龄儿童免疫规划疫苗接种工作，完成接种率99.14%； 5、保障了城乡居民的基本医疗需求，提升了慢性病预防和管理水平，改善了人民群众的健康状况。</w:t>
            </w:r>
          </w:p>
        </w:tc>
      </w:tr>
      <w:tr w14:paraId="64D78D4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FD2C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0F5D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401C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5122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BD04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F946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6B52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6E648">
            <w:pPr>
              <w:jc w:val="center"/>
            </w:pPr>
            <w:r>
              <w:rPr>
                <w:rFonts w:ascii="宋体" w:hAnsi="宋体" w:eastAsia="宋体"/>
                <w:sz w:val="16"/>
              </w:rPr>
              <w:t>得分</w:t>
            </w:r>
          </w:p>
        </w:tc>
      </w:tr>
      <w:tr w14:paraId="3C188B8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0063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5738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A24BA">
            <w:pPr>
              <w:jc w:val="center"/>
            </w:pPr>
            <w:r>
              <w:rPr>
                <w:rFonts w:ascii="宋体" w:hAnsi="宋体" w:eastAsia="宋体"/>
                <w:sz w:val="16"/>
              </w:rPr>
              <w:t>药品质量验收合格率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DD1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460E8">
            <w:pPr>
              <w:jc w:val="center"/>
            </w:pPr>
            <w:r>
              <w:rPr>
                <w:rFonts w:ascii="宋体" w:hAnsi="宋体" w:eastAsia="宋体"/>
                <w:sz w:val="16"/>
              </w:rPr>
              <w:t>药品质量保证协议书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E30D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6C83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BC1CE">
            <w:pPr>
              <w:jc w:val="center"/>
            </w:pPr>
            <w:r>
              <w:rPr>
                <w:rFonts w:ascii="宋体" w:hAnsi="宋体" w:eastAsia="宋体"/>
                <w:sz w:val="16"/>
              </w:rPr>
              <w:t>15</w:t>
            </w:r>
          </w:p>
        </w:tc>
      </w:tr>
      <w:tr w14:paraId="2602C5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159A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03E9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374C1">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D9444">
            <w:pPr>
              <w:jc w:val="center"/>
            </w:pPr>
            <w:r>
              <w:rPr>
                <w:rFonts w:ascii="宋体" w:hAnsi="宋体" w:eastAsia="宋体"/>
                <w:sz w:val="16"/>
              </w:rPr>
              <w:t>&gt;=62%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6DCBC">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AA1D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7A4FE">
            <w:pPr>
              <w:jc w:val="center"/>
            </w:pPr>
            <w:r>
              <w:rPr>
                <w:rFonts w:ascii="宋体" w:hAnsi="宋体" w:eastAsia="宋体"/>
                <w:sz w:val="16"/>
              </w:rPr>
              <w:t>81.84%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0192C">
            <w:pPr>
              <w:jc w:val="center"/>
            </w:pPr>
            <w:r>
              <w:rPr>
                <w:rFonts w:ascii="宋体" w:hAnsi="宋体" w:eastAsia="宋体"/>
                <w:sz w:val="16"/>
              </w:rPr>
              <w:t>15</w:t>
            </w:r>
          </w:p>
        </w:tc>
      </w:tr>
      <w:tr w14:paraId="561707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E3EE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61DA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88BB6">
            <w:pPr>
              <w:jc w:val="center"/>
            </w:pPr>
            <w:r>
              <w:rPr>
                <w:rFonts w:ascii="宋体" w:hAnsi="宋体" w:eastAsia="宋体"/>
                <w:sz w:val="16"/>
              </w:rPr>
              <w:t>7岁以下儿童健康管理率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86176">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FC840">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5A01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F0CC7">
            <w:pPr>
              <w:jc w:val="center"/>
            </w:pPr>
            <w:r>
              <w:rPr>
                <w:rFonts w:ascii="宋体" w:hAnsi="宋体" w:eastAsia="宋体"/>
                <w:sz w:val="16"/>
              </w:rPr>
              <w:t>94.33%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D6217">
            <w:pPr>
              <w:jc w:val="center"/>
            </w:pPr>
            <w:r>
              <w:rPr>
                <w:rFonts w:ascii="宋体" w:hAnsi="宋体" w:eastAsia="宋体"/>
                <w:sz w:val="16"/>
              </w:rPr>
              <w:t>15</w:t>
            </w:r>
          </w:p>
        </w:tc>
      </w:tr>
      <w:tr w14:paraId="1E037C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3350E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8013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51FD4">
            <w:pPr>
              <w:jc w:val="center"/>
            </w:pPr>
            <w:r>
              <w:rPr>
                <w:rFonts w:ascii="宋体" w:hAnsi="宋体" w:eastAsia="宋体"/>
                <w:sz w:val="16"/>
              </w:rPr>
              <w:t>全民健康体检完成率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879B0">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2B71A">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EBFB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F9491">
            <w:pPr>
              <w:jc w:val="center"/>
            </w:pPr>
            <w:r>
              <w:rPr>
                <w:rFonts w:ascii="宋体" w:hAnsi="宋体" w:eastAsia="宋体"/>
                <w:sz w:val="16"/>
              </w:rPr>
              <w:t>100.04%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845C4">
            <w:pPr>
              <w:jc w:val="center"/>
            </w:pPr>
            <w:r>
              <w:rPr>
                <w:rFonts w:ascii="宋体" w:hAnsi="宋体" w:eastAsia="宋体"/>
                <w:sz w:val="16"/>
              </w:rPr>
              <w:t>15</w:t>
            </w:r>
          </w:p>
        </w:tc>
      </w:tr>
      <w:tr w14:paraId="607421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E2941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980A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2295E">
            <w:pPr>
              <w:jc w:val="center"/>
            </w:pPr>
            <w:r>
              <w:rPr>
                <w:rFonts w:ascii="宋体" w:hAnsi="宋体" w:eastAsia="宋体"/>
                <w:sz w:val="16"/>
              </w:rPr>
              <w:t>家庭医生签约覆盖率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AABBB">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71A4A">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EBCA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EE888">
            <w:pPr>
              <w:jc w:val="center"/>
            </w:pPr>
            <w:r>
              <w:rPr>
                <w:rFonts w:ascii="宋体" w:hAnsi="宋体" w:eastAsia="宋体"/>
                <w:sz w:val="16"/>
              </w:rPr>
              <w:t>87.14%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8CAA4">
            <w:pPr>
              <w:jc w:val="center"/>
            </w:pPr>
            <w:r>
              <w:rPr>
                <w:rFonts w:ascii="宋体" w:hAnsi="宋体" w:eastAsia="宋体"/>
                <w:sz w:val="16"/>
              </w:rPr>
              <w:t>15</w:t>
            </w:r>
          </w:p>
        </w:tc>
      </w:tr>
      <w:tr w14:paraId="5F41A2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0949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4F839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2F368">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1A16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B5391">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75C0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7924C">
            <w:pPr>
              <w:jc w:val="center"/>
            </w:pPr>
            <w:r>
              <w:rPr>
                <w:rFonts w:ascii="宋体" w:hAnsi="宋体" w:eastAsia="宋体"/>
                <w:sz w:val="16"/>
              </w:rPr>
              <w:t>99.14%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18B15">
            <w:pPr>
              <w:jc w:val="center"/>
            </w:pPr>
            <w:r>
              <w:rPr>
                <w:rFonts w:ascii="宋体" w:hAnsi="宋体" w:eastAsia="宋体"/>
                <w:sz w:val="16"/>
              </w:rPr>
              <w:t>15</w:t>
            </w:r>
          </w:p>
        </w:tc>
      </w:tr>
    </w:tbl>
    <w:p w14:paraId="72499095">
      <w:r>
        <w:br w:type="page"/>
      </w:r>
    </w:p>
    <w:tbl>
      <w:tblPr>
        <w:tblStyle w:val="9"/>
        <w:tblW w:w="0" w:type="auto"/>
        <w:tblInd w:w="0" w:type="dxa"/>
        <w:tblLayout w:type="autofit"/>
        <w:tblCellMar>
          <w:top w:w="0" w:type="dxa"/>
          <w:left w:w="108" w:type="dxa"/>
          <w:bottom w:w="0" w:type="dxa"/>
          <w:right w:w="108" w:type="dxa"/>
        </w:tblCellMar>
      </w:tblPr>
      <w:tblGrid>
        <w:gridCol w:w="607"/>
        <w:gridCol w:w="564"/>
        <w:gridCol w:w="564"/>
        <w:gridCol w:w="564"/>
        <w:gridCol w:w="585"/>
        <w:gridCol w:w="936"/>
        <w:gridCol w:w="776"/>
        <w:gridCol w:w="776"/>
        <w:gridCol w:w="585"/>
        <w:gridCol w:w="564"/>
        <w:gridCol w:w="776"/>
        <w:gridCol w:w="568"/>
        <w:gridCol w:w="567"/>
        <w:gridCol w:w="628"/>
      </w:tblGrid>
      <w:tr w14:paraId="06E36FE6">
        <w:tblPrEx>
          <w:tblCellMar>
            <w:top w:w="0" w:type="dxa"/>
            <w:left w:w="108" w:type="dxa"/>
            <w:bottom w:w="0" w:type="dxa"/>
            <w:right w:w="108" w:type="dxa"/>
          </w:tblCellMar>
        </w:tblPrEx>
        <w:tc>
          <w:tcPr>
            <w:tcW w:w="8848" w:type="dxa"/>
            <w:gridSpan w:val="14"/>
            <w:vAlign w:val="center"/>
          </w:tcPr>
          <w:p w14:paraId="4A75CCDD">
            <w:pPr>
              <w:jc w:val="center"/>
            </w:pPr>
            <w:r>
              <w:rPr>
                <w:rFonts w:ascii="宋体" w:hAnsi="宋体" w:eastAsia="宋体"/>
                <w:sz w:val="24"/>
              </w:rPr>
              <w:t>项目支出绩效自评表</w:t>
            </w:r>
          </w:p>
        </w:tc>
      </w:tr>
      <w:tr w14:paraId="1ADE3F1D">
        <w:tblPrEx>
          <w:tblCellMar>
            <w:top w:w="0" w:type="dxa"/>
            <w:left w:w="108" w:type="dxa"/>
            <w:bottom w:w="0" w:type="dxa"/>
            <w:right w:w="108" w:type="dxa"/>
          </w:tblCellMar>
        </w:tblPrEx>
        <w:tc>
          <w:tcPr>
            <w:tcW w:w="8848" w:type="dxa"/>
            <w:gridSpan w:val="14"/>
            <w:vAlign w:val="center"/>
          </w:tcPr>
          <w:p w14:paraId="1F8F8B90">
            <w:pPr>
              <w:jc w:val="center"/>
            </w:pPr>
            <w:r>
              <w:rPr>
                <w:rFonts w:ascii="宋体" w:hAnsi="宋体" w:eastAsia="宋体"/>
                <w:sz w:val="24"/>
              </w:rPr>
              <w:t>(2024年度)</w:t>
            </w:r>
          </w:p>
        </w:tc>
      </w:tr>
      <w:tr w14:paraId="07CBFC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5F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18CB4D">
            <w:pPr>
              <w:jc w:val="center"/>
            </w:pPr>
            <w:r>
              <w:rPr>
                <w:rFonts w:ascii="宋体" w:hAnsi="宋体" w:eastAsia="宋体"/>
                <w:sz w:val="16"/>
              </w:rPr>
              <w:t>2024年事业收入（自有资金）</w:t>
            </w:r>
          </w:p>
        </w:tc>
      </w:tr>
      <w:tr w14:paraId="523673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9E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23068">
            <w:pPr>
              <w:jc w:val="center"/>
            </w:pPr>
            <w:r>
              <w:rPr>
                <w:rFonts w:ascii="宋体" w:hAnsi="宋体" w:eastAsia="宋体"/>
                <w:sz w:val="16"/>
              </w:rPr>
              <w:t>霍城县清水开发区（镇）卫生院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52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48E00C">
            <w:pPr>
              <w:jc w:val="center"/>
            </w:pPr>
            <w:r>
              <w:rPr>
                <w:rFonts w:ascii="宋体" w:hAnsi="宋体" w:eastAsia="宋体"/>
                <w:sz w:val="16"/>
              </w:rPr>
              <w:t>霍城县清水开发区（镇）卫生院</w:t>
            </w:r>
          </w:p>
        </w:tc>
      </w:tr>
      <w:tr w14:paraId="6F3476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DA82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E32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BE9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C14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B6C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183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6B1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C91F">
            <w:pPr>
              <w:jc w:val="center"/>
            </w:pPr>
            <w:r>
              <w:rPr>
                <w:rFonts w:ascii="宋体" w:hAnsi="宋体" w:eastAsia="宋体"/>
                <w:sz w:val="16"/>
              </w:rPr>
              <w:t>得分</w:t>
            </w:r>
          </w:p>
        </w:tc>
      </w:tr>
      <w:tr w14:paraId="302AE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6B5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BA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4F2C5">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99A86">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E53C2">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041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B3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51EA">
            <w:pPr>
              <w:jc w:val="center"/>
            </w:pPr>
            <w:r>
              <w:rPr>
                <w:rFonts w:ascii="宋体" w:hAnsi="宋体" w:eastAsia="宋体"/>
                <w:sz w:val="16"/>
              </w:rPr>
              <w:t>10.00</w:t>
            </w:r>
          </w:p>
        </w:tc>
      </w:tr>
      <w:tr w14:paraId="33801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066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534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B67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183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712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0D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F4C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19FA">
            <w:pPr>
              <w:jc w:val="center"/>
            </w:pPr>
            <w:r>
              <w:rPr>
                <w:rFonts w:ascii="宋体" w:hAnsi="宋体" w:eastAsia="宋体"/>
                <w:sz w:val="16"/>
              </w:rPr>
              <w:t>—</w:t>
            </w:r>
          </w:p>
        </w:tc>
      </w:tr>
      <w:tr w14:paraId="4D3F8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2E5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D8E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EF022">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653B5">
            <w:pPr>
              <w:jc w:val="center"/>
            </w:pPr>
            <w:r>
              <w:rPr>
                <w:rFonts w:ascii="宋体" w:hAnsi="宋体" w:eastAsia="宋体"/>
                <w:sz w:val="16"/>
              </w:rPr>
              <w:t>420.00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4C63E">
            <w:pPr>
              <w:jc w:val="center"/>
              <w:rPr>
                <w:rFonts w:hint="default" w:eastAsia="宋体"/>
                <w:lang w:val="en-US" w:eastAsia="zh-CN"/>
              </w:rPr>
            </w:pPr>
            <w:r>
              <w:rPr>
                <w:rFonts w:ascii="宋体" w:hAnsi="宋体" w:eastAsia="宋体"/>
                <w:sz w:val="16"/>
              </w:rPr>
              <w:t>420</w:t>
            </w:r>
            <w:r>
              <w:rPr>
                <w:rFonts w:hint="eastAsia" w:ascii="宋体" w:hAnsi="宋体"/>
                <w:sz w:val="16"/>
                <w:lang w:eastAsia="zh-CN"/>
              </w:rPr>
              <w:t>.</w:t>
            </w:r>
            <w:r>
              <w:rPr>
                <w:rFonts w:hint="eastAsia" w:ascii="宋体" w:hAnsi="宋体"/>
                <w:sz w:val="16"/>
                <w:lang w:val="en-US" w:eastAsia="zh-CN"/>
              </w:rPr>
              <w:t>00</w:t>
            </w:r>
            <w:bookmarkStart w:id="0" w:name="_GoBack"/>
            <w:bookmarkEnd w:id="0"/>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929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927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7E34">
            <w:pPr>
              <w:jc w:val="center"/>
            </w:pPr>
            <w:r>
              <w:rPr>
                <w:rFonts w:ascii="宋体" w:hAnsi="宋体" w:eastAsia="宋体"/>
                <w:sz w:val="16"/>
              </w:rPr>
              <w:t>—</w:t>
            </w:r>
          </w:p>
        </w:tc>
      </w:tr>
      <w:tr w14:paraId="33348A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7402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2F1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557BB">
            <w:pPr>
              <w:jc w:val="center"/>
            </w:pPr>
            <w:r>
              <w:rPr>
                <w:rFonts w:ascii="宋体" w:hAnsi="宋体" w:eastAsia="宋体"/>
                <w:sz w:val="16"/>
              </w:rPr>
              <w:t>实际完成情况</w:t>
            </w:r>
          </w:p>
        </w:tc>
      </w:tr>
      <w:tr w14:paraId="1EB49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2FA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33F7BE">
            <w:pPr>
              <w:jc w:val="both"/>
            </w:pPr>
            <w:r>
              <w:rPr>
                <w:rFonts w:ascii="宋体" w:hAnsi="宋体" w:eastAsia="宋体"/>
                <w:sz w:val="16"/>
              </w:rPr>
              <w:t>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F531F8">
            <w:pPr>
              <w:jc w:val="both"/>
            </w:pPr>
            <w:r>
              <w:rPr>
                <w:rFonts w:hint="eastAsia" w:ascii="宋体" w:hAnsi="宋体"/>
                <w:sz w:val="16"/>
                <w:lang w:eastAsia="zh-CN"/>
              </w:rPr>
              <w:t>1.</w:t>
            </w:r>
            <w:r>
              <w:rPr>
                <w:rFonts w:ascii="宋体" w:hAnsi="宋体" w:eastAsia="宋体"/>
                <w:sz w:val="16"/>
              </w:rPr>
              <w:t>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采购药品334余种，每月按照专用材料计划批次进行采购。</w:t>
            </w:r>
          </w:p>
        </w:tc>
      </w:tr>
      <w:tr w14:paraId="122286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D7D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3A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76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C4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4D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20C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ED6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3DD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80C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F2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CD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B45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28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162B">
            <w:pPr>
              <w:jc w:val="center"/>
            </w:pPr>
            <w:r>
              <w:rPr>
                <w:rFonts w:ascii="宋体" w:hAnsi="宋体" w:eastAsia="宋体"/>
                <w:sz w:val="16"/>
              </w:rPr>
              <w:t>偏差原因分析及改进措施</w:t>
            </w:r>
          </w:p>
        </w:tc>
      </w:tr>
      <w:tr w14:paraId="48DBD9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DF3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637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8AD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9DAD">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06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5384">
            <w:pPr>
              <w:jc w:val="center"/>
            </w:pPr>
            <w:r>
              <w:rPr>
                <w:rFonts w:ascii="宋体" w:hAnsi="宋体" w:eastAsia="宋体"/>
                <w:sz w:val="16"/>
              </w:rPr>
              <w:t>&gt;=46人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E91D">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45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B5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B6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D8BF">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C4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31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F5B4">
            <w:pPr>
              <w:jc w:val="center"/>
            </w:pPr>
          </w:p>
        </w:tc>
      </w:tr>
      <w:tr w14:paraId="0DE0B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6C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61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06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7FC7">
            <w:pPr>
              <w:jc w:val="center"/>
            </w:pPr>
            <w:r>
              <w:rPr>
                <w:rFonts w:ascii="宋体" w:hAnsi="宋体" w:eastAsia="宋体"/>
                <w:sz w:val="16"/>
              </w:rPr>
              <w:t>购买专用材料批次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F1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DE16">
            <w:pPr>
              <w:jc w:val="center"/>
            </w:pPr>
            <w:r>
              <w:rPr>
                <w:rFonts w:ascii="宋体" w:hAnsi="宋体" w:eastAsia="宋体"/>
                <w:sz w:val="16"/>
              </w:rPr>
              <w:t>&gt;=11次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078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CB12">
            <w:pPr>
              <w:jc w:val="center"/>
            </w:pPr>
            <w:r>
              <w:rPr>
                <w:rFonts w:ascii="宋体" w:hAnsi="宋体" w:eastAsia="宋体"/>
                <w:sz w:val="16"/>
              </w:rPr>
              <w:t>109.09%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59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3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952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48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19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1DFA">
            <w:pPr>
              <w:jc w:val="center"/>
            </w:pPr>
            <w:r>
              <w:rPr>
                <w:rFonts w:ascii="宋体" w:hAnsi="宋体" w:eastAsia="宋体"/>
                <w:sz w:val="16"/>
              </w:rPr>
              <w:t>因实际销售药品数量增多，故在12月份又采购专用材料一批</w:t>
            </w:r>
          </w:p>
        </w:tc>
      </w:tr>
      <w:tr w14:paraId="623CA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45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50D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E94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537F">
            <w:pPr>
              <w:jc w:val="center"/>
            </w:pPr>
            <w:r>
              <w:rPr>
                <w:rFonts w:ascii="宋体" w:hAnsi="宋体" w:eastAsia="宋体"/>
                <w:sz w:val="16"/>
              </w:rPr>
              <w:t>资金发放次数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EA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19E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F56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7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45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C5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824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55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2B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0A62">
            <w:pPr>
              <w:jc w:val="center"/>
            </w:pPr>
          </w:p>
        </w:tc>
      </w:tr>
      <w:tr w14:paraId="78009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15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55E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F87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D767">
            <w:pPr>
              <w:jc w:val="center"/>
            </w:pPr>
            <w:r>
              <w:rPr>
                <w:rFonts w:ascii="宋体" w:hAnsi="宋体" w:eastAsia="宋体"/>
                <w:sz w:val="16"/>
              </w:rPr>
              <w:t>购买专用材料质量合格率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F6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F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3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4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9BB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2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B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B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93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2191">
            <w:pPr>
              <w:jc w:val="center"/>
            </w:pPr>
          </w:p>
        </w:tc>
      </w:tr>
      <w:tr w14:paraId="0EEE3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141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56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58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6F5E">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7A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F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7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5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10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4E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DF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8A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F0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735C">
            <w:pPr>
              <w:jc w:val="center"/>
            </w:pPr>
          </w:p>
        </w:tc>
      </w:tr>
      <w:tr w14:paraId="3D25F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2BE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536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913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0E5E">
            <w:pPr>
              <w:jc w:val="center"/>
            </w:pPr>
            <w:r>
              <w:rPr>
                <w:rFonts w:ascii="宋体" w:hAnsi="宋体" w:eastAsia="宋体"/>
                <w:sz w:val="16"/>
              </w:rPr>
              <w:t>购买专用材料完成时间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E6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CC4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FB9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B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F0A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13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215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36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19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0F61">
            <w:pPr>
              <w:jc w:val="center"/>
            </w:pPr>
          </w:p>
        </w:tc>
      </w:tr>
      <w:tr w14:paraId="36842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97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0E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847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D332">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5C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E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B3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A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FA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8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1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83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BE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DAF8">
            <w:pPr>
              <w:jc w:val="center"/>
            </w:pPr>
          </w:p>
        </w:tc>
      </w:tr>
      <w:tr w14:paraId="591F9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708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6AE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53D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D4E8">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B4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91B9">
            <w:pPr>
              <w:jc w:val="center"/>
            </w:pPr>
            <w:r>
              <w:rPr>
                <w:rFonts w:ascii="宋体" w:hAnsi="宋体" w:eastAsia="宋体"/>
                <w:sz w:val="16"/>
              </w:rPr>
              <w:t>&lt;=1884.05元/人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6D31">
            <w:pPr>
              <w:jc w:val="center"/>
            </w:pPr>
            <w:r>
              <w:rPr>
                <w:rFonts w:ascii="宋体" w:hAnsi="宋体" w:eastAsia="宋体"/>
                <w:sz w:val="16"/>
              </w:rPr>
              <w:t>1884.05元/人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FF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A3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77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A6F8">
            <w:pPr>
              <w:jc w:val="center"/>
            </w:pPr>
            <w:r>
              <w:rPr>
                <w:rFonts w:ascii="宋体" w:hAnsi="宋体" w:eastAsia="宋体"/>
                <w:sz w:val="16"/>
              </w:rPr>
              <w:t>1884.05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E5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C5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90FC">
            <w:pPr>
              <w:jc w:val="center"/>
            </w:pPr>
          </w:p>
        </w:tc>
      </w:tr>
      <w:tr w14:paraId="2F3C9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07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2E6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D82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C879">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17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85AF">
            <w:pPr>
              <w:jc w:val="center"/>
            </w:pPr>
            <w:r>
              <w:rPr>
                <w:rFonts w:ascii="宋体" w:hAnsi="宋体" w:eastAsia="宋体"/>
                <w:sz w:val="16"/>
              </w:rPr>
              <w:t>&lt;=283万元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F69B">
            <w:pPr>
              <w:jc w:val="center"/>
            </w:pPr>
            <w:r>
              <w:rPr>
                <w:rFonts w:ascii="宋体" w:hAnsi="宋体" w:eastAsia="宋体"/>
                <w:sz w:val="16"/>
              </w:rPr>
              <w: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6C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0B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47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1B63">
            <w:pPr>
              <w:jc w:val="center"/>
            </w:pPr>
            <w:r>
              <w:rPr>
                <w:rFonts w:ascii="宋体" w:hAnsi="宋体" w:eastAsia="宋体"/>
                <w:sz w:val="16"/>
              </w:rPr>
              <w:t>267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4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21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6B96">
            <w:pPr>
              <w:jc w:val="center"/>
            </w:pPr>
          </w:p>
        </w:tc>
      </w:tr>
      <w:tr w14:paraId="3CC15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3C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19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EA57">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A536">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3B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677F">
            <w:pPr>
              <w:jc w:val="center"/>
            </w:pPr>
            <w:r>
              <w:rPr>
                <w:rFonts w:ascii="宋体" w:hAnsi="宋体" w:eastAsia="宋体"/>
                <w:sz w:val="16"/>
              </w:rPr>
              <w:t>&lt;=33万元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A8DE">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7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DE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E2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9F15">
            <w:pPr>
              <w:jc w:val="center"/>
            </w:pPr>
            <w:r>
              <w:rPr>
                <w:rFonts w:ascii="宋体" w:hAnsi="宋体" w:eastAsia="宋体"/>
                <w:sz w:val="16"/>
              </w:rPr>
              <w:t>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79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57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EF34">
            <w:pPr>
              <w:jc w:val="center"/>
            </w:pPr>
          </w:p>
        </w:tc>
      </w:tr>
      <w:tr w14:paraId="5621A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20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A4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26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650D">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E47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CA0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56C3">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4C6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8EF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4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BC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3A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65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582C">
            <w:pPr>
              <w:jc w:val="center"/>
            </w:pPr>
          </w:p>
        </w:tc>
      </w:tr>
      <w:tr w14:paraId="0DBEF29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5BCF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83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E639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57A7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406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278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6104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B07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58D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6139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13721D"/>
        </w:tc>
      </w:tr>
    </w:tbl>
    <w:p w14:paraId="5E853BD4">
      <w:r>
        <w:br w:type="page"/>
      </w:r>
    </w:p>
    <w:p w14:paraId="038BEF70">
      <w:pPr>
        <w:spacing w:line="640" w:lineRule="exact"/>
        <w:ind w:firstLine="640"/>
        <w:jc w:val="both"/>
        <w:outlineLvl w:val="2"/>
      </w:pPr>
      <w:r>
        <w:rPr>
          <w:rFonts w:ascii="黑体" w:hAnsi="黑体" w:eastAsia="黑体"/>
          <w:sz w:val="32"/>
        </w:rPr>
        <w:t>十二、其他需说明的事项</w:t>
      </w:r>
    </w:p>
    <w:p w14:paraId="1ED7CDBB">
      <w:pPr>
        <w:spacing w:line="580" w:lineRule="exact"/>
        <w:ind w:firstLine="640"/>
        <w:jc w:val="both"/>
      </w:pPr>
      <w:r>
        <w:rPr>
          <w:rFonts w:ascii="仿宋_GB2312" w:hAnsi="仿宋_GB2312" w:eastAsia="仿宋_GB2312"/>
          <w:b w:val="0"/>
          <w:sz w:val="32"/>
        </w:rPr>
        <w:t>本单位无其他需说明的事项。</w:t>
      </w:r>
    </w:p>
    <w:p w14:paraId="0651DC63">
      <w:r>
        <w:br w:type="page"/>
      </w:r>
    </w:p>
    <w:p w14:paraId="40576CC7">
      <w:pPr>
        <w:spacing w:line="240" w:lineRule="auto"/>
        <w:jc w:val="center"/>
        <w:outlineLvl w:val="1"/>
      </w:pPr>
      <w:r>
        <w:rPr>
          <w:rFonts w:ascii="黑体" w:hAnsi="黑体" w:eastAsia="黑体"/>
          <w:sz w:val="32"/>
        </w:rPr>
        <w:t>第三部分 专业名词解释</w:t>
      </w:r>
    </w:p>
    <w:p w14:paraId="6D4D2FA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06D00F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7F09C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833D9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414D6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ED665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43478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7150F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33FF9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9B08C5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C5DD3D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68BACB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E2DAB4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98FC2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97F63D">
      <w:r>
        <w:br w:type="page"/>
      </w:r>
    </w:p>
    <w:p w14:paraId="17491941">
      <w:pPr>
        <w:spacing w:line="240" w:lineRule="auto"/>
        <w:jc w:val="center"/>
        <w:outlineLvl w:val="1"/>
      </w:pPr>
      <w:r>
        <w:rPr>
          <w:rFonts w:ascii="黑体" w:hAnsi="黑体" w:eastAsia="黑体"/>
          <w:sz w:val="32"/>
        </w:rPr>
        <w:t>第四部分 部门决算报表（见附表）</w:t>
      </w:r>
    </w:p>
    <w:p w14:paraId="6910D994">
      <w:pPr>
        <w:spacing w:line="240" w:lineRule="auto"/>
        <w:ind w:firstLine="640"/>
        <w:jc w:val="both"/>
      </w:pPr>
      <w:r>
        <w:rPr>
          <w:rFonts w:ascii="仿宋_GB2312" w:hAnsi="仿宋_GB2312" w:eastAsia="仿宋_GB2312"/>
          <w:b w:val="0"/>
          <w:sz w:val="32"/>
        </w:rPr>
        <w:t>一、《收入支出决算总表》</w:t>
      </w:r>
    </w:p>
    <w:p w14:paraId="040B3B90">
      <w:pPr>
        <w:spacing w:line="240" w:lineRule="auto"/>
        <w:ind w:firstLine="640"/>
        <w:jc w:val="both"/>
      </w:pPr>
      <w:r>
        <w:rPr>
          <w:rFonts w:ascii="仿宋_GB2312" w:hAnsi="仿宋_GB2312" w:eastAsia="仿宋_GB2312"/>
          <w:b w:val="0"/>
          <w:sz w:val="32"/>
        </w:rPr>
        <w:t>二、《收入决算表》</w:t>
      </w:r>
    </w:p>
    <w:p w14:paraId="5CEFABBF">
      <w:pPr>
        <w:spacing w:line="240" w:lineRule="auto"/>
        <w:ind w:firstLine="640"/>
        <w:jc w:val="both"/>
      </w:pPr>
      <w:r>
        <w:rPr>
          <w:rFonts w:ascii="仿宋_GB2312" w:hAnsi="仿宋_GB2312" w:eastAsia="仿宋_GB2312"/>
          <w:b w:val="0"/>
          <w:sz w:val="32"/>
        </w:rPr>
        <w:t>三、《支出决算表》</w:t>
      </w:r>
    </w:p>
    <w:p w14:paraId="5C6DE1C8">
      <w:pPr>
        <w:spacing w:line="240" w:lineRule="auto"/>
        <w:ind w:firstLine="640"/>
        <w:jc w:val="both"/>
      </w:pPr>
      <w:r>
        <w:rPr>
          <w:rFonts w:ascii="仿宋_GB2312" w:hAnsi="仿宋_GB2312" w:eastAsia="仿宋_GB2312"/>
          <w:b w:val="0"/>
          <w:sz w:val="32"/>
        </w:rPr>
        <w:t>四、《财政拨款收入支出决算总表》</w:t>
      </w:r>
    </w:p>
    <w:p w14:paraId="48709150">
      <w:pPr>
        <w:spacing w:line="240" w:lineRule="auto"/>
        <w:ind w:firstLine="640"/>
        <w:jc w:val="both"/>
      </w:pPr>
      <w:r>
        <w:rPr>
          <w:rFonts w:ascii="仿宋_GB2312" w:hAnsi="仿宋_GB2312" w:eastAsia="仿宋_GB2312"/>
          <w:b w:val="0"/>
          <w:sz w:val="32"/>
        </w:rPr>
        <w:t>五、《一般公共预算财政拨款支出决算表》</w:t>
      </w:r>
    </w:p>
    <w:p w14:paraId="1CAABE2E">
      <w:pPr>
        <w:spacing w:line="240" w:lineRule="auto"/>
        <w:ind w:firstLine="640"/>
        <w:jc w:val="both"/>
      </w:pPr>
      <w:r>
        <w:rPr>
          <w:rFonts w:ascii="仿宋_GB2312" w:hAnsi="仿宋_GB2312" w:eastAsia="仿宋_GB2312"/>
          <w:b w:val="0"/>
          <w:sz w:val="32"/>
        </w:rPr>
        <w:t>六、《一般公共预算财政拨款基本支出决算表》</w:t>
      </w:r>
    </w:p>
    <w:p w14:paraId="65526CAE">
      <w:pPr>
        <w:spacing w:line="240" w:lineRule="auto"/>
        <w:ind w:firstLine="640"/>
        <w:jc w:val="both"/>
      </w:pPr>
      <w:r>
        <w:rPr>
          <w:rFonts w:ascii="仿宋_GB2312" w:hAnsi="仿宋_GB2312" w:eastAsia="仿宋_GB2312"/>
          <w:b w:val="0"/>
          <w:sz w:val="32"/>
        </w:rPr>
        <w:t>七、《政府性基金预算财政拨款收入支出决算表》</w:t>
      </w:r>
    </w:p>
    <w:p w14:paraId="398A6A34">
      <w:pPr>
        <w:spacing w:line="240" w:lineRule="auto"/>
        <w:ind w:firstLine="640"/>
        <w:jc w:val="both"/>
      </w:pPr>
      <w:r>
        <w:rPr>
          <w:rFonts w:ascii="仿宋_GB2312" w:hAnsi="仿宋_GB2312" w:eastAsia="仿宋_GB2312"/>
          <w:b w:val="0"/>
          <w:sz w:val="32"/>
        </w:rPr>
        <w:t>八、《国有资本经营预算财政拨款收入支出决算表》</w:t>
      </w:r>
    </w:p>
    <w:p w14:paraId="2986EF60">
      <w:pPr>
        <w:spacing w:line="240" w:lineRule="auto"/>
        <w:ind w:firstLine="640"/>
        <w:jc w:val="both"/>
      </w:pPr>
      <w:r>
        <w:rPr>
          <w:rFonts w:ascii="仿宋_GB2312" w:hAnsi="仿宋_GB2312" w:eastAsia="仿宋_GB2312"/>
          <w:b w:val="0"/>
          <w:sz w:val="32"/>
        </w:rPr>
        <w:t>九、《财政拨款“三公”经费支出决算表》</w:t>
      </w:r>
    </w:p>
    <w:p w14:paraId="5A3A6BEA">
      <w:pPr>
        <w:spacing w:line="240" w:lineRule="auto"/>
        <w:ind w:firstLine="640"/>
        <w:jc w:val="both"/>
      </w:pPr>
    </w:p>
    <w:p w14:paraId="4437D336">
      <w:pPr>
        <w:spacing w:line="240" w:lineRule="auto"/>
        <w:ind w:firstLine="640"/>
        <w:jc w:val="both"/>
      </w:pPr>
    </w:p>
    <w:p w14:paraId="765CAA2E">
      <w:pPr>
        <w:spacing w:line="240" w:lineRule="auto"/>
        <w:ind w:firstLine="640"/>
        <w:jc w:val="both"/>
      </w:pPr>
    </w:p>
    <w:p w14:paraId="57472F2F">
      <w:pPr>
        <w:spacing w:line="240" w:lineRule="auto"/>
        <w:ind w:firstLine="640"/>
        <w:jc w:val="both"/>
      </w:pPr>
    </w:p>
    <w:p w14:paraId="53B1467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5B64A6-4E8F-45A0-8C00-A65E6F9BD8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0EED968-A0C4-4A20-AE18-6191D3393254}"/>
  </w:font>
  <w:font w:name="仿宋_GB2312">
    <w:altName w:val="仿宋"/>
    <w:panose1 w:val="02010609030101010101"/>
    <w:charset w:val="86"/>
    <w:family w:val="modern"/>
    <w:pitch w:val="default"/>
    <w:sig w:usb0="00000000" w:usb1="00000000" w:usb2="00000000" w:usb3="00000000" w:csb0="00040000" w:csb1="00000000"/>
    <w:embedRegular r:id="rId3" w:fontKey="{048CE765-1371-4ED3-9B20-ED36BAA1D71E}"/>
  </w:font>
  <w:font w:name="楷体_GB2312">
    <w:altName w:val="楷体"/>
    <w:panose1 w:val="02010609030101010101"/>
    <w:charset w:val="86"/>
    <w:family w:val="auto"/>
    <w:pitch w:val="default"/>
    <w:sig w:usb0="00000000" w:usb1="00000000" w:usb2="00000000" w:usb3="00000000" w:csb0="00040000" w:csb1="00000000"/>
    <w:embedRegular r:id="rId4" w:fontKey="{DAA57090-0CC2-4D56-B464-E896F29D90C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3C4B79"/>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4C3608"/>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6817</Words>
  <Characters>7677</Characters>
  <Lines>0</Lines>
  <Paragraphs>0</Paragraphs>
  <TotalTime>10</TotalTime>
  <ScaleCrop>false</ScaleCrop>
  <LinksUpToDate>false</LinksUpToDate>
  <CharactersWithSpaces>7685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2025-09-25T04:35:58Z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