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霍城县江苏中学2024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5DD4025">
      <w:r>
        <w:br w:type="page"/>
      </w:r>
    </w:p>
    <w:p w14:paraId="279F59FB">
      <w:pPr>
        <w:spacing w:line="640" w:lineRule="exact"/>
        <w:jc w:val="center"/>
        <w:outlineLvl w:val="1"/>
      </w:pPr>
      <w:r>
        <w:rPr>
          <w:rFonts w:ascii="黑体" w:hAnsi="黑体" w:eastAsia="黑体"/>
          <w:sz w:val="32"/>
        </w:rPr>
        <w:t>第一部分 单位概况</w:t>
      </w:r>
    </w:p>
    <w:p w14:paraId="1F181CD4">
      <w:pPr>
        <w:spacing w:line="640" w:lineRule="exact"/>
        <w:ind w:firstLine="640"/>
        <w:jc w:val="both"/>
        <w:outlineLvl w:val="2"/>
      </w:pPr>
      <w:r>
        <w:rPr>
          <w:rFonts w:ascii="黑体" w:hAnsi="黑体" w:eastAsia="黑体"/>
          <w:sz w:val="32"/>
        </w:rPr>
        <w:t>一、主要职能</w:t>
      </w:r>
    </w:p>
    <w:p w14:paraId="5722D8BC">
      <w:pPr>
        <w:spacing w:line="580" w:lineRule="exact"/>
        <w:ind w:firstLine="640"/>
        <w:jc w:val="both"/>
      </w:pPr>
      <w:r>
        <w:rPr>
          <w:rFonts w:ascii="仿宋_GB2312" w:hAnsi="仿宋_GB2312" w:eastAsia="仿宋_GB2312"/>
          <w:sz w:val="32"/>
        </w:rPr>
        <w:t>实施高中学历教育，为促进基础教育发展服务（相关社会服务）</w:t>
      </w:r>
      <w:r>
        <w:rPr>
          <w:rFonts w:hint="eastAsia" w:ascii="仿宋_GB2312" w:hAnsi="仿宋_GB2312" w:eastAsia="仿宋_GB2312"/>
          <w:sz w:val="32"/>
          <w:lang w:eastAsia="zh-CN"/>
        </w:rPr>
        <w:t>全面贯彻党的教育方针</w:t>
      </w:r>
      <w:r>
        <w:rPr>
          <w:rFonts w:ascii="仿宋_GB2312" w:hAnsi="仿宋_GB2312" w:eastAsia="仿宋_GB2312"/>
          <w:sz w:val="32"/>
        </w:rPr>
        <w:t>，培养学生的创新精神与实践能力，使之成为社会主义事业的建设者和接班人。</w:t>
      </w:r>
    </w:p>
    <w:p w14:paraId="79590C99">
      <w:pPr>
        <w:spacing w:line="640" w:lineRule="exact"/>
        <w:ind w:firstLine="640"/>
        <w:jc w:val="both"/>
        <w:outlineLvl w:val="2"/>
      </w:pPr>
      <w:r>
        <w:rPr>
          <w:rFonts w:ascii="黑体" w:hAnsi="黑体" w:eastAsia="黑体"/>
          <w:sz w:val="32"/>
        </w:rPr>
        <w:t>二、机构设置及人员情况</w:t>
      </w:r>
    </w:p>
    <w:p w14:paraId="144F8CB8">
      <w:pPr>
        <w:spacing w:line="580" w:lineRule="exact"/>
        <w:ind w:firstLine="640"/>
        <w:jc w:val="both"/>
      </w:pPr>
      <w:r>
        <w:rPr>
          <w:rFonts w:ascii="仿宋_GB2312" w:hAnsi="仿宋_GB2312" w:eastAsia="仿宋_GB2312"/>
          <w:sz w:val="32"/>
        </w:rPr>
        <w:t>霍城县江苏中学2024年度，实有人数254人，其中：在职人员192人，增加8人；离休人员1人，增加0人；退休人员61人,增加4人。</w:t>
      </w:r>
    </w:p>
    <w:p w14:paraId="5DB48BD8">
      <w:pPr>
        <w:spacing w:line="580" w:lineRule="exact"/>
        <w:ind w:firstLine="640"/>
        <w:jc w:val="both"/>
      </w:pPr>
      <w:r>
        <w:rPr>
          <w:rFonts w:ascii="仿宋_GB2312" w:hAnsi="仿宋_GB2312" w:eastAsia="仿宋_GB2312"/>
          <w:sz w:val="32"/>
        </w:rPr>
        <w:t>霍城县江苏中学无下属预算单位，下设13个科室，分别是：党建办、教务处、德育处、总务处、财务室、平安办、</w:t>
      </w:r>
      <w:r>
        <w:rPr>
          <w:rFonts w:hint="eastAsia" w:ascii="仿宋_GB2312" w:hAnsi="仿宋_GB2312" w:eastAsia="仿宋_GB2312"/>
          <w:sz w:val="32"/>
          <w:lang w:eastAsia="zh-CN"/>
        </w:rPr>
        <w:t>工会</w:t>
      </w:r>
      <w:r>
        <w:rPr>
          <w:rFonts w:ascii="仿宋_GB2312" w:hAnsi="仿宋_GB2312" w:eastAsia="仿宋_GB2312"/>
          <w:sz w:val="32"/>
        </w:rPr>
        <w:t>、信息办、团委、高一年级组、高二年级组、高三年级组、政教处。</w:t>
      </w:r>
    </w:p>
    <w:p w14:paraId="2B7AA4FD">
      <w:r>
        <w:br w:type="page"/>
      </w:r>
    </w:p>
    <w:p w14:paraId="51CB69C2">
      <w:pPr>
        <w:spacing w:line="240" w:lineRule="auto"/>
        <w:jc w:val="center"/>
        <w:outlineLvl w:val="1"/>
      </w:pPr>
      <w:r>
        <w:rPr>
          <w:rFonts w:ascii="黑体" w:hAnsi="黑体" w:eastAsia="黑体"/>
          <w:sz w:val="32"/>
        </w:rPr>
        <w:t>第二部分 部门决算情况说明</w:t>
      </w:r>
    </w:p>
    <w:p w14:paraId="397113E6">
      <w:pPr>
        <w:spacing w:line="640" w:lineRule="exact"/>
        <w:ind w:firstLine="640"/>
        <w:jc w:val="both"/>
        <w:outlineLvl w:val="2"/>
      </w:pPr>
      <w:r>
        <w:rPr>
          <w:rFonts w:ascii="黑体" w:hAnsi="黑体" w:eastAsia="黑体"/>
          <w:sz w:val="32"/>
        </w:rPr>
        <w:t>一、收入支出决算总体情况说明</w:t>
      </w:r>
    </w:p>
    <w:p w14:paraId="61DDC470">
      <w:pPr>
        <w:spacing w:line="580" w:lineRule="exact"/>
        <w:ind w:firstLine="640"/>
        <w:jc w:val="both"/>
      </w:pPr>
      <w:r>
        <w:rPr>
          <w:rFonts w:ascii="仿宋_GB2312" w:hAnsi="仿宋_GB2312" w:eastAsia="仿宋_GB2312"/>
          <w:b/>
          <w:sz w:val="32"/>
        </w:rPr>
        <w:t>2024年度收入总计4,563.44万元，</w:t>
      </w:r>
      <w:r>
        <w:rPr>
          <w:rFonts w:ascii="仿宋_GB2312" w:hAnsi="仿宋_GB2312" w:eastAsia="仿宋_GB2312"/>
          <w:b w:val="0"/>
          <w:sz w:val="32"/>
        </w:rPr>
        <w:t>其中：本年收入合计4,563.44万元，使用非财政拨款结余（含专用结余）0.00万元，年初结转和结余0.00万元。</w:t>
      </w:r>
    </w:p>
    <w:p w14:paraId="65CA8596">
      <w:pPr>
        <w:spacing w:line="580" w:lineRule="exact"/>
        <w:ind w:firstLine="640"/>
        <w:jc w:val="both"/>
      </w:pPr>
      <w:r>
        <w:rPr>
          <w:rFonts w:ascii="仿宋_GB2312" w:hAnsi="仿宋_GB2312" w:eastAsia="仿宋_GB2312"/>
          <w:b/>
          <w:sz w:val="32"/>
        </w:rPr>
        <w:t>2024年度支出总计4,563.44万元，</w:t>
      </w:r>
      <w:r>
        <w:rPr>
          <w:rFonts w:ascii="仿宋_GB2312" w:hAnsi="仿宋_GB2312" w:eastAsia="仿宋_GB2312"/>
          <w:b w:val="0"/>
          <w:sz w:val="32"/>
        </w:rPr>
        <w:t>其中：本年支出合计4,563.44万元，结余分配0.00万元，年末结转和结余0.00万元。</w:t>
      </w:r>
    </w:p>
    <w:p w14:paraId="6CDD8C03">
      <w:pPr>
        <w:spacing w:line="580" w:lineRule="exact"/>
        <w:ind w:firstLine="640"/>
        <w:jc w:val="both"/>
      </w:pPr>
      <w:r>
        <w:rPr>
          <w:rFonts w:ascii="仿宋_GB2312" w:hAnsi="仿宋_GB2312" w:eastAsia="仿宋_GB2312"/>
          <w:b w:val="0"/>
          <w:sz w:val="32"/>
        </w:rPr>
        <w:t>收入支出总体与上年相比，减少650.94万元，下降12.48%，主要原因是：本年度减少新校址实验楼工程项目。</w:t>
      </w:r>
    </w:p>
    <w:p w14:paraId="2328A8D0">
      <w:pPr>
        <w:spacing w:line="640" w:lineRule="exact"/>
        <w:ind w:firstLine="640"/>
        <w:jc w:val="both"/>
        <w:outlineLvl w:val="2"/>
      </w:pPr>
      <w:r>
        <w:rPr>
          <w:rFonts w:ascii="黑体" w:hAnsi="黑体" w:eastAsia="黑体"/>
          <w:sz w:val="32"/>
        </w:rPr>
        <w:t>二、收入决算情况说明</w:t>
      </w:r>
    </w:p>
    <w:p w14:paraId="28957A1F">
      <w:pPr>
        <w:spacing w:line="580" w:lineRule="exact"/>
        <w:ind w:firstLine="640"/>
        <w:jc w:val="both"/>
      </w:pPr>
      <w:r>
        <w:rPr>
          <w:rFonts w:ascii="仿宋_GB2312" w:hAnsi="仿宋_GB2312" w:eastAsia="仿宋_GB2312"/>
          <w:b/>
          <w:sz w:val="32"/>
        </w:rPr>
        <w:t>本年收入4,563.44万元，</w:t>
      </w:r>
      <w:r>
        <w:rPr>
          <w:rFonts w:ascii="仿宋_GB2312" w:hAnsi="仿宋_GB2312" w:eastAsia="仿宋_GB2312"/>
          <w:b w:val="0"/>
          <w:sz w:val="32"/>
        </w:rPr>
        <w:t>其中：财政拨款收入4,563.44万元，占100.00%；上级补助收入0.00万元，占0.00%；事业收入0.00万元，占0.00%；经营收入0.00万元，占0.00%；附属单位上缴收入0.00万元，占0.00%；其他收入0.00万元，占0.00%。</w:t>
      </w:r>
    </w:p>
    <w:p w14:paraId="5AD1C587">
      <w:pPr>
        <w:spacing w:line="640" w:lineRule="exact"/>
        <w:ind w:firstLine="640"/>
        <w:jc w:val="both"/>
        <w:outlineLvl w:val="2"/>
      </w:pPr>
      <w:r>
        <w:rPr>
          <w:rFonts w:ascii="黑体" w:hAnsi="黑体" w:eastAsia="黑体"/>
          <w:sz w:val="32"/>
        </w:rPr>
        <w:t>三、支出决算情况说明</w:t>
      </w:r>
    </w:p>
    <w:p w14:paraId="5F8E7F5B">
      <w:pPr>
        <w:spacing w:line="580" w:lineRule="exact"/>
        <w:ind w:firstLine="640"/>
        <w:jc w:val="both"/>
      </w:pPr>
      <w:r>
        <w:rPr>
          <w:rFonts w:ascii="仿宋_GB2312" w:hAnsi="仿宋_GB2312" w:eastAsia="仿宋_GB2312"/>
          <w:b/>
          <w:sz w:val="32"/>
        </w:rPr>
        <w:t>本年支出4,563.44万元，</w:t>
      </w:r>
      <w:r>
        <w:rPr>
          <w:rFonts w:ascii="仿宋_GB2312" w:hAnsi="仿宋_GB2312" w:eastAsia="仿宋_GB2312"/>
          <w:b w:val="0"/>
          <w:sz w:val="32"/>
        </w:rPr>
        <w:t>其中：基本支出4,563.44万元，占100.00%；项目支出0.00万元，占0.00%；上缴上级支出0.00万元，占0.00%；经营支出0.00万元，占0.00%；对附属单位补助支出0.00万元，占0.00%。</w:t>
      </w:r>
    </w:p>
    <w:p w14:paraId="590CA4E7">
      <w:pPr>
        <w:spacing w:line="640" w:lineRule="exact"/>
        <w:ind w:firstLine="640"/>
        <w:jc w:val="both"/>
        <w:outlineLvl w:val="2"/>
      </w:pPr>
      <w:r>
        <w:rPr>
          <w:rFonts w:ascii="黑体" w:hAnsi="黑体" w:eastAsia="黑体"/>
          <w:sz w:val="32"/>
        </w:rPr>
        <w:t>四、财政拨款收入支出决算总体情况说明</w:t>
      </w:r>
    </w:p>
    <w:p w14:paraId="2C0C4382">
      <w:pPr>
        <w:spacing w:line="580" w:lineRule="exact"/>
        <w:ind w:firstLine="640"/>
        <w:jc w:val="both"/>
      </w:pPr>
      <w:r>
        <w:rPr>
          <w:rFonts w:ascii="仿宋_GB2312" w:hAnsi="仿宋_GB2312" w:eastAsia="仿宋_GB2312"/>
          <w:b/>
          <w:sz w:val="32"/>
        </w:rPr>
        <w:t>2024年度财政拨款收入总计4,563.44万元，</w:t>
      </w:r>
      <w:r>
        <w:rPr>
          <w:rFonts w:ascii="仿宋_GB2312" w:hAnsi="仿宋_GB2312" w:eastAsia="仿宋_GB2312"/>
          <w:b w:val="0"/>
          <w:sz w:val="32"/>
        </w:rPr>
        <w:t>其中：年初财政拨款结转和结余0.00万元，本年财政拨款收入4,563.44万元。</w:t>
      </w:r>
      <w:r>
        <w:rPr>
          <w:rFonts w:ascii="仿宋_GB2312" w:hAnsi="仿宋_GB2312" w:eastAsia="仿宋_GB2312"/>
          <w:b/>
          <w:sz w:val="32"/>
        </w:rPr>
        <w:t>财政拨款支出总计4,563.44万元，</w:t>
      </w:r>
      <w:r>
        <w:rPr>
          <w:rFonts w:ascii="仿宋_GB2312" w:hAnsi="仿宋_GB2312" w:eastAsia="仿宋_GB2312"/>
          <w:b w:val="0"/>
          <w:sz w:val="32"/>
        </w:rPr>
        <w:t>其中：年末财政拨款结转和结余0.00万元，本年财政拨款支出4,563.44万元。</w:t>
      </w:r>
    </w:p>
    <w:p w14:paraId="1DB3798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减少650.94万元，下降12.48%，主要原因是：本年度减少新校址实验楼工程项目。</w:t>
      </w:r>
      <w:r>
        <w:rPr>
          <w:rFonts w:ascii="仿宋_GB2312" w:hAnsi="仿宋_GB2312" w:eastAsia="仿宋_GB2312"/>
          <w:b/>
          <w:sz w:val="32"/>
        </w:rPr>
        <w:t>与年初预算相比，</w:t>
      </w:r>
      <w:r>
        <w:rPr>
          <w:rFonts w:ascii="仿宋_GB2312" w:hAnsi="仿宋_GB2312" w:eastAsia="仿宋_GB2312"/>
          <w:b w:val="0"/>
          <w:sz w:val="32"/>
        </w:rPr>
        <w:t>年初预算数5,087.39万元，决算数4,563.44万元，预决算差异率-10.30%，主要原因是：2024年年初预算安排的新校址教学设备仪器采购项目，年中由教育局统一招标支出，年中调减项目预算，导致预决算存在差异。</w:t>
      </w:r>
    </w:p>
    <w:p w14:paraId="4F683008">
      <w:pPr>
        <w:spacing w:line="640" w:lineRule="exact"/>
        <w:ind w:firstLine="640"/>
        <w:jc w:val="both"/>
        <w:outlineLvl w:val="2"/>
      </w:pPr>
      <w:r>
        <w:rPr>
          <w:rFonts w:ascii="黑体" w:hAnsi="黑体" w:eastAsia="黑体"/>
          <w:sz w:val="32"/>
        </w:rPr>
        <w:t>五、一般公共预算财政拨款支出决算情况说明</w:t>
      </w:r>
    </w:p>
    <w:p w14:paraId="7C98C523">
      <w:pPr>
        <w:spacing w:line="640" w:lineRule="exact"/>
        <w:ind w:firstLine="640"/>
        <w:jc w:val="both"/>
        <w:outlineLvl w:val="3"/>
      </w:pPr>
      <w:r>
        <w:rPr>
          <w:rFonts w:ascii="楷体_GB2312" w:hAnsi="楷体_GB2312" w:eastAsia="楷体_GB2312"/>
          <w:b/>
          <w:sz w:val="32"/>
        </w:rPr>
        <w:t>（一）一般公共预算财政拨款支出决算总体情况</w:t>
      </w:r>
    </w:p>
    <w:p w14:paraId="60BD9D14">
      <w:pPr>
        <w:spacing w:line="580" w:lineRule="exact"/>
        <w:ind w:firstLine="640"/>
        <w:jc w:val="both"/>
      </w:pPr>
      <w:r>
        <w:rPr>
          <w:rFonts w:ascii="仿宋_GB2312" w:hAnsi="仿宋_GB2312" w:eastAsia="仿宋_GB2312"/>
          <w:b/>
          <w:sz w:val="32"/>
        </w:rPr>
        <w:t>2024年度一般公共预算财政拨款支出4,563.44万元，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减少650.94万元，下降12.48%，主要原因是：本年度减少新校址实验楼工程项目。</w:t>
      </w:r>
      <w:r>
        <w:rPr>
          <w:rFonts w:ascii="仿宋_GB2312" w:hAnsi="仿宋_GB2312" w:eastAsia="仿宋_GB2312"/>
          <w:b/>
          <w:sz w:val="32"/>
        </w:rPr>
        <w:t>与年初预算相比,</w:t>
      </w:r>
      <w:r>
        <w:rPr>
          <w:rFonts w:ascii="仿宋_GB2312" w:hAnsi="仿宋_GB2312" w:eastAsia="仿宋_GB2312"/>
          <w:b w:val="0"/>
          <w:sz w:val="32"/>
        </w:rPr>
        <w:t>年初预算数5,087.39万元，决算数4,563.44万元，预决算差异率-10.30%，主要原因是：2024年年初预算安排的新校址教学设备仪器采购项目，年中由教育局统一招标支出，年中调减项目预算，导致预决算存在差异。</w:t>
      </w:r>
    </w:p>
    <w:p w14:paraId="3E5C5A2C">
      <w:pPr>
        <w:spacing w:line="640" w:lineRule="exact"/>
        <w:ind w:firstLine="640"/>
        <w:jc w:val="both"/>
        <w:outlineLvl w:val="3"/>
      </w:pPr>
      <w:r>
        <w:rPr>
          <w:rFonts w:ascii="楷体_GB2312" w:hAnsi="楷体_GB2312" w:eastAsia="楷体_GB2312"/>
          <w:b/>
          <w:sz w:val="32"/>
        </w:rPr>
        <w:t>（二）一般公共预算财政拨款支出决算结构情况</w:t>
      </w:r>
    </w:p>
    <w:p w14:paraId="4D11C152">
      <w:pPr>
        <w:spacing w:line="580" w:lineRule="exact"/>
        <w:ind w:firstLine="640"/>
        <w:jc w:val="both"/>
      </w:pPr>
      <w:r>
        <w:rPr>
          <w:rFonts w:ascii="仿宋_GB2312" w:hAnsi="仿宋_GB2312" w:eastAsia="仿宋_GB2312"/>
          <w:b w:val="0"/>
          <w:sz w:val="32"/>
        </w:rPr>
        <w:t>1.教育支出(类)3,894.90万元,占85.35%。</w:t>
      </w:r>
    </w:p>
    <w:p w14:paraId="3C22F2FC">
      <w:pPr>
        <w:spacing w:line="580" w:lineRule="exact"/>
        <w:ind w:firstLine="640"/>
        <w:jc w:val="both"/>
      </w:pPr>
      <w:r>
        <w:rPr>
          <w:rFonts w:ascii="仿宋_GB2312" w:hAnsi="仿宋_GB2312" w:eastAsia="仿宋_GB2312"/>
          <w:b w:val="0"/>
          <w:sz w:val="32"/>
        </w:rPr>
        <w:t>2.社会保障和就业支出(类)484.85万元,占10.62%。</w:t>
      </w:r>
    </w:p>
    <w:p w14:paraId="482C1AE7">
      <w:pPr>
        <w:spacing w:line="580" w:lineRule="exact"/>
        <w:ind w:firstLine="640"/>
        <w:jc w:val="both"/>
      </w:pPr>
      <w:r>
        <w:rPr>
          <w:rFonts w:ascii="仿宋_GB2312" w:hAnsi="仿宋_GB2312" w:eastAsia="仿宋_GB2312"/>
          <w:b w:val="0"/>
          <w:sz w:val="32"/>
        </w:rPr>
        <w:t>3.卫生健康支出(类)183.69万元,占4.03%。</w:t>
      </w:r>
    </w:p>
    <w:p w14:paraId="35BA15AE">
      <w:pPr>
        <w:spacing w:line="640" w:lineRule="exact"/>
        <w:ind w:firstLine="640"/>
        <w:jc w:val="both"/>
        <w:outlineLvl w:val="3"/>
      </w:pPr>
      <w:r>
        <w:rPr>
          <w:rFonts w:ascii="楷体_GB2312" w:hAnsi="楷体_GB2312" w:eastAsia="楷体_GB2312"/>
          <w:b/>
          <w:sz w:val="32"/>
        </w:rPr>
        <w:t>（三）一般公共预算财政拨款支出决算具体情况</w:t>
      </w:r>
    </w:p>
    <w:p w14:paraId="4BD6510C">
      <w:pPr>
        <w:spacing w:line="580" w:lineRule="exact"/>
        <w:ind w:firstLine="640"/>
        <w:jc w:val="both"/>
      </w:pPr>
      <w:r>
        <w:rPr>
          <w:rFonts w:ascii="仿宋_GB2312" w:hAnsi="仿宋_GB2312" w:eastAsia="仿宋_GB2312"/>
          <w:b w:val="0"/>
          <w:sz w:val="32"/>
        </w:rPr>
        <w:t>1.教育支出(类)普通教育(款)初中教育(项):支出决算数为3.98万元，比上年决算增加3.98万元，增长100.00%,主要原因是：2024年我校由普通高中改为完全中学，新增初中班级2个，学生助学金有所增加。</w:t>
      </w:r>
    </w:p>
    <w:p w14:paraId="527722A1">
      <w:pPr>
        <w:spacing w:line="580" w:lineRule="exact"/>
        <w:ind w:firstLine="640"/>
        <w:jc w:val="both"/>
      </w:pPr>
      <w:r>
        <w:rPr>
          <w:rFonts w:ascii="仿宋_GB2312" w:hAnsi="仿宋_GB2312" w:eastAsia="仿宋_GB2312"/>
          <w:b w:val="0"/>
          <w:sz w:val="32"/>
        </w:rPr>
        <w:t>2.教育支出(类)普通教育(款)高中教育(项):支出决算数为3,779.02万元，比上年决算减少471.05万元，下降11.08%,主要原因是：本年度减少新校址实验楼工程项目。</w:t>
      </w:r>
    </w:p>
    <w:p w14:paraId="369C90E2">
      <w:pPr>
        <w:spacing w:line="580" w:lineRule="exact"/>
        <w:ind w:firstLine="640"/>
        <w:jc w:val="both"/>
      </w:pPr>
      <w:r>
        <w:rPr>
          <w:rFonts w:ascii="仿宋_GB2312" w:hAnsi="仿宋_GB2312" w:eastAsia="仿宋_GB2312"/>
          <w:b w:val="0"/>
          <w:sz w:val="32"/>
        </w:rPr>
        <w:t>3.教育支出(类)普通教育(款)其他普通教育支出(项):支出决算数为111.91万元，比上年决算增加89.67万元，增长403.19%,主要原因是：2024年支出2023年新校址实验楼工程尾款，导致比上年决算增加。</w:t>
      </w:r>
    </w:p>
    <w:p w14:paraId="7396F87A">
      <w:pPr>
        <w:spacing w:line="580" w:lineRule="exact"/>
        <w:ind w:firstLine="640"/>
        <w:jc w:val="both"/>
      </w:pPr>
      <w:r>
        <w:rPr>
          <w:rFonts w:ascii="仿宋_GB2312" w:hAnsi="仿宋_GB2312" w:eastAsia="仿宋_GB2312"/>
          <w:b w:val="0"/>
          <w:sz w:val="32"/>
        </w:rPr>
        <w:t>4.教育支出(类)教育费附加安排的支出(款)其他教育费附加安排的支出(项):支出决算数为0.00万元，比上年决算减少1.52万元，下降100.00%,主要原因是：本年未安排教师继续教育费用支出。</w:t>
      </w:r>
    </w:p>
    <w:p w14:paraId="43DA0698">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5.社会保障和就业支出(类)行政事业单位养老支出(款)事业单位离退休(项):支出决算数为66.62万元，比上年决算增加35.84万元，增长116.44%,主要原因是：本年增加退休人员基础绩效奖，退休费支出增加。</w:t>
      </w:r>
    </w:p>
    <w:p w14:paraId="2D32EAAA">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363.58万元，比上年决算增加28.20万元，增长8.41%,主要原因是：本年在职人员增加，养老保险缴费较上年增加。</w:t>
      </w:r>
    </w:p>
    <w:p w14:paraId="0651608D">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54.65万元，比上年决算增加12.28万元，增长28.98%,主要原因是：本年新增退休人员较上年增加，职业年金缴费支出增加。</w:t>
      </w:r>
    </w:p>
    <w:p w14:paraId="37ECA28F">
      <w:pPr>
        <w:spacing w:line="580" w:lineRule="exact"/>
        <w:ind w:firstLine="640"/>
        <w:jc w:val="both"/>
      </w:pPr>
      <w:r>
        <w:rPr>
          <w:rFonts w:ascii="仿宋_GB2312" w:hAnsi="仿宋_GB2312" w:eastAsia="仿宋_GB2312"/>
          <w:b w:val="0"/>
          <w:sz w:val="32"/>
        </w:rPr>
        <w:t>8.社会保障和就业支出(类)抚恤(款)死亡抚恤(项):支出决算数为0.00万元，比上年决算减少51.84万元，下降100.00%,主要原因是：本年</w:t>
      </w:r>
      <w:r>
        <w:rPr>
          <w:rFonts w:hint="eastAsia" w:ascii="仿宋_GB2312" w:hAnsi="仿宋_GB2312" w:eastAsia="仿宋_GB2312"/>
          <w:b w:val="0"/>
          <w:sz w:val="32"/>
          <w:lang w:val="en-US" w:eastAsia="zh-CN"/>
        </w:rPr>
        <w:t>无</w:t>
      </w:r>
      <w:r>
        <w:rPr>
          <w:rFonts w:ascii="仿宋_GB2312" w:hAnsi="仿宋_GB2312" w:eastAsia="仿宋_GB2312"/>
          <w:b w:val="0"/>
          <w:sz w:val="32"/>
        </w:rPr>
        <w:t>死亡教职工，抚恤金支出减少。</w:t>
      </w:r>
    </w:p>
    <w:p w14:paraId="5283F7E6">
      <w:pPr>
        <w:spacing w:line="580" w:lineRule="exact"/>
        <w:ind w:firstLine="640"/>
        <w:jc w:val="both"/>
      </w:pPr>
      <w:r>
        <w:rPr>
          <w:rFonts w:ascii="仿宋_GB2312" w:hAnsi="仿宋_GB2312" w:eastAsia="仿宋_GB2312"/>
          <w:b w:val="0"/>
          <w:sz w:val="32"/>
        </w:rPr>
        <w:t>9.卫生健康支出(类)行政事业单位医疗(款)事业单位医疗(项):支出决算数为183.69万元，比上年决算减少22.47万元，下降10.90%,主要原因是：因退休人员医疗保险制度改革，退休人员基本医疗不再由单位缴纳，导致经费较上年减少。</w:t>
      </w:r>
    </w:p>
    <w:p w14:paraId="634556B8">
      <w:pPr>
        <w:spacing w:line="580" w:lineRule="exact"/>
        <w:ind w:firstLine="640"/>
        <w:jc w:val="both"/>
      </w:pPr>
      <w:r>
        <w:rPr>
          <w:rFonts w:ascii="仿宋_GB2312" w:hAnsi="仿宋_GB2312" w:eastAsia="仿宋_GB2312"/>
          <w:b w:val="0"/>
          <w:sz w:val="32"/>
        </w:rPr>
        <w:t>10.住房保障支出(类)住房改革支出(款)住房公积金(项):支出决算数为0.00万元，比上年决算减少274.01万元，下降100.00%,主要原因是：本年功能科目调整，住房公积金上年度单独列支，本年调整至主科目列支，导致经费较上年减少。</w:t>
      </w:r>
    </w:p>
    <w:p w14:paraId="32B77646">
      <w:pPr>
        <w:spacing w:line="640" w:lineRule="exact"/>
        <w:ind w:firstLine="640"/>
        <w:jc w:val="both"/>
        <w:outlineLvl w:val="2"/>
      </w:pPr>
      <w:r>
        <w:rPr>
          <w:rFonts w:ascii="黑体" w:hAnsi="黑体" w:eastAsia="黑体"/>
          <w:sz w:val="32"/>
        </w:rPr>
        <w:t>六、一般公共预算财政拨款基本支出决算情况说明</w:t>
      </w:r>
    </w:p>
    <w:p w14:paraId="6648C609">
      <w:pPr>
        <w:spacing w:line="580" w:lineRule="exact"/>
        <w:ind w:firstLine="640"/>
        <w:jc w:val="both"/>
      </w:pPr>
      <w:r>
        <w:rPr>
          <w:rFonts w:ascii="仿宋_GB2312" w:hAnsi="仿宋_GB2312" w:eastAsia="仿宋_GB2312"/>
          <w:b w:val="0"/>
          <w:sz w:val="32"/>
        </w:rPr>
        <w:t>2024年度一般公共预算财政拨款基本支出4,563.44万元，其中：</w:t>
      </w:r>
      <w:r>
        <w:rPr>
          <w:rFonts w:ascii="仿宋_GB2312" w:hAnsi="仿宋_GB2312" w:eastAsia="仿宋_GB2312"/>
          <w:b/>
          <w:sz w:val="32"/>
        </w:rPr>
        <w:t>人员经费3,824.22万元，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离休费、退休费、生活补助、医疗费补助、助学金、奖励金。</w:t>
      </w:r>
    </w:p>
    <w:p w14:paraId="6876DD6D">
      <w:pPr>
        <w:spacing w:line="580" w:lineRule="exact"/>
        <w:ind w:firstLine="640"/>
        <w:jc w:val="both"/>
      </w:pPr>
      <w:r>
        <w:rPr>
          <w:rFonts w:ascii="仿宋_GB2312" w:hAnsi="仿宋_GB2312" w:eastAsia="仿宋_GB2312"/>
          <w:b/>
          <w:sz w:val="32"/>
        </w:rPr>
        <w:t>公用经费739.22万元，</w:t>
      </w:r>
      <w:r>
        <w:rPr>
          <w:rFonts w:ascii="仿宋_GB2312" w:hAnsi="仿宋_GB2312" w:eastAsia="仿宋_GB2312"/>
          <w:b w:val="0"/>
          <w:sz w:val="32"/>
        </w:rPr>
        <w:t>包括：办公费、手续费、水费、电费、邮电费、取暖费、物业管理费、差旅费、维修（护）费、培训费、专用材料费、劳务费、工会经费、福利费、办公设备购置、专用设备购置、信息网络及软件购置更新。</w:t>
      </w:r>
    </w:p>
    <w:p w14:paraId="0BB7ABE6">
      <w:pPr>
        <w:spacing w:line="640" w:lineRule="exact"/>
        <w:ind w:firstLine="640"/>
        <w:jc w:val="both"/>
        <w:outlineLvl w:val="2"/>
      </w:pPr>
      <w:r>
        <w:rPr>
          <w:rFonts w:ascii="黑体" w:hAnsi="黑体" w:eastAsia="黑体"/>
          <w:sz w:val="32"/>
        </w:rPr>
        <w:t>七、政府性基金预算财政拨款收入支出决算情况说明</w:t>
      </w:r>
    </w:p>
    <w:p w14:paraId="462C400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AADF7DA">
      <w:pPr>
        <w:spacing w:line="640" w:lineRule="exact"/>
        <w:ind w:firstLine="640"/>
        <w:jc w:val="both"/>
        <w:outlineLvl w:val="2"/>
      </w:pPr>
      <w:r>
        <w:rPr>
          <w:rFonts w:ascii="黑体" w:hAnsi="黑体" w:eastAsia="黑体"/>
          <w:sz w:val="32"/>
        </w:rPr>
        <w:t>八、国有资本经营预算财政拨款收入支出决算情况说明</w:t>
      </w:r>
    </w:p>
    <w:p w14:paraId="3B51AF3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6F6E659">
      <w:pPr>
        <w:spacing w:line="640" w:lineRule="exact"/>
        <w:ind w:firstLine="640"/>
        <w:jc w:val="both"/>
        <w:outlineLvl w:val="2"/>
      </w:pPr>
      <w:r>
        <w:rPr>
          <w:rFonts w:ascii="黑体" w:hAnsi="黑体" w:eastAsia="黑体"/>
          <w:sz w:val="32"/>
        </w:rPr>
        <w:t>九、财政拨款“三公”经费支出决算情况说明</w:t>
      </w:r>
    </w:p>
    <w:p w14:paraId="617216D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F1A348E">
      <w:pPr>
        <w:spacing w:line="580" w:lineRule="exact"/>
        <w:ind w:firstLine="640"/>
        <w:jc w:val="both"/>
      </w:pPr>
      <w:r>
        <w:rPr>
          <w:rFonts w:ascii="仿宋_GB2312" w:hAnsi="仿宋_GB2312" w:eastAsia="仿宋_GB2312"/>
          <w:b/>
          <w:sz w:val="32"/>
        </w:rPr>
        <w:t>具体情况如下：</w:t>
      </w:r>
    </w:p>
    <w:p w14:paraId="79311F7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B6348A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2辆旅游观光车用于校园学生餐厅食材运输，车辆费用未使用财政拨款公务用车运行维护费支付。</w:t>
      </w:r>
    </w:p>
    <w:p w14:paraId="68EFA38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726E5C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DB65EFD">
      <w:pPr>
        <w:spacing w:line="640" w:lineRule="exact"/>
        <w:ind w:firstLine="640"/>
        <w:jc w:val="both"/>
        <w:outlineLvl w:val="2"/>
      </w:pPr>
      <w:r>
        <w:rPr>
          <w:rFonts w:ascii="黑体" w:hAnsi="黑体" w:eastAsia="黑体"/>
          <w:sz w:val="32"/>
        </w:rPr>
        <w:t>十、其他重要事项的情况说明</w:t>
      </w:r>
    </w:p>
    <w:p w14:paraId="727EE2AF">
      <w:pPr>
        <w:spacing w:line="640" w:lineRule="exact"/>
        <w:ind w:firstLine="640"/>
        <w:jc w:val="both"/>
        <w:outlineLvl w:val="3"/>
      </w:pPr>
      <w:r>
        <w:rPr>
          <w:rFonts w:ascii="楷体_GB2312" w:hAnsi="楷体_GB2312" w:eastAsia="楷体_GB2312"/>
          <w:b/>
          <w:sz w:val="32"/>
        </w:rPr>
        <w:t>（一）机关运行经费及公用经费支出情况</w:t>
      </w:r>
    </w:p>
    <w:p w14:paraId="017895CA">
      <w:pPr>
        <w:spacing w:line="580" w:lineRule="exact"/>
        <w:ind w:firstLine="640"/>
        <w:jc w:val="both"/>
      </w:pPr>
      <w:r>
        <w:rPr>
          <w:rFonts w:ascii="仿宋_GB2312" w:hAnsi="仿宋_GB2312" w:eastAsia="仿宋_GB2312"/>
          <w:b w:val="0"/>
          <w:sz w:val="32"/>
        </w:rPr>
        <w:t>2024年度霍城县江苏中学（事业单位）公用经费支出739.22万元，比上年增加135.31万元，增长22.41%，主要原因是：本年业务量增加，</w:t>
      </w:r>
      <w:r>
        <w:rPr>
          <w:rFonts w:hint="eastAsia" w:ascii="仿宋_GB2312" w:hAnsi="仿宋_GB2312" w:eastAsia="仿宋_GB2312"/>
          <w:b w:val="0"/>
          <w:sz w:val="32"/>
          <w:lang w:val="en-US" w:eastAsia="zh-CN"/>
        </w:rPr>
        <w:t>办公费、</w:t>
      </w:r>
      <w:r>
        <w:rPr>
          <w:rFonts w:ascii="仿宋_GB2312" w:hAnsi="仿宋_GB2312" w:eastAsia="仿宋_GB2312"/>
          <w:b w:val="0"/>
          <w:sz w:val="32"/>
        </w:rPr>
        <w:t>办公设备购置、专用设备购置</w:t>
      </w:r>
      <w:r>
        <w:rPr>
          <w:rFonts w:hint="eastAsia" w:ascii="仿宋_GB2312" w:hAnsi="仿宋_GB2312" w:eastAsia="仿宋_GB2312"/>
          <w:b w:val="0"/>
          <w:sz w:val="32"/>
          <w:lang w:val="en-US" w:eastAsia="zh-CN"/>
        </w:rPr>
        <w:t>增加，</w:t>
      </w:r>
      <w:bookmarkStart w:id="0" w:name="_GoBack"/>
      <w:bookmarkEnd w:id="0"/>
      <w:r>
        <w:rPr>
          <w:rFonts w:ascii="仿宋_GB2312" w:hAnsi="仿宋_GB2312" w:eastAsia="仿宋_GB2312"/>
          <w:b w:val="0"/>
          <w:sz w:val="32"/>
        </w:rPr>
        <w:t>公用经费增加。</w:t>
      </w:r>
    </w:p>
    <w:p w14:paraId="0719558B">
      <w:pPr>
        <w:spacing w:line="640" w:lineRule="exact"/>
        <w:ind w:firstLine="640"/>
        <w:jc w:val="both"/>
        <w:outlineLvl w:val="3"/>
      </w:pPr>
      <w:r>
        <w:rPr>
          <w:rFonts w:ascii="楷体_GB2312" w:hAnsi="楷体_GB2312" w:eastAsia="楷体_GB2312"/>
          <w:b/>
          <w:sz w:val="32"/>
        </w:rPr>
        <w:t>（二）政府采购情况</w:t>
      </w:r>
    </w:p>
    <w:p w14:paraId="1308503F">
      <w:pPr>
        <w:spacing w:line="580" w:lineRule="exact"/>
        <w:ind w:firstLine="640"/>
        <w:jc w:val="both"/>
      </w:pPr>
      <w:r>
        <w:rPr>
          <w:rFonts w:ascii="仿宋_GB2312" w:hAnsi="仿宋_GB2312" w:eastAsia="仿宋_GB2312"/>
          <w:b w:val="0"/>
          <w:sz w:val="32"/>
        </w:rPr>
        <w:t>2024年度政府采购支出总额21.75万元，其中：政府采购货物支出16.06万元、政府采购工程支出5.69万元、政府采购服务支出0.00万元。</w:t>
      </w:r>
    </w:p>
    <w:p w14:paraId="1C71C95E">
      <w:pPr>
        <w:spacing w:line="580" w:lineRule="exact"/>
        <w:ind w:firstLine="640"/>
        <w:jc w:val="both"/>
      </w:pPr>
      <w:r>
        <w:rPr>
          <w:rFonts w:ascii="仿宋_GB2312" w:hAnsi="仿宋_GB2312" w:eastAsia="仿宋_GB2312"/>
          <w:b w:val="0"/>
          <w:sz w:val="32"/>
        </w:rPr>
        <w:t>授予中小企业合同金额21.75万元，占政府采购支出总额的100.00%，其中：授予小微企业合同金额21.75万元，占政府采购支出总额的100.00%。</w:t>
      </w:r>
    </w:p>
    <w:p w14:paraId="6498807A">
      <w:pPr>
        <w:spacing w:line="640" w:lineRule="exact"/>
        <w:ind w:firstLine="640"/>
        <w:jc w:val="both"/>
        <w:outlineLvl w:val="3"/>
      </w:pPr>
      <w:r>
        <w:rPr>
          <w:rFonts w:ascii="楷体_GB2312" w:hAnsi="楷体_GB2312" w:eastAsia="楷体_GB2312"/>
          <w:b/>
          <w:sz w:val="32"/>
        </w:rPr>
        <w:t>（三）国有资产占用情况说明</w:t>
      </w:r>
    </w:p>
    <w:p w14:paraId="46E1C874">
      <w:pPr>
        <w:spacing w:line="580" w:lineRule="exact"/>
        <w:ind w:firstLine="640"/>
        <w:jc w:val="both"/>
      </w:pPr>
      <w:r>
        <w:rPr>
          <w:rFonts w:ascii="仿宋_GB2312" w:hAnsi="仿宋_GB2312" w:eastAsia="仿宋_GB2312"/>
          <w:b w:val="0"/>
          <w:sz w:val="32"/>
        </w:rPr>
        <w:t>截至2024年12月31日，房屋42,997.35平方米，价值5,240.77万元。车辆2辆，价值4.00万元，其中：副部（省）级及以上领导用车0辆、主要负责人用车0辆、机要通信用车0辆、应急保障用车0辆、执法执勤用车0辆、特种专业技术用车0辆、离退休干部服务用车0辆、其他用车2辆，其他用车主要是：2辆旅游观光车用于校园学生餐厅食材运输。单价100万元（含）以上设备（不含车辆）1台（套）。</w:t>
      </w:r>
    </w:p>
    <w:p w14:paraId="68BD40F4">
      <w:pPr>
        <w:spacing w:line="640" w:lineRule="exact"/>
        <w:ind w:firstLine="640"/>
        <w:jc w:val="both"/>
        <w:outlineLvl w:val="2"/>
      </w:pPr>
      <w:r>
        <w:rPr>
          <w:rFonts w:ascii="黑体" w:hAnsi="黑体" w:eastAsia="黑体"/>
          <w:sz w:val="32"/>
        </w:rPr>
        <w:t>十一、预算绩效的情况说明</w:t>
      </w:r>
    </w:p>
    <w:p w14:paraId="2EC993F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4,563.44万元，实际执行总额4,563.44万元；预算绩效评价项目0个，全年预算数0.00万元，全年执行数0.00万元。预算绩效管理取得的成效：一是资源配置优化：通过科学的预算绩效管理，学校能够更精准地将资金分配到教学、科研、师资建设等关键领域，提高了资源的利用效率。二是目标达成率提高：明确的预算绩效目标和定期的评估机制，使得学校各项工作计划的目标达成率显著提升，如教学质量的改善、科研成果的增加等。发现的问题及原因：一是学校规模不断扩大，学生扩招造成师资严重短缺。财务人员不足。二是个人对执行绩效管理监控的执行能力较弱，不能全面有效</w:t>
      </w:r>
      <w:r>
        <w:rPr>
          <w:rFonts w:hint="eastAsia" w:ascii="仿宋_GB2312" w:hAnsi="仿宋_GB2312" w:eastAsia="仿宋_GB2312"/>
          <w:b w:val="0"/>
          <w:sz w:val="32"/>
          <w:lang w:eastAsia="zh-CN"/>
        </w:rPr>
        <w:t>地</w:t>
      </w:r>
      <w:r>
        <w:rPr>
          <w:rFonts w:ascii="仿宋_GB2312" w:hAnsi="仿宋_GB2312" w:eastAsia="仿宋_GB2312"/>
          <w:b w:val="0"/>
          <w:sz w:val="32"/>
        </w:rPr>
        <w:t>开展此项工作。下一步改进措施：一是加强财务人员培训，提高财务人员管理效率，保证学校经济活动有效进行，总结经验，充分分析讨论学校各类开支事项的必要性和</w:t>
      </w:r>
      <w:r>
        <w:rPr>
          <w:rFonts w:hint="eastAsia" w:ascii="仿宋_GB2312" w:hAnsi="仿宋_GB2312" w:eastAsia="仿宋_GB2312"/>
          <w:b w:val="0"/>
          <w:sz w:val="32"/>
          <w:lang w:eastAsia="zh-CN"/>
        </w:rPr>
        <w:t>可能性</w:t>
      </w:r>
      <w:r>
        <w:rPr>
          <w:rFonts w:ascii="仿宋_GB2312" w:hAnsi="仿宋_GB2312" w:eastAsia="仿宋_GB2312"/>
          <w:b w:val="0"/>
          <w:sz w:val="32"/>
        </w:rPr>
        <w:t>，力求预算精细精准，定期公示，把握预算执行进度，及时解决预算执行中出现的困难和问题。在今后的工作中我们将加强与财政部门的紧密配合开展好整体支出及项目资金绩效管理工作运用好绩效评价的结果不断提升预算管理水平。二是提高单位领导对预算管理的重视，增强单位领导和财务</w:t>
      </w:r>
      <w:r>
        <w:rPr>
          <w:rFonts w:hint="eastAsia" w:ascii="仿宋_GB2312" w:hAnsi="仿宋_GB2312" w:eastAsia="仿宋_GB2312"/>
          <w:b w:val="0"/>
          <w:sz w:val="32"/>
          <w:lang w:eastAsia="zh-CN"/>
        </w:rPr>
        <w:t>人员</w:t>
      </w:r>
      <w:r>
        <w:rPr>
          <w:rFonts w:ascii="仿宋_GB2312" w:hAnsi="仿宋_GB2312" w:eastAsia="仿宋_GB2312"/>
          <w:b w:val="0"/>
          <w:sz w:val="32"/>
        </w:rPr>
        <w:t>绩效管理。进一步提高绩效管理水平。由于目前的预算管理在编制和实施中还存在编制不细、预算调整较多、追加预算比重较大等现象因此项目预算执行的准确性还有待加强，同时分析手段和技术水平上还有待完善。具体附整体支出绩效自评表。</w:t>
      </w:r>
    </w:p>
    <w:p w14:paraId="44BC58A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DE6CC86">
        <w:tblPrEx>
          <w:tblCellMar>
            <w:top w:w="0" w:type="dxa"/>
            <w:left w:w="108" w:type="dxa"/>
            <w:bottom w:w="0" w:type="dxa"/>
            <w:right w:w="108" w:type="dxa"/>
          </w:tblCellMar>
        </w:tblPrEx>
        <w:tc>
          <w:tcPr>
            <w:tcW w:w="8840" w:type="dxa"/>
            <w:gridSpan w:val="8"/>
            <w:vAlign w:val="center"/>
          </w:tcPr>
          <w:p w14:paraId="1A410F83">
            <w:pPr>
              <w:jc w:val="center"/>
            </w:pPr>
            <w:r>
              <w:rPr>
                <w:rFonts w:ascii="宋体" w:hAnsi="宋体" w:eastAsia="宋体"/>
                <w:sz w:val="24"/>
              </w:rPr>
              <w:t>单位整体支出绩效自评表</w:t>
            </w:r>
          </w:p>
        </w:tc>
      </w:tr>
      <w:tr w14:paraId="12034AA4">
        <w:tblPrEx>
          <w:tblCellMar>
            <w:top w:w="0" w:type="dxa"/>
            <w:left w:w="108" w:type="dxa"/>
            <w:bottom w:w="0" w:type="dxa"/>
            <w:right w:w="108" w:type="dxa"/>
          </w:tblCellMar>
        </w:tblPrEx>
        <w:tc>
          <w:tcPr>
            <w:tcW w:w="8840" w:type="dxa"/>
            <w:gridSpan w:val="8"/>
            <w:vAlign w:val="center"/>
          </w:tcPr>
          <w:p w14:paraId="00D1F2EA">
            <w:pPr>
              <w:jc w:val="center"/>
            </w:pPr>
            <w:r>
              <w:rPr>
                <w:rFonts w:ascii="宋体" w:hAnsi="宋体" w:eastAsia="宋体"/>
                <w:sz w:val="24"/>
              </w:rPr>
              <w:t>（2024年度）</w:t>
            </w:r>
          </w:p>
        </w:tc>
      </w:tr>
      <w:tr w14:paraId="441308C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9D8BC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C0B7C8">
            <w:pPr>
              <w:jc w:val="center"/>
            </w:pPr>
            <w:r>
              <w:rPr>
                <w:rFonts w:ascii="宋体" w:hAnsi="宋体" w:eastAsia="宋体"/>
                <w:sz w:val="16"/>
              </w:rPr>
              <w:t>霍城县江苏中学</w:t>
            </w:r>
          </w:p>
        </w:tc>
      </w:tr>
      <w:tr w14:paraId="4D22892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31E01">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96AAE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C348D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27A085">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F7850">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27DA2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D39F1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7C366A">
            <w:pPr>
              <w:jc w:val="center"/>
            </w:pPr>
            <w:r>
              <w:rPr>
                <w:rFonts w:ascii="宋体" w:hAnsi="宋体" w:eastAsia="宋体"/>
                <w:sz w:val="16"/>
              </w:rPr>
              <w:t>得分</w:t>
            </w:r>
          </w:p>
        </w:tc>
      </w:tr>
      <w:tr w14:paraId="212E0F9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4EF97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C9B3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E5782B">
            <w:pPr>
              <w:jc w:val="center"/>
            </w:pPr>
            <w:r>
              <w:rPr>
                <w:rFonts w:ascii="宋体" w:hAnsi="宋体" w:eastAsia="宋体"/>
                <w:sz w:val="16"/>
              </w:rPr>
              <w:t>5,087.39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3ADC30">
            <w:pPr>
              <w:jc w:val="center"/>
            </w:pPr>
            <w:r>
              <w:rPr>
                <w:rFonts w:ascii="宋体" w:hAnsi="宋体" w:eastAsia="宋体"/>
                <w:sz w:val="16"/>
              </w:rPr>
              <w:t>4,563.44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F1834">
            <w:pPr>
              <w:jc w:val="center"/>
            </w:pPr>
            <w:r>
              <w:rPr>
                <w:rFonts w:ascii="宋体" w:hAnsi="宋体" w:eastAsia="宋体"/>
                <w:sz w:val="16"/>
              </w:rPr>
              <w:t>4,563.44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68CD8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DA68E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A3E328">
            <w:pPr>
              <w:jc w:val="center"/>
            </w:pPr>
            <w:r>
              <w:rPr>
                <w:rFonts w:ascii="宋体" w:hAnsi="宋体" w:eastAsia="宋体"/>
                <w:sz w:val="16"/>
              </w:rPr>
              <w:t>10</w:t>
            </w:r>
          </w:p>
        </w:tc>
      </w:tr>
      <w:tr w14:paraId="2609CC4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D281A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D4E3FD">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ED7038">
            <w:pPr>
              <w:jc w:val="center"/>
            </w:pPr>
            <w:r>
              <w:rPr>
                <w:rFonts w:ascii="宋体" w:hAnsi="宋体" w:eastAsia="宋体"/>
                <w:sz w:val="16"/>
              </w:rPr>
              <w:t>992.56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76BE71">
            <w:pPr>
              <w:jc w:val="center"/>
            </w:pPr>
            <w:r>
              <w:rPr>
                <w:rFonts w:ascii="宋体" w:hAnsi="宋体" w:eastAsia="宋体"/>
                <w:sz w:val="16"/>
              </w:rPr>
              <w:t>992.56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F27102">
            <w:pPr>
              <w:jc w:val="center"/>
            </w:pPr>
            <w:r>
              <w:rPr>
                <w:rFonts w:ascii="宋体" w:hAnsi="宋体" w:eastAsia="宋体"/>
                <w:sz w:val="16"/>
              </w:rPr>
              <w:t>992.56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FC3F6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F522E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C3EC60">
            <w:pPr>
              <w:jc w:val="center"/>
            </w:pPr>
            <w:r>
              <w:rPr>
                <w:rFonts w:ascii="宋体" w:hAnsi="宋体" w:eastAsia="宋体"/>
                <w:sz w:val="16"/>
              </w:rPr>
              <w:t>-</w:t>
            </w:r>
          </w:p>
        </w:tc>
      </w:tr>
      <w:tr w14:paraId="7D28153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36E5C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42199">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BD278F">
            <w:pPr>
              <w:jc w:val="center"/>
            </w:pPr>
            <w:r>
              <w:rPr>
                <w:rFonts w:ascii="宋体" w:hAnsi="宋体" w:eastAsia="宋体"/>
                <w:sz w:val="16"/>
              </w:rPr>
              <w:t>4,094.83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E3FFB4">
            <w:pPr>
              <w:jc w:val="center"/>
            </w:pPr>
            <w:r>
              <w:rPr>
                <w:rFonts w:ascii="宋体" w:hAnsi="宋体" w:eastAsia="宋体"/>
                <w:sz w:val="16"/>
              </w:rPr>
              <w:t>3,570.88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975D95">
            <w:pPr>
              <w:jc w:val="center"/>
            </w:pPr>
            <w:r>
              <w:rPr>
                <w:rFonts w:ascii="宋体" w:hAnsi="宋体" w:eastAsia="宋体"/>
                <w:sz w:val="16"/>
              </w:rPr>
              <w:t>3,570.88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47B2C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101A8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A355F6">
            <w:pPr>
              <w:jc w:val="center"/>
            </w:pPr>
            <w:r>
              <w:rPr>
                <w:rFonts w:ascii="宋体" w:hAnsi="宋体" w:eastAsia="宋体"/>
                <w:sz w:val="16"/>
              </w:rPr>
              <w:t>-</w:t>
            </w:r>
          </w:p>
        </w:tc>
      </w:tr>
      <w:tr w14:paraId="71FF78C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D5116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D41CC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2D51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0F670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E42B6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A474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AA3C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AB33BA">
            <w:pPr>
              <w:jc w:val="center"/>
            </w:pPr>
            <w:r>
              <w:rPr>
                <w:rFonts w:ascii="宋体" w:hAnsi="宋体" w:eastAsia="宋体"/>
                <w:sz w:val="16"/>
              </w:rPr>
              <w:t>-</w:t>
            </w:r>
          </w:p>
        </w:tc>
      </w:tr>
      <w:tr w14:paraId="3743981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D80A01">
            <w:pPr>
              <w:jc w:val="center"/>
            </w:pPr>
            <w:r>
              <w:rPr>
                <w:rFonts w:ascii="宋体" w:hAnsi="宋体" w:eastAsia="宋体"/>
                <w:sz w:val="16"/>
              </w:rPr>
              <w:t>年度总体目标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8AD4E2">
            <w:pPr>
              <w:jc w:val="center"/>
            </w:pPr>
            <w:r>
              <w:rPr>
                <w:rFonts w:ascii="宋体" w:hAnsi="宋体" w:eastAsia="宋体"/>
                <w:sz w:val="16"/>
              </w:rPr>
              <w:t>预期目标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E191E4">
            <w:pPr>
              <w:jc w:val="center"/>
            </w:pPr>
            <w:r>
              <w:rPr>
                <w:rFonts w:ascii="宋体" w:hAnsi="宋体" w:eastAsia="宋体"/>
                <w:sz w:val="16"/>
              </w:rPr>
              <w:t>实际完成情况</w:t>
            </w:r>
          </w:p>
        </w:tc>
      </w:tr>
      <w:tr w14:paraId="692EE5C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BA1182"/>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2C30C0">
            <w:pPr>
              <w:jc w:val="both"/>
            </w:pPr>
            <w:r>
              <w:rPr>
                <w:rFonts w:ascii="宋体" w:hAnsi="宋体" w:eastAsia="宋体"/>
                <w:sz w:val="16"/>
              </w:rPr>
              <w:t>树立以人为本意识，抓好两支队伍建设落实民主集中制，建设廉洁、高效、团结的领导班子，为学校发展贡献力量。加强教育教学管理，提高课堂教学效率，提升学科教研活动的教研深度和广度，丰富教研活动的形式，建设一支高素质的师资队伍，为学校可持续发展奠定基础，巩固、提高教学质量,建立“教研能力提升—改善教学行为—提升教学成绩—反馈、教研能力再提升”的闭合回路教研能力的成长模式,加强学校的指导服务，积极推动高中学校多样化发展，促进学校提升办学质量和办学水平，对学生进行安全防范和环保宣传教育课,满足学生个性化发展，提高育人水平。</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6A217B">
            <w:pPr>
              <w:jc w:val="both"/>
            </w:pPr>
            <w:r>
              <w:rPr>
                <w:rFonts w:ascii="宋体" w:hAnsi="宋体" w:eastAsia="宋体"/>
                <w:sz w:val="16"/>
              </w:rPr>
              <w:t>加强教育教学管理，2024年高考上线率100％，学业水平考试及格率98.3%，教师教材考试过关率100%，提高课堂教学效率，提升学科教研活动</w:t>
            </w:r>
            <w:r>
              <w:rPr>
                <w:rFonts w:hint="eastAsia" w:ascii="宋体" w:hAnsi="宋体"/>
                <w:sz w:val="16"/>
                <w:lang w:eastAsia="zh-CN"/>
              </w:rPr>
              <w:t>的</w:t>
            </w:r>
            <w:r>
              <w:rPr>
                <w:rFonts w:ascii="宋体" w:hAnsi="宋体" w:eastAsia="宋体"/>
                <w:sz w:val="16"/>
              </w:rPr>
              <w:t>教研深度和广度，丰富教研活动形式，提升教师队伍素质，加强学校德</w:t>
            </w:r>
            <w:r>
              <w:rPr>
                <w:rFonts w:hint="eastAsia" w:ascii="宋体" w:hAnsi="宋体"/>
                <w:sz w:val="16"/>
                <w:lang w:eastAsia="zh-CN"/>
              </w:rPr>
              <w:t>指导</w:t>
            </w:r>
            <w:r>
              <w:rPr>
                <w:rFonts w:ascii="宋体" w:hAnsi="宋体" w:eastAsia="宋体"/>
                <w:sz w:val="16"/>
              </w:rPr>
              <w:t>服务，推动高中学校多样化发展提高教育水平。</w:t>
            </w:r>
          </w:p>
        </w:tc>
      </w:tr>
      <w:tr w14:paraId="1E15635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4DE9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BD6F8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28D54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E8B85">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4A4CFF">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D0ED1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5809CD">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C5B353">
            <w:pPr>
              <w:jc w:val="center"/>
            </w:pPr>
            <w:r>
              <w:rPr>
                <w:rFonts w:ascii="宋体" w:hAnsi="宋体" w:eastAsia="宋体"/>
                <w:sz w:val="16"/>
              </w:rPr>
              <w:t>得分</w:t>
            </w:r>
          </w:p>
        </w:tc>
      </w:tr>
      <w:tr w14:paraId="4A55CA7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67D9B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F424F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E9B62C">
            <w:pPr>
              <w:jc w:val="center"/>
            </w:pPr>
            <w:r>
              <w:rPr>
                <w:rFonts w:ascii="宋体" w:hAnsi="宋体" w:eastAsia="宋体"/>
                <w:sz w:val="16"/>
              </w:rPr>
              <w:t>教材考试合格率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5C529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FE86D8">
            <w:pPr>
              <w:jc w:val="center"/>
            </w:pPr>
            <w:r>
              <w:rPr>
                <w:rFonts w:ascii="宋体" w:hAnsi="宋体" w:eastAsia="宋体"/>
                <w:sz w:val="16"/>
              </w:rPr>
              <w:t>霍城县江苏中学2023-2024学年第二学期学校工作计划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2CB372">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9DFA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4290D7">
            <w:pPr>
              <w:jc w:val="center"/>
            </w:pPr>
            <w:r>
              <w:rPr>
                <w:rFonts w:ascii="宋体" w:hAnsi="宋体" w:eastAsia="宋体"/>
                <w:sz w:val="16"/>
              </w:rPr>
              <w:t>30</w:t>
            </w:r>
          </w:p>
        </w:tc>
      </w:tr>
      <w:tr w14:paraId="1AA957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6765F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47D27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E46210">
            <w:pPr>
              <w:jc w:val="center"/>
            </w:pPr>
            <w:r>
              <w:rPr>
                <w:rFonts w:ascii="宋体" w:hAnsi="宋体" w:eastAsia="宋体"/>
                <w:sz w:val="16"/>
              </w:rPr>
              <w:t>高考上线率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08D06">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1F20B9">
            <w:pPr>
              <w:jc w:val="center"/>
            </w:pPr>
            <w:r>
              <w:rPr>
                <w:rFonts w:ascii="宋体" w:hAnsi="宋体" w:eastAsia="宋体"/>
                <w:sz w:val="16"/>
              </w:rPr>
              <w:t>霍城县江苏中学2023-2024学年第二学期学校工作计划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9F8C1E">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62303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CF61F2">
            <w:pPr>
              <w:jc w:val="center"/>
            </w:pPr>
            <w:r>
              <w:rPr>
                <w:rFonts w:ascii="宋体" w:hAnsi="宋体" w:eastAsia="宋体"/>
                <w:sz w:val="16"/>
              </w:rPr>
              <w:t>30</w:t>
            </w:r>
          </w:p>
        </w:tc>
      </w:tr>
      <w:tr w14:paraId="6140ADC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4CEEB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384B7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03537">
            <w:pPr>
              <w:jc w:val="center"/>
            </w:pPr>
            <w:r>
              <w:rPr>
                <w:rFonts w:ascii="宋体" w:hAnsi="宋体" w:eastAsia="宋体"/>
                <w:sz w:val="16"/>
              </w:rPr>
              <w:t>学业水平过关率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C2B50">
            <w:pPr>
              <w:jc w:val="center"/>
            </w:pPr>
            <w:r>
              <w:rPr>
                <w:rFonts w:ascii="宋体" w:hAnsi="宋体" w:eastAsia="宋体"/>
                <w:sz w:val="16"/>
              </w:rPr>
              <w:t>&gt;=72%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E04AAB">
            <w:pPr>
              <w:jc w:val="center"/>
            </w:pPr>
            <w:r>
              <w:rPr>
                <w:rFonts w:ascii="宋体" w:hAnsi="宋体" w:eastAsia="宋体"/>
                <w:sz w:val="16"/>
              </w:rPr>
              <w:t>霍城县江苏中学2023-2024学年第二学期学校工作计划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2752C8">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B0BFD0">
            <w:pPr>
              <w:jc w:val="center"/>
            </w:pPr>
            <w:r>
              <w:rPr>
                <w:rFonts w:ascii="宋体" w:hAnsi="宋体" w:eastAsia="宋体"/>
                <w:sz w:val="16"/>
              </w:rPr>
              <w:t>98.3%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30D8B">
            <w:pPr>
              <w:jc w:val="center"/>
            </w:pPr>
            <w:r>
              <w:rPr>
                <w:rFonts w:ascii="宋体" w:hAnsi="宋体" w:eastAsia="宋体"/>
                <w:sz w:val="16"/>
              </w:rPr>
              <w:t>30</w:t>
            </w:r>
          </w:p>
        </w:tc>
      </w:tr>
    </w:tbl>
    <w:p w14:paraId="0C577444">
      <w:r>
        <w:br w:type="page"/>
      </w:r>
    </w:p>
    <w:p w14:paraId="6787B917">
      <w:pPr>
        <w:spacing w:line="640" w:lineRule="exact"/>
        <w:ind w:firstLine="640"/>
        <w:jc w:val="both"/>
        <w:outlineLvl w:val="2"/>
      </w:pPr>
      <w:r>
        <w:rPr>
          <w:rFonts w:ascii="黑体" w:hAnsi="黑体" w:eastAsia="黑体"/>
          <w:sz w:val="32"/>
        </w:rPr>
        <w:t>十二、其他需说明的事项</w:t>
      </w:r>
    </w:p>
    <w:p w14:paraId="226D5E23">
      <w:pPr>
        <w:spacing w:line="580" w:lineRule="exact"/>
        <w:ind w:firstLine="640"/>
        <w:jc w:val="both"/>
      </w:pPr>
      <w:r>
        <w:rPr>
          <w:rFonts w:ascii="仿宋_GB2312" w:hAnsi="仿宋_GB2312" w:eastAsia="仿宋_GB2312"/>
          <w:b w:val="0"/>
          <w:sz w:val="32"/>
        </w:rPr>
        <w:t>本单位无其他需说明的事项。</w:t>
      </w:r>
    </w:p>
    <w:p w14:paraId="03C97A08">
      <w:r>
        <w:br w:type="page"/>
      </w:r>
    </w:p>
    <w:p w14:paraId="6AACAE56">
      <w:pPr>
        <w:spacing w:line="240" w:lineRule="auto"/>
        <w:jc w:val="center"/>
        <w:outlineLvl w:val="1"/>
      </w:pPr>
      <w:r>
        <w:rPr>
          <w:rFonts w:ascii="黑体" w:hAnsi="黑体" w:eastAsia="黑体"/>
          <w:sz w:val="32"/>
        </w:rPr>
        <w:t>第三部分 专业名词解释</w:t>
      </w:r>
    </w:p>
    <w:p w14:paraId="3DE3978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F2047C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B4459B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3AFCF2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4CAE5B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5DDDB0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8DD8D4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1F3068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B1E110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7F2655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B88D88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03EB3A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E9596E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AAD182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5CBBEF1">
      <w:r>
        <w:br w:type="page"/>
      </w:r>
    </w:p>
    <w:p w14:paraId="1D4E93FA">
      <w:pPr>
        <w:spacing w:line="240" w:lineRule="auto"/>
        <w:jc w:val="center"/>
        <w:outlineLvl w:val="1"/>
      </w:pPr>
      <w:r>
        <w:rPr>
          <w:rFonts w:ascii="黑体" w:hAnsi="黑体" w:eastAsia="黑体"/>
          <w:sz w:val="32"/>
        </w:rPr>
        <w:t>第四部分 部门决算报表（见附表）</w:t>
      </w:r>
    </w:p>
    <w:p w14:paraId="7F32DEBB">
      <w:pPr>
        <w:spacing w:line="240" w:lineRule="auto"/>
        <w:ind w:firstLine="640"/>
        <w:jc w:val="both"/>
      </w:pPr>
      <w:r>
        <w:rPr>
          <w:rFonts w:ascii="仿宋_GB2312" w:hAnsi="仿宋_GB2312" w:eastAsia="仿宋_GB2312"/>
          <w:b w:val="0"/>
          <w:sz w:val="32"/>
        </w:rPr>
        <w:t>一、《收入支出决算总表》</w:t>
      </w:r>
    </w:p>
    <w:p w14:paraId="1A1C4400">
      <w:pPr>
        <w:spacing w:line="240" w:lineRule="auto"/>
        <w:ind w:firstLine="640"/>
        <w:jc w:val="both"/>
      </w:pPr>
      <w:r>
        <w:rPr>
          <w:rFonts w:ascii="仿宋_GB2312" w:hAnsi="仿宋_GB2312" w:eastAsia="仿宋_GB2312"/>
          <w:b w:val="0"/>
          <w:sz w:val="32"/>
        </w:rPr>
        <w:t>二、《收入决算表》</w:t>
      </w:r>
    </w:p>
    <w:p w14:paraId="6F546C1F">
      <w:pPr>
        <w:spacing w:line="240" w:lineRule="auto"/>
        <w:ind w:firstLine="640"/>
        <w:jc w:val="both"/>
      </w:pPr>
      <w:r>
        <w:rPr>
          <w:rFonts w:ascii="仿宋_GB2312" w:hAnsi="仿宋_GB2312" w:eastAsia="仿宋_GB2312"/>
          <w:b w:val="0"/>
          <w:sz w:val="32"/>
        </w:rPr>
        <w:t>三、《支出决算表》</w:t>
      </w:r>
    </w:p>
    <w:p w14:paraId="0120CDBF">
      <w:pPr>
        <w:spacing w:line="240" w:lineRule="auto"/>
        <w:ind w:firstLine="640"/>
        <w:jc w:val="both"/>
      </w:pPr>
      <w:r>
        <w:rPr>
          <w:rFonts w:ascii="仿宋_GB2312" w:hAnsi="仿宋_GB2312" w:eastAsia="仿宋_GB2312"/>
          <w:b w:val="0"/>
          <w:sz w:val="32"/>
        </w:rPr>
        <w:t>四、《财政拨款收入支出决算总表》</w:t>
      </w:r>
    </w:p>
    <w:p w14:paraId="763777EB">
      <w:pPr>
        <w:spacing w:line="240" w:lineRule="auto"/>
        <w:ind w:firstLine="640"/>
        <w:jc w:val="both"/>
      </w:pPr>
      <w:r>
        <w:rPr>
          <w:rFonts w:ascii="仿宋_GB2312" w:hAnsi="仿宋_GB2312" w:eastAsia="仿宋_GB2312"/>
          <w:b w:val="0"/>
          <w:sz w:val="32"/>
        </w:rPr>
        <w:t>五、《一般公共预算财政拨款支出决算表》</w:t>
      </w:r>
    </w:p>
    <w:p w14:paraId="167C8C42">
      <w:pPr>
        <w:spacing w:line="240" w:lineRule="auto"/>
        <w:ind w:firstLine="640"/>
        <w:jc w:val="both"/>
      </w:pPr>
      <w:r>
        <w:rPr>
          <w:rFonts w:ascii="仿宋_GB2312" w:hAnsi="仿宋_GB2312" w:eastAsia="仿宋_GB2312"/>
          <w:b w:val="0"/>
          <w:sz w:val="32"/>
        </w:rPr>
        <w:t>六、《一般公共预算财政拨款基本支出决算表》</w:t>
      </w:r>
    </w:p>
    <w:p w14:paraId="4C6FD17E">
      <w:pPr>
        <w:spacing w:line="240" w:lineRule="auto"/>
        <w:ind w:firstLine="640"/>
        <w:jc w:val="both"/>
      </w:pPr>
      <w:r>
        <w:rPr>
          <w:rFonts w:ascii="仿宋_GB2312" w:hAnsi="仿宋_GB2312" w:eastAsia="仿宋_GB2312"/>
          <w:b w:val="0"/>
          <w:sz w:val="32"/>
        </w:rPr>
        <w:t>七、《政府性基金预算财政拨款收入支出决算表》</w:t>
      </w:r>
    </w:p>
    <w:p w14:paraId="6F2A6BC5">
      <w:pPr>
        <w:spacing w:line="240" w:lineRule="auto"/>
        <w:ind w:firstLine="640"/>
        <w:jc w:val="both"/>
      </w:pPr>
      <w:r>
        <w:rPr>
          <w:rFonts w:ascii="仿宋_GB2312" w:hAnsi="仿宋_GB2312" w:eastAsia="仿宋_GB2312"/>
          <w:b w:val="0"/>
          <w:sz w:val="32"/>
        </w:rPr>
        <w:t>八、《国有资本经营预算财政拨款收入支出决算表》</w:t>
      </w:r>
    </w:p>
    <w:p w14:paraId="6DCC92B8">
      <w:pPr>
        <w:spacing w:line="240" w:lineRule="auto"/>
        <w:ind w:firstLine="640"/>
        <w:jc w:val="both"/>
      </w:pPr>
      <w:r>
        <w:rPr>
          <w:rFonts w:ascii="仿宋_GB2312" w:hAnsi="仿宋_GB2312" w:eastAsia="仿宋_GB2312"/>
          <w:b w:val="0"/>
          <w:sz w:val="32"/>
        </w:rPr>
        <w:t>九、《财政拨款“三公”经费支出决算表》</w:t>
      </w:r>
    </w:p>
    <w:p w14:paraId="642C0C1B">
      <w:pPr>
        <w:spacing w:line="240" w:lineRule="auto"/>
        <w:ind w:firstLine="640"/>
        <w:jc w:val="both"/>
      </w:pPr>
    </w:p>
    <w:p w14:paraId="6F1F6B8C">
      <w:pPr>
        <w:spacing w:line="240" w:lineRule="auto"/>
        <w:ind w:firstLine="640"/>
        <w:jc w:val="both"/>
      </w:pPr>
    </w:p>
    <w:p w14:paraId="004CFB53">
      <w:pPr>
        <w:spacing w:line="240" w:lineRule="auto"/>
        <w:ind w:firstLine="640"/>
        <w:jc w:val="both"/>
      </w:pPr>
    </w:p>
    <w:p w14:paraId="501389A1">
      <w:pPr>
        <w:spacing w:line="240" w:lineRule="auto"/>
        <w:ind w:firstLine="640"/>
        <w:jc w:val="both"/>
      </w:pPr>
    </w:p>
    <w:p w14:paraId="1B67381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A5B964B-5429-4CED-B74D-4C4230BBBE9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3741931-B957-40EF-8DEF-3E2407F1054E}"/>
  </w:font>
  <w:font w:name="仿宋_GB2312">
    <w:altName w:val="仿宋"/>
    <w:panose1 w:val="02010609030101010101"/>
    <w:charset w:val="86"/>
    <w:family w:val="modern"/>
    <w:pitch w:val="default"/>
    <w:sig w:usb0="00000000" w:usb1="00000000" w:usb2="00000000" w:usb3="00000000" w:csb0="00040000" w:csb1="00000000"/>
    <w:embedRegular r:id="rId3" w:fontKey="{8F839215-C9F5-40D9-BF75-C7F090FBC288}"/>
  </w:font>
  <w:font w:name="楷体_GB2312">
    <w:altName w:val="楷体"/>
    <w:panose1 w:val="02010609030101010101"/>
    <w:charset w:val="86"/>
    <w:family w:val="auto"/>
    <w:pitch w:val="default"/>
    <w:sig w:usb0="00000000" w:usb1="00000000" w:usb2="00000000" w:usb3="00000000" w:csb0="00040000" w:csb1="00000000"/>
    <w:embedRegular r:id="rId4" w:fontKey="{2F685715-BEF6-403A-B387-A6146D12CD16}"/>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8A1A8C"/>
    <w:rsid w:val="25275618"/>
    <w:rsid w:val="25B40F8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4775</Words>
  <Characters>5551</Characters>
  <Lines>0</Lines>
  <Paragraphs>0</Paragraphs>
  <TotalTime>4</TotalTime>
  <ScaleCrop>false</ScaleCrop>
  <LinksUpToDate>false</LinksUpToDate>
  <CharactersWithSpaces>5559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2025-09-25T03:51:34Z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