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霍城县民政局2024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(1)贯彻实施有关法律、法规、规章，执行民政工作的方针、政策；拟订全县民政事业发展规划并组织实施。</w:t>
      </w:r>
    </w:p>
    <w:p>
      <w:pPr>
        <w:spacing w:line="580" w:lineRule="exact"/>
        <w:ind w:firstLine="640"/>
        <w:jc w:val="both"/>
      </w:pPr>
      <w:r>
        <w:rPr>
          <w:rFonts w:ascii="仿宋_GB2312" w:hAnsi="仿宋_GB2312" w:eastAsia="仿宋_GB2312"/>
          <w:sz w:val="32"/>
        </w:rPr>
        <w:t>(2)拟订全县社会救助规划、政策和标准，健全城乡社会救助体系；负责城乡居民最低生活保障、临时救助、生活无着人员救助和城市低收入家庭收入认定工作；指导农村五保供养和农村敬老院建设管理工作。</w:t>
      </w:r>
    </w:p>
    <w:p>
      <w:pPr>
        <w:spacing w:line="580" w:lineRule="exact"/>
        <w:ind w:firstLine="640"/>
        <w:jc w:val="both"/>
      </w:pPr>
      <w:r>
        <w:rPr>
          <w:rFonts w:ascii="仿宋_GB2312" w:hAnsi="仿宋_GB2312" w:eastAsia="仿宋_GB2312"/>
          <w:sz w:val="32"/>
        </w:rPr>
        <w:t>(3)承担全县社会团体、基金会、民办非企业单位登记管理和监察责任。依法对全县社会团体、基金会、县直各部门审查批准的民办非企业单位进行登记管理、年检和执法监察。按照县委的要求，指导、协调、监督、检查全县社会组织党的建设工作。</w:t>
      </w:r>
    </w:p>
    <w:p>
      <w:pPr>
        <w:spacing w:line="580" w:lineRule="exact"/>
        <w:ind w:firstLine="640"/>
        <w:jc w:val="both"/>
      </w:pPr>
      <w:r>
        <w:rPr>
          <w:rFonts w:ascii="仿宋_GB2312" w:hAnsi="仿宋_GB2312" w:eastAsia="仿宋_GB2312"/>
          <w:sz w:val="32"/>
        </w:rPr>
        <w:t>(4)拟订全县城乡基层群众自治建设和社区建设的政策；指导城乡社区建设和服务管理工作；提出加强和改进城乡基层政权建设的建议，推动基层民主政治建设。</w:t>
      </w:r>
    </w:p>
    <w:p>
      <w:pPr>
        <w:spacing w:line="580" w:lineRule="exact"/>
        <w:ind w:firstLine="640"/>
        <w:jc w:val="both"/>
      </w:pPr>
      <w:r>
        <w:rPr>
          <w:rFonts w:ascii="仿宋_GB2312" w:hAnsi="仿宋_GB2312" w:eastAsia="仿宋_GB2312"/>
          <w:sz w:val="32"/>
        </w:rPr>
        <w:t>(5)贯彻执行行政区划管理政策和行政区域界线、地名管理办法；负责乡级以上行政区域的设立、撤销、命名、变更和政府驻地迁移初审报批工作；负责本县行政区域界线的勘定和管理，调处辖区内行政区域界线争议；负责全县地名管理工作。</w:t>
      </w:r>
    </w:p>
    <w:p>
      <w:pPr>
        <w:spacing w:line="580" w:lineRule="exact"/>
        <w:ind w:firstLine="640"/>
        <w:jc w:val="both"/>
      </w:pPr>
      <w:r>
        <w:rPr>
          <w:rFonts w:ascii="仿宋_GB2312" w:hAnsi="仿宋_GB2312" w:eastAsia="仿宋_GB2312"/>
          <w:sz w:val="32"/>
        </w:rPr>
        <w:t>(6)拟订全县社会福利事业发展规划、政策和标准并组织实施；拟订社会福利机构管理办法；组织拟订促进慈善事业发展规划和相关政策，组织、指导社会捐助工作；负责老年人、孤儿和残疾人等特殊群体权益保障工作。</w:t>
      </w:r>
    </w:p>
    <w:p>
      <w:pPr>
        <w:spacing w:line="580" w:lineRule="exact"/>
        <w:ind w:firstLine="640"/>
        <w:jc w:val="both"/>
      </w:pPr>
      <w:r>
        <w:rPr>
          <w:rFonts w:ascii="仿宋_GB2312" w:hAnsi="仿宋_GB2312" w:eastAsia="仿宋_GB2312"/>
          <w:sz w:val="32"/>
        </w:rPr>
        <w:t>(7)贯彻落实国家婚姻管理、殡葬管理和儿童收养政策，负责推进婚俗和殡葬改革，指导婚姻、殡葬、收养、救助服务机构管理工作。</w:t>
      </w:r>
    </w:p>
    <w:p>
      <w:pPr>
        <w:spacing w:line="580" w:lineRule="exact"/>
        <w:ind w:firstLine="640"/>
        <w:jc w:val="both"/>
      </w:pPr>
      <w:r>
        <w:rPr>
          <w:rFonts w:ascii="仿宋_GB2312" w:hAnsi="仿宋_GB2312" w:eastAsia="仿宋_GB2312"/>
          <w:sz w:val="32"/>
        </w:rPr>
        <w:t>(8)负责全县民政事业财务工作，指导监督民政事业费的使用和管理。</w:t>
      </w:r>
    </w:p>
    <w:p>
      <w:pPr>
        <w:spacing w:line="580" w:lineRule="exact"/>
        <w:ind w:firstLine="640"/>
        <w:jc w:val="both"/>
      </w:pPr>
      <w:r>
        <w:rPr>
          <w:rFonts w:ascii="仿宋_GB2312" w:hAnsi="仿宋_GB2312" w:eastAsia="仿宋_GB2312"/>
          <w:sz w:val="32"/>
        </w:rPr>
        <w:t>(9)承办县人民政府交办的其他事项。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霍城县民政局2024年度，实有人数58人，其中：在职人员30人，增加0人；离休人员0人，增加0人；退休人员28人,增加4人。</w:t>
      </w:r>
    </w:p>
    <w:p>
      <w:pPr>
        <w:spacing w:line="580" w:lineRule="exact"/>
        <w:ind w:firstLine="640"/>
        <w:jc w:val="both"/>
      </w:pPr>
      <w:r>
        <w:rPr>
          <w:rFonts w:ascii="仿宋_GB2312" w:hAnsi="仿宋_GB2312" w:eastAsia="仿宋_GB2312"/>
          <w:sz w:val="32"/>
        </w:rPr>
        <w:t>霍城县民政局无下属预算单位，下设7个科室，分别是：低保办、救助站、婚姻登记处、地名办、殡葬所、民间组织办、综合福利院。</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2024年度收入总计14,167.90万元，</w:t>
      </w:r>
      <w:r>
        <w:rPr>
          <w:rFonts w:ascii="仿宋_GB2312" w:hAnsi="仿宋_GB2312" w:eastAsia="仿宋_GB2312"/>
          <w:b w:val="0"/>
          <w:sz w:val="32"/>
        </w:rPr>
        <w:t>其中：本年收入合计14,167.90万元，使用非财政拨款结余（含专用结余）0.00万元，年初结转和结余0.00万元。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2024年度支出总计14,167.90万元，</w:t>
      </w:r>
      <w:r>
        <w:rPr>
          <w:rFonts w:ascii="仿宋_GB2312" w:hAnsi="仿宋_GB2312" w:eastAsia="仿宋_GB2312"/>
          <w:b w:val="0"/>
          <w:sz w:val="32"/>
        </w:rPr>
        <w:t>其中：本年支出合计14,167.90万元，结余分配0.00万元，年末结转和结余0.00万元。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524.48万元，增长3.84%，主要原因是：本年增加援疆办拨付霍城县综合护理院建设项目（清水河镇综合护理中心）资金、增加80岁以上老年人生活补助及失能老人补贴、80岁以上高龄津贴及政府购买服务项目；临时救助困难人员种类增加，本级临时救助资金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本年收入14,167.90万元，</w:t>
      </w:r>
      <w:r>
        <w:rPr>
          <w:rFonts w:ascii="仿宋_GB2312" w:hAnsi="仿宋_GB2312" w:eastAsia="仿宋_GB2312"/>
          <w:b w:val="0"/>
          <w:sz w:val="32"/>
        </w:rPr>
        <w:t>其中：财政拨款收入13,787.61万元，占97.32%；上级补助收入0.00万元，占0.00%；事业收入0.00万元，占0.00%；经营收入0.00万元，占0.00%；附属单位上缴收入0.00万元，占0.00%；其他收入380.28万元，占2.68%。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本年支出14,167.90万元，</w:t>
      </w:r>
      <w:r>
        <w:rPr>
          <w:rFonts w:ascii="仿宋_GB2312" w:hAnsi="仿宋_GB2312" w:eastAsia="仿宋_GB2312"/>
          <w:b w:val="0"/>
          <w:sz w:val="32"/>
        </w:rPr>
        <w:t>其中：基本支出549.89万元，占3.88%；项目支出13,618.01万元，占96.12%；上缴上级支出0.00万元，占0.00%；经营支出0.00万元，占0.00%；对附属单位补助支出0.00万元，占0.00%。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2024年度财政拨款收入总计13,787.61万元，</w:t>
      </w:r>
      <w:r>
        <w:rPr>
          <w:rFonts w:ascii="仿宋_GB2312" w:hAnsi="仿宋_GB2312" w:eastAsia="仿宋_GB2312"/>
          <w:b w:val="0"/>
          <w:sz w:val="32"/>
        </w:rPr>
        <w:t>其中：年初财政拨款结转和结余0.00万元，本年财政拨款收入13,787.61万元。</w:t>
      </w:r>
      <w:r>
        <w:rPr>
          <w:rFonts w:ascii="仿宋_GB2312" w:hAnsi="仿宋_GB2312" w:eastAsia="仿宋_GB2312"/>
          <w:b/>
          <w:sz w:val="32"/>
        </w:rPr>
        <w:t>财政拨款支出总计13,787.61万元，</w:t>
      </w:r>
      <w:r>
        <w:rPr>
          <w:rFonts w:ascii="仿宋_GB2312" w:hAnsi="仿宋_GB2312" w:eastAsia="仿宋_GB2312"/>
          <w:b w:val="0"/>
          <w:sz w:val="32"/>
        </w:rPr>
        <w:t>其中：年末财政拨款结转和结余0.00万元，本年财政拨款支出13,787.61万元。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增加159.49万元，增长1.17%，主要原因是：本年增加80岁以上老年人生活补助及失能老人补贴、80岁以上高龄津贴及政府购买服务项目；临时救助困难人员种类增加，本级临时救助资金增加。</w:t>
      </w:r>
      <w:r>
        <w:rPr>
          <w:rFonts w:ascii="仿宋_GB2312" w:hAnsi="仿宋_GB2312" w:eastAsia="仿宋_GB2312"/>
          <w:b/>
          <w:sz w:val="32"/>
        </w:rPr>
        <w:t>与年初预算相比，</w:t>
      </w:r>
      <w:r>
        <w:rPr>
          <w:rFonts w:ascii="仿宋_GB2312" w:hAnsi="仿宋_GB2312" w:eastAsia="仿宋_GB2312"/>
          <w:b w:val="0"/>
          <w:sz w:val="32"/>
        </w:rPr>
        <w:t>年初预算数11,956.13万元，决算数13,787.61万元，预决算差异率15.32%，主要原因是：年中追加80岁以上老年人生活补助及失能老人补贴、80岁以上高龄津贴及政府购买服务项目、临时救助资金，导致预决算存在差异。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2024年度一般公共预算财政拨款支出12,919.30万元，</w:t>
      </w:r>
      <w:r>
        <w:rPr>
          <w:rFonts w:ascii="仿宋_GB2312" w:hAnsi="仿宋_GB2312" w:eastAsia="仿宋_GB2312"/>
          <w:b w:val="0"/>
          <w:sz w:val="32"/>
        </w:rPr>
        <w:t>占本年支出合计的91.19%。</w:t>
      </w:r>
      <w:r>
        <w:rPr>
          <w:rFonts w:ascii="仿宋_GB2312" w:hAnsi="仿宋_GB2312" w:eastAsia="仿宋_GB2312"/>
          <w:b/>
          <w:sz w:val="32"/>
        </w:rPr>
        <w:t>与上年相比，</w:t>
      </w:r>
      <w:r>
        <w:rPr>
          <w:rFonts w:ascii="仿宋_GB2312" w:hAnsi="仿宋_GB2312" w:eastAsia="仿宋_GB2312"/>
          <w:b w:val="0"/>
          <w:sz w:val="32"/>
        </w:rPr>
        <w:t>增加92.15万元，增长0.72%，主要原因是：本年增加80岁以上老年人生活补助及失能老人补贴；临时救助困难人员种类增加，本级临时救助资金增加。</w:t>
      </w:r>
      <w:r>
        <w:rPr>
          <w:rFonts w:ascii="仿宋_GB2312" w:hAnsi="仿宋_GB2312" w:eastAsia="仿宋_GB2312"/>
          <w:b/>
          <w:sz w:val="32"/>
        </w:rPr>
        <w:t>与年初预算相比,</w:t>
      </w:r>
      <w:r>
        <w:rPr>
          <w:rFonts w:ascii="仿宋_GB2312" w:hAnsi="仿宋_GB2312" w:eastAsia="仿宋_GB2312"/>
          <w:b w:val="0"/>
          <w:sz w:val="32"/>
        </w:rPr>
        <w:t>年初预算数11,577.53万元，决算数12,919.30万元，预决算差异率11.59%，主要原因是：年中追加80岁以上老年人生活补助及失能老人补贴、临时救助资金，导致预决算存在差异。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1.社会保障和就业支出(类)12,849.87万元,占99.46%。</w:t>
      </w:r>
    </w:p>
    <w:p>
      <w:pPr>
        <w:spacing w:line="580" w:lineRule="exact"/>
        <w:ind w:firstLine="640"/>
        <w:jc w:val="both"/>
      </w:pPr>
      <w:r>
        <w:rPr>
          <w:rFonts w:ascii="仿宋_GB2312" w:hAnsi="仿宋_GB2312" w:eastAsia="仿宋_GB2312"/>
          <w:b w:val="0"/>
          <w:sz w:val="32"/>
        </w:rPr>
        <w:t>2.卫生健康支出(类)26.69万元,占0.21%。</w:t>
      </w:r>
    </w:p>
    <w:p>
      <w:pPr>
        <w:spacing w:line="580" w:lineRule="exact"/>
        <w:ind w:firstLine="640"/>
        <w:jc w:val="both"/>
      </w:pPr>
      <w:r>
        <w:rPr>
          <w:rFonts w:ascii="仿宋_GB2312" w:hAnsi="仿宋_GB2312" w:eastAsia="仿宋_GB2312"/>
          <w:b w:val="0"/>
          <w:sz w:val="32"/>
        </w:rPr>
        <w:t>3.住房保障支出(类)42.75万元,占0.33%。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民政管理事务(款)行政运行(项):支出决算数为216.68万元，比上年决算减少35.84万元，下降14.19%,主要原因是：本年在职人员调入，退休，人员职级不同，工资基数不同，导致人员经费较上年减少。</w:t>
      </w:r>
    </w:p>
    <w:p>
      <w:pPr>
        <w:spacing w:line="580" w:lineRule="exact"/>
        <w:ind w:firstLine="640"/>
        <w:jc w:val="both"/>
      </w:pPr>
      <w:r>
        <w:rPr>
          <w:rFonts w:ascii="仿宋_GB2312" w:hAnsi="仿宋_GB2312" w:eastAsia="仿宋_GB2312"/>
          <w:b w:val="0"/>
          <w:sz w:val="32"/>
        </w:rPr>
        <w:t>2.社会保障和就业支出(类)民政管理事务(款)其他民政管理事务支出(项):支出决算数为169.11万元，比上年决算增加7.58万元，增长4.69%,主要原因是：本年事业在职人员调入1人，相应人员经费较上年增加。</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3.社会保障和就业支出(类)行政事业单位养老支出(款)行政单位离退休(项):支出决算数为16.59万元，比上年决算增加12.41万元，增长296.89%,主要原因是：本年退休人员增加，发放退休人员基础绩效，退休费支出增加。</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4.社会保障和就业支出(类)行政事业单位养老支出(款)事业单位离退休(项):支出决算数为2.80万元，比上年决算增加2.23万元，增长391.23%,主要原因是：本年退休人员增加，发放退休人员基础绩效，退休费支出增加。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52.79万元，比上年决算增加3.66万元，增长7.45%,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6.社会保障和就业支出(类)行政事业单位养老支出(款)机关事业单位职业年金缴费支出(项):支出决算数为18.01万元，比上年决算增加6.03万元，增长50.33%,主要原因是：本年新增退休人员，职业年金缴费支出增加。</w:t>
      </w:r>
    </w:p>
    <w:p>
      <w:pPr>
        <w:spacing w:line="580" w:lineRule="exact"/>
        <w:ind w:firstLine="640"/>
        <w:jc w:val="both"/>
      </w:pPr>
      <w:r>
        <w:rPr>
          <w:rFonts w:ascii="仿宋_GB2312" w:hAnsi="仿宋_GB2312" w:eastAsia="仿宋_GB2312"/>
          <w:b w:val="0"/>
          <w:sz w:val="32"/>
        </w:rPr>
        <w:t>7.社会保障和就业支出(类)社会福利(款)儿童福利(项):支出决算数为214.48万元，比上年决算减少48.18万元，下降18.34%,主要原因是：本年孤儿较上年减少，孤儿、特殊儿童、事实无人抚养儿童生活费支出减少。</w:t>
      </w:r>
    </w:p>
    <w:p>
      <w:pPr>
        <w:spacing w:line="580" w:lineRule="exact"/>
        <w:ind w:firstLine="640"/>
        <w:jc w:val="both"/>
      </w:pPr>
      <w:r>
        <w:rPr>
          <w:rFonts w:ascii="仿宋_GB2312" w:hAnsi="仿宋_GB2312" w:eastAsia="仿宋_GB2312"/>
          <w:b w:val="0"/>
          <w:sz w:val="32"/>
        </w:rPr>
        <w:t>8.社会保障和就业支出(类)社会福利(款)老年福利(项):支出决算数为213.25万元，比上年决算增加69.42万元，增长48.27%,主要原因是：本年增加80岁以上老年人生活补助及失能老人补贴支出。</w:t>
      </w:r>
    </w:p>
    <w:p>
      <w:pPr>
        <w:spacing w:line="580" w:lineRule="exact"/>
        <w:ind w:firstLine="640"/>
        <w:jc w:val="both"/>
      </w:pPr>
      <w:r>
        <w:rPr>
          <w:rFonts w:ascii="仿宋_GB2312" w:hAnsi="仿宋_GB2312" w:eastAsia="仿宋_GB2312"/>
          <w:b w:val="0"/>
          <w:sz w:val="32"/>
        </w:rPr>
        <w:t>9.社会保障和就业支出(类)社会福利(款)殡葬(项):支出决算数为56.00万元，比上年决算增加0.00万元，增长0.00%,主要原因是：本年度殡葬设备购置支出与上年一致无变化。</w:t>
      </w:r>
    </w:p>
    <w:p>
      <w:pPr>
        <w:spacing w:line="580" w:lineRule="exact"/>
        <w:ind w:firstLine="640"/>
        <w:jc w:val="both"/>
      </w:pPr>
      <w:r>
        <w:rPr>
          <w:rFonts w:ascii="仿宋_GB2312" w:hAnsi="仿宋_GB2312" w:eastAsia="仿宋_GB2312"/>
          <w:b w:val="0"/>
          <w:sz w:val="32"/>
        </w:rPr>
        <w:t>10.社会保障和就业支出(类)社会福利(款)养老服务(项):支出决算数为0.00万元，比上年决算减少20.00万元，下降100.00%,主要原因是：本年减少北山坡敬老院改造及婚姻登记公共服务设施建设支出。</w:t>
      </w:r>
    </w:p>
    <w:p>
      <w:pPr>
        <w:spacing w:line="580" w:lineRule="exact"/>
        <w:ind w:firstLine="640"/>
        <w:jc w:val="both"/>
      </w:pPr>
      <w:r>
        <w:rPr>
          <w:rFonts w:ascii="仿宋_GB2312" w:hAnsi="仿宋_GB2312" w:eastAsia="仿宋_GB2312"/>
          <w:b w:val="0"/>
          <w:sz w:val="32"/>
        </w:rPr>
        <w:t>11.社会保障和就业支出(类)社会福利(款)其他社会福利支出(项):支出决算数为0.00万元，比上年决算减少50.00万元，下降100.00%,主要原因是：本年减少2023年东关社区等3个社区居家养老中心建设。</w:t>
      </w:r>
    </w:p>
    <w:p>
      <w:pPr>
        <w:spacing w:line="580" w:lineRule="exact"/>
        <w:ind w:firstLine="640"/>
        <w:jc w:val="both"/>
      </w:pPr>
      <w:r>
        <w:rPr>
          <w:rFonts w:ascii="仿宋_GB2312" w:hAnsi="仿宋_GB2312" w:eastAsia="仿宋_GB2312"/>
          <w:b w:val="0"/>
          <w:sz w:val="32"/>
        </w:rPr>
        <w:t>12.社会保障和就业支出(类)残疾人事业(款)残疾人生活和护理补贴(项):支出决算数为1,201.03万元，比上年决算减少12.93万元，下降1.07%,主要原因是：本年残疾人为动态管理，人员减少及死亡等，导致残疾人生活和护理补贴支出减少。</w:t>
      </w:r>
    </w:p>
    <w:p>
      <w:pPr>
        <w:spacing w:line="580" w:lineRule="exact"/>
        <w:ind w:firstLine="640"/>
        <w:jc w:val="both"/>
      </w:pPr>
      <w:r>
        <w:rPr>
          <w:rFonts w:ascii="仿宋_GB2312" w:hAnsi="仿宋_GB2312" w:eastAsia="仿宋_GB2312"/>
          <w:b w:val="0"/>
          <w:sz w:val="32"/>
        </w:rPr>
        <w:t>13.社会保障和就业支出(类)最低生活保障(款)城市最低生活保障金支出(项):支出决算数为2,068.39万元，比上年决算减少104.79万元，下降4.82%,主要原因是：本年城市低保为动态管理，人员减少及死亡等，导致城市最低生活保障支出减少。</w:t>
      </w:r>
    </w:p>
    <w:p>
      <w:pPr>
        <w:spacing w:line="580" w:lineRule="exact"/>
        <w:ind w:firstLine="640"/>
        <w:jc w:val="both"/>
      </w:pPr>
      <w:r>
        <w:rPr>
          <w:rFonts w:ascii="仿宋_GB2312" w:hAnsi="仿宋_GB2312" w:eastAsia="仿宋_GB2312"/>
          <w:b w:val="0"/>
          <w:sz w:val="32"/>
        </w:rPr>
        <w:t>14.社会保障和就业支出(类)最低生活保障(款)农村最低生活保障金支出(项):支出决算数为7,705.02万元，比上年决算减少267.60万元，下降3.36%,主要原因是：本年农村低保为动态管理，人员减少及死亡等，导致农村最低生活保障支出减少。</w:t>
      </w:r>
    </w:p>
    <w:p>
      <w:pPr>
        <w:spacing w:line="580" w:lineRule="exact"/>
        <w:ind w:firstLine="640"/>
        <w:jc w:val="both"/>
      </w:pPr>
      <w:r>
        <w:rPr>
          <w:rFonts w:ascii="仿宋_GB2312" w:hAnsi="仿宋_GB2312" w:eastAsia="仿宋_GB2312"/>
          <w:b w:val="0"/>
          <w:sz w:val="32"/>
        </w:rPr>
        <w:t>15.社会保障和就业支出(类)临时救助(款)临时救助支出(项):支出决算数为249.92万元，比上年决算增加248.89万元，增长24,164.08%,主要原因是：本年临时救助困难人员种类增加，本级临时救助支出增加。</w:t>
      </w:r>
    </w:p>
    <w:p>
      <w:pPr>
        <w:spacing w:line="580" w:lineRule="exact"/>
        <w:ind w:firstLine="640"/>
        <w:jc w:val="both"/>
      </w:pPr>
      <w:r>
        <w:rPr>
          <w:rFonts w:ascii="仿宋_GB2312" w:hAnsi="仿宋_GB2312" w:eastAsia="仿宋_GB2312"/>
          <w:b w:val="0"/>
          <w:sz w:val="32"/>
        </w:rPr>
        <w:t>16.社会保障和就业支出(类)临时救助(款)流浪乞讨人员救助支出(项):支出决算数为0.47万元，比上年决算减少6.76万元，下降93.50%,主要原因是：本年度乞讨人员减少，相应补助支出减少。</w:t>
      </w:r>
    </w:p>
    <w:p>
      <w:pPr>
        <w:spacing w:line="580" w:lineRule="exact"/>
        <w:ind w:firstLine="640"/>
        <w:jc w:val="both"/>
      </w:pPr>
      <w:r>
        <w:rPr>
          <w:rFonts w:ascii="仿宋_GB2312" w:hAnsi="仿宋_GB2312" w:eastAsia="仿宋_GB2312"/>
          <w:b w:val="0"/>
          <w:sz w:val="32"/>
        </w:rPr>
        <w:t>17.社会保障和就业支出(类)特困人员救助供养(款)城市特困人员救助供养支出(项):支出决算数为102.43万元，比上年决算增加23.50万元，增长29.77%,主要原因是：本年城市特困人员救助供养人员增加，相应支出增加。</w:t>
      </w:r>
    </w:p>
    <w:p>
      <w:pPr>
        <w:spacing w:line="580" w:lineRule="exact"/>
        <w:ind w:firstLine="640"/>
        <w:jc w:val="both"/>
      </w:pPr>
      <w:r>
        <w:rPr>
          <w:rFonts w:ascii="仿宋_GB2312" w:hAnsi="仿宋_GB2312" w:eastAsia="仿宋_GB2312"/>
          <w:b w:val="0"/>
          <w:sz w:val="32"/>
        </w:rPr>
        <w:t>18.社会保障和就业支出(类)特困人员救助供养(款)农村特困人员救助供养支出(项):支出决算数为254.80万元，比上年决算增加9.93万元，增长4.06%,主要原因是：本年农村特困人员救助供养人员增加，相应支出增加。</w:t>
      </w:r>
    </w:p>
    <w:p>
      <w:pPr>
        <w:spacing w:line="580" w:lineRule="exact"/>
        <w:ind w:firstLine="640"/>
        <w:jc w:val="both"/>
      </w:pPr>
      <w:r>
        <w:rPr>
          <w:rFonts w:ascii="仿宋_GB2312" w:hAnsi="仿宋_GB2312" w:eastAsia="仿宋_GB2312"/>
          <w:b w:val="0"/>
          <w:sz w:val="32"/>
        </w:rPr>
        <w:t>19.社会保障和就业支出(类)其他生活救助(款)其他城市生活救助(项):支出决算数为46.90万元，比上年决算增加39.25万元，增长513.07%,主要原因是：本年城市困难群众人员增加，相应支出增加。</w:t>
      </w:r>
    </w:p>
    <w:p>
      <w:pPr>
        <w:spacing w:line="580" w:lineRule="exact"/>
        <w:ind w:firstLine="640"/>
        <w:jc w:val="both"/>
      </w:pPr>
      <w:r>
        <w:rPr>
          <w:rFonts w:ascii="仿宋_GB2312" w:hAnsi="仿宋_GB2312" w:eastAsia="仿宋_GB2312"/>
          <w:b w:val="0"/>
          <w:sz w:val="32"/>
        </w:rPr>
        <w:t>20.社会保障和就业支出(类)其他生活救助(款)其他农村生活救助(项):支出决算数为261.20万元，比上年决算增加226.31万元，增长648.64%,主要原因是：本年农村困难群众人员增加，相应支出增加。</w:t>
      </w:r>
    </w:p>
    <w:p>
      <w:pPr>
        <w:spacing w:line="580" w:lineRule="exact"/>
        <w:ind w:firstLine="640"/>
        <w:jc w:val="both"/>
      </w:pPr>
      <w:r>
        <w:rPr>
          <w:rFonts w:ascii="仿宋_GB2312" w:hAnsi="仿宋_GB2312" w:eastAsia="仿宋_GB2312"/>
          <w:b w:val="0"/>
          <w:sz w:val="32"/>
        </w:rPr>
        <w:t>21.卫生健康支出(类)行政事业单位医疗(款)行政单位医疗(项):支出决算数为14.72万元，比上年决算减少12.23万元，下降45.38%,主要原因是：本年在职人员调入，退休，人员职级不同，缴费基数不同，导致行政单位医疗较上年减少。</w:t>
      </w:r>
    </w:p>
    <w:p>
      <w:pPr>
        <w:spacing w:line="580" w:lineRule="exact"/>
        <w:ind w:firstLine="640"/>
        <w:jc w:val="both"/>
      </w:pPr>
      <w:r>
        <w:rPr>
          <w:rFonts w:ascii="仿宋_GB2312" w:hAnsi="仿宋_GB2312" w:eastAsia="仿宋_GB2312"/>
          <w:b w:val="0"/>
          <w:sz w:val="32"/>
        </w:rPr>
        <w:t>22.卫生健康支出(类)行政事业单位医疗(款)事业单位医疗(项):支出决算数为11.64万元，比上年决算增加0.47万元，增长4.21%,主要原因是：本年在职人员工资基数调增，医疗缴费基数上涨，相应支出增加。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23.卫生健康支出(类)行政事业单位医疗(款)公务员医疗补助(项):支出决算数为0.33万元，比上年决算减少1.44万元，下降81.36%,主要原因是：本年在职人员调入，退休，人员职级不同，缴费基数不同，导致公务员医疗补助较上年减少。</w:t>
      </w:r>
    </w:p>
    <w:p>
      <w:pPr>
        <w:spacing w:line="580" w:lineRule="exact"/>
        <w:ind w:firstLine="640"/>
        <w:jc w:val="both"/>
      </w:pPr>
      <w:r>
        <w:rPr>
          <w:rFonts w:ascii="仿宋_GB2312" w:hAnsi="仿宋_GB2312" w:eastAsia="仿宋_GB2312"/>
          <w:b w:val="0"/>
          <w:sz w:val="32"/>
        </w:rPr>
        <w:t>24.住房保障支出(类)住房改革支出(款)住房公积金(项):支出决算数为42.75万元，比上年决算增加2.26万元，增长5.58%,主要原因是：本年在职人员工资基数调增，公积金缴费基数上涨，相应支出增加。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2024年度一般公共预算财政拨款基本支出545.41万元，其中：</w:t>
      </w:r>
      <w:r>
        <w:rPr>
          <w:rFonts w:ascii="仿宋_GB2312" w:hAnsi="仿宋_GB2312" w:eastAsia="仿宋_GB2312"/>
          <w:b/>
          <w:sz w:val="32"/>
        </w:rPr>
        <w:t>人员经费532.11万元，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包括：基本工资、津贴补贴、奖金、绩效工资、机关事业单位基本养老保险缴费、职业年金缴费、职工基本医疗保险缴费、公务员医疗补助缴费、其他社会保障缴费、住房公积金、退休费、生活补助、奖励金。</w:t>
      </w:r>
    </w:p>
    <w:p>
      <w:pPr>
        <w:spacing w:line="580" w:lineRule="exact"/>
        <w:ind w:firstLine="640"/>
        <w:jc w:val="both"/>
      </w:pPr>
      <w:r>
        <w:rPr>
          <w:rFonts w:ascii="仿宋_GB2312" w:hAnsi="仿宋_GB2312" w:eastAsia="仿宋_GB2312"/>
          <w:b/>
          <w:sz w:val="32"/>
        </w:rPr>
        <w:t>公用经费13.29万元，</w:t>
      </w:r>
      <w:r>
        <w:rPr>
          <w:rFonts w:ascii="仿宋_GB2312" w:hAnsi="仿宋_GB2312" w:eastAsia="仿宋_GB2312"/>
          <w:b w:val="0"/>
          <w:sz w:val="32"/>
        </w:rPr>
        <w:t>包括：办公费、水费、电费、邮电费、差旅费、工会经费、福利费、公务用车运行维护费。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2024年度政府性基金预算财政拨款收入总计868.31万元，</w:t>
      </w:r>
      <w:r>
        <w:rPr>
          <w:rFonts w:ascii="仿宋_GB2312" w:hAnsi="仿宋_GB2312" w:eastAsia="仿宋_GB2312"/>
          <w:b w:val="0"/>
          <w:sz w:val="32"/>
        </w:rPr>
        <w:t>其中：年初结转和结余0.00万元，本年收入868.31万元。</w:t>
      </w:r>
      <w:r>
        <w:rPr>
          <w:rFonts w:ascii="仿宋_GB2312" w:hAnsi="仿宋_GB2312" w:eastAsia="仿宋_GB2312"/>
          <w:b/>
          <w:sz w:val="32"/>
        </w:rPr>
        <w:t>政府性基金预算财政拨款支出总计868.31万元，</w:t>
      </w:r>
      <w:r>
        <w:rPr>
          <w:rFonts w:ascii="仿宋_GB2312" w:hAnsi="仿宋_GB2312" w:eastAsia="仿宋_GB2312"/>
          <w:b w:val="0"/>
          <w:sz w:val="32"/>
        </w:rPr>
        <w:t>其中：年末结转和结余0.00万元，本年支出868.31万元。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增加67.34万元，增长8.41%，主要原因是：本年增加80岁以上高龄津贴及政府购买服务项目。</w:t>
      </w:r>
      <w:r>
        <w:rPr>
          <w:rFonts w:ascii="仿宋_GB2312" w:hAnsi="仿宋_GB2312" w:eastAsia="仿宋_GB2312"/>
          <w:b/>
          <w:sz w:val="32"/>
        </w:rPr>
        <w:t>与年初预算相比，</w:t>
      </w:r>
      <w:r>
        <w:rPr>
          <w:rFonts w:ascii="仿宋_GB2312" w:hAnsi="仿宋_GB2312" w:eastAsia="仿宋_GB2312"/>
          <w:b w:val="0"/>
          <w:sz w:val="32"/>
        </w:rPr>
        <w:t>年初预算数378.60万元，决算数868.31万元，预决算差异率129.35%，主要原因是：年中追加80岁以上高龄津贴及政府购买服务项目，导致预决算存在差异。</w:t>
      </w:r>
    </w:p>
    <w:p>
      <w:pPr>
        <w:spacing w:line="580" w:lineRule="exact"/>
        <w:ind w:firstLine="640"/>
        <w:jc w:val="both"/>
      </w:pPr>
      <w:r>
        <w:rPr>
          <w:rFonts w:ascii="仿宋_GB2312" w:hAnsi="仿宋_GB2312" w:eastAsia="仿宋_GB2312"/>
          <w:b w:val="0"/>
          <w:sz w:val="32"/>
        </w:rPr>
        <w:t>政府性基金预算财政拨款支出868.31万元。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1.其他支出(类)彩票公益金安排的支出(款)用于社会福利的彩票公益金支出(项):支出决算数为868.31万元，比上年决算增加67.34万元，增长8.41%,主要原因是：本年增加80岁以上高龄津贴及政府购买服务项目。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2024年度财政拨款“三公”经费支出1.60万元，</w:t>
      </w:r>
      <w:r>
        <w:rPr>
          <w:rFonts w:ascii="仿宋_GB2312" w:hAnsi="仿宋_GB2312" w:eastAsia="仿宋_GB2312"/>
          <w:b w:val="0"/>
          <w:sz w:val="32"/>
        </w:rPr>
        <w:t>比上年增加0.60万元，增长60.00%，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1.60万元，占100.00%，比上年增加0.60万元，增长60.00%，主要原因是：本单位公务用车日渐老化，维修维护成本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1.60万元，其中：公务用车购置费0.00万元，公务用车运行维护费1.60万元。公务用车运行维护费开支内容包括车辆加油费、维修费、保险费、审车费、过路费。公务用车购置数0辆，公务用车保有量6辆。国有资产占用情况中固定资产车辆6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1.60万元，决算数1.60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1.60万元，决算数1.60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2024年度霍城县民政局（行政单位和参照公务员法管理事业单位）机关运行经费支出13.29万元，比上年增加0.48万元，增长3.75%，主要原因是：本年增加差旅费经费，导致公用经费增加。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2024年度政府采购支出总额144.43万元，其中：政府采购货物支出0.00万元、政府采购工程支出0.00万元、政府采购服务支出144.43万元。</w:t>
      </w:r>
    </w:p>
    <w:p>
      <w:pPr>
        <w:spacing w:line="580" w:lineRule="exact"/>
        <w:ind w:firstLine="640"/>
        <w:jc w:val="both"/>
      </w:pPr>
      <w:r>
        <w:rPr>
          <w:rFonts w:ascii="仿宋_GB2312" w:hAnsi="仿宋_GB2312" w:eastAsia="仿宋_GB2312"/>
          <w:b w:val="0"/>
          <w:sz w:val="32"/>
        </w:rPr>
        <w:t>授予中小企业合同金额144.43万元，占政府采购支出总额的100.00%，其中：授予小微企业合同金额144.43万元，占政府采购支出总额的100.00%。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26,161.46平方米，价值4,127.10万元。车辆6辆，价值110.93万元，其中：副部（省）级及以上领导用车0辆、主要负责人用车0辆、机要通信用车0辆、应急保障用车0辆、执法执勤用车0辆、特种专业技术用车0辆、离退休干部服务用车0辆、其他用车6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14,167.89万元，实际执行总额14,167.89万元；预算绩效评价项目15个，全年预算数15,252.24万元，全年执行数14,949.19万元。预算绩效管理取得的成效：一是加强宣传，注重服务。通过政府网站等方式广泛宣传残疾人两项补贴政策，进一步提高了政策知晓率。严格按照文件要求执行补贴审批工作，做到不遗、不漏、不错，信息准确无误，以确保此项工作落到实处，使残疾人能真正体会到党和政府对他们的真切关怀与帮助。二是对残疾人实行属地化管理、分级负责，专项资金补助对象实行动态管理。根据残疾人变化的情</w:t>
      </w:r>
      <w:r>
        <w:rPr>
          <w:rFonts w:hint="eastAsia" w:ascii="仿宋_GB2312" w:hAnsi="仿宋_GB2312" w:eastAsia="仿宋_GB2312"/>
          <w:b w:val="0"/>
          <w:sz w:val="32"/>
          <w:lang w:eastAsia="zh-CN"/>
        </w:rPr>
        <w:t>况</w:t>
      </w:r>
      <w:r>
        <w:rPr>
          <w:rFonts w:ascii="仿宋_GB2312" w:hAnsi="仿宋_GB2312" w:eastAsia="仿宋_GB2312"/>
          <w:b w:val="0"/>
          <w:sz w:val="32"/>
        </w:rPr>
        <w:t>，及时办理审批、增发、停发手续，相对提高了专项资金补助发放的精准度。发现的问题及原因：项目实施单位对项目管理制度建设、财务制度建设和执行水平有待进一步完善。残疾人证件过期不及时更换、死亡人员不及时上报，发放不够精准。下一步改进措施：一是按照财政资金绩效管理要求，建立资金绩效运行跟踪监控机制，对绩效目标运行情</w:t>
      </w:r>
      <w:r>
        <w:rPr>
          <w:rFonts w:hint="eastAsia" w:ascii="仿宋_GB2312" w:hAnsi="仿宋_GB2312" w:eastAsia="仿宋_GB2312"/>
          <w:b w:val="0"/>
          <w:sz w:val="32"/>
          <w:lang w:eastAsia="zh-CN"/>
        </w:rPr>
        <w:t>况</w:t>
      </w:r>
      <w:r>
        <w:rPr>
          <w:rFonts w:ascii="仿宋_GB2312" w:hAnsi="仿宋_GB2312" w:eastAsia="仿宋_GB2312"/>
          <w:b w:val="0"/>
          <w:sz w:val="32"/>
        </w:rPr>
        <w:t>进行日常跟踪管理和督促检查，促进绩效目标的顺利实现。二是建立补贴对象动态信息系统。明确补贴对象信息变动操作流程，明确补贴对象信息更新时限，确保及时准确更新补贴对象信息。避免出现领取补贴标准实际不符、死亡人员多领取补贴现象。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11,956.12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14,167.89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14,167.89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6,587.60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11,390.01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11,390.01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5,368.52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2,397.60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2,397.60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贯彻落实</w:t>
            </w:r>
            <w:r>
              <w:rPr>
                <w:rFonts w:ascii="宋体" w:hAnsi="宋体" w:eastAsia="宋体"/>
                <w:sz w:val="16"/>
              </w:rPr>
              <w:t>习近平新时代中国特色社会主义思想和党的二十大精神，贯彻落实自治区、自治州民政工作会议部署“以民政为民，民政爱民”的宗旨，全心全意为办事群众服务，提高职工工作质量，加快办事效率。拟订全县社会救助规划、政策和标准，健全城乡社会救助体系；指导农村五保供养和农村敬老院建设管理工作；全力抓好未成年人保护工作站建设；负责城乡居民最低生活保障、临时救助、生活无着人员救助和城市低收入家庭收入认定工作；做到符合条件的残疾人应纳尽纳，应助尽助，使残疾人基本生活得到保障提高残疾人的生活质量。做好婚姻登记服务，对离婚冷静期人员有效疏导。</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1.</w:t>
            </w:r>
            <w:r>
              <w:rPr>
                <w:rFonts w:ascii="宋体" w:hAnsi="宋体" w:eastAsia="宋体"/>
                <w:sz w:val="16"/>
              </w:rPr>
              <w:t>切实以</w:t>
            </w:r>
            <w:r>
              <w:rPr>
                <w:rFonts w:hint="eastAsia" w:ascii="宋体" w:hAnsi="宋体"/>
                <w:sz w:val="16"/>
                <w:lang w:eastAsia="zh-CN"/>
              </w:rPr>
              <w:t>“</w:t>
            </w:r>
            <w:r>
              <w:rPr>
                <w:rFonts w:ascii="宋体" w:hAnsi="宋体" w:eastAsia="宋体"/>
                <w:sz w:val="16"/>
              </w:rPr>
              <w:t>民政为民，民政爱民”的宗旨，全心全意为办事群众服务，提高了职工工作质量，加快办事效率。贯彻落实相关政策推动日常民政业务工作，取得有效成果。2、自2024年7月起，城乡低保实行分档发放，城市低保提高至712元/月、农村低保标准提高至568元/月，农村分散供养特困人员基本生活标准至820元/月。全年累计发放各类社会救助资金1.15亿元。惠及低保、特困、孤儿、事实无人抚养儿童等困难群众2.16万人。 3、完成8473余名残疾人继续按照生活困难残疾人每人每月120元，重度残疾人每人每月120元的标准发放残疾补贴发放金额1201.28万元。进一步加大对残疾人两项补贴政策的宣传力度，统筹做好残疾人两项补贴制度与现行相关社会福利、社会救助、社会保险制度的衔接工作，进一步加强残疾人两项补贴动态管理，确保了残疾人两项补贴资金及时、准确、足额发放到他们</w:t>
            </w:r>
            <w:r>
              <w:rPr>
                <w:rFonts w:hint="eastAsia" w:ascii="宋体" w:hAnsi="宋体"/>
                <w:sz w:val="16"/>
                <w:lang w:eastAsia="zh-CN"/>
              </w:rPr>
              <w:t>手中</w:t>
            </w:r>
            <w:r>
              <w:rPr>
                <w:rFonts w:ascii="宋体" w:hAnsi="宋体" w:eastAsia="宋体"/>
                <w:sz w:val="16"/>
              </w:rPr>
              <w:t>。4、社会事务工作扎实推进。5月20日举办“缘定青春，共赴一生”集体婚礼，通过发放婚俗改革倡议书、宣读结婚誓言、集体颁证等方式，倡导婚事简办等移风易俗新风。积极开展婚前教育、婚姻家庭辅导和矛盾纠纷调解，全年累计办理结婚登记1871对、离婚登记587对、补领补发1142对、离婚冷静期登记1347对。离婚率仅占登记离婚人数的30%，经过调解有效化解了大多数家庭婚姻矛盾纠纷。</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将符合条件的困难群众纳入救助保障体系精准率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2024年民政工作报告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残疾人“两项”补贴覆盖率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2024年民政工作报告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80周岁以上高龄老人补助覆盖率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2024年民政工作报告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未成年人</w:t>
            </w:r>
            <w:r>
              <w:rPr>
                <w:rFonts w:ascii="宋体" w:hAnsi="宋体" w:eastAsia="宋体"/>
                <w:sz w:val="16"/>
              </w:rPr>
              <w:t>保护工作站未成年人服务保障率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2024年民政工作报告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婚姻登记社会服务保障率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2024年民政工作报告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80岁以上高龄津贴</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134.13</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134.13</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134.13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5832"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解决80岁以上高龄老人的体检困难、提高他们的生活和生命质量，切实贯彻“老有所养、老有所医”战略目标。提高老年人服务和保障能力，维护老年人的基本生活权益</w:t>
            </w:r>
            <w:r>
              <w:rPr>
                <w:rFonts w:hint="eastAsia" w:ascii="宋体" w:hAnsi="宋体"/>
                <w:sz w:val="16"/>
                <w:lang w:eastAsia="zh-CN"/>
              </w:rPr>
              <w:t>，在</w:t>
            </w:r>
            <w:r>
              <w:rPr>
                <w:rFonts w:ascii="宋体" w:hAnsi="宋体" w:eastAsia="宋体"/>
                <w:sz w:val="16"/>
              </w:rPr>
              <w:t>维护社会稳定和构建社会主义和谐社会方面发挥重要作用。</w:t>
            </w:r>
          </w:p>
        </w:tc>
        <w:tc>
          <w:tcPr>
            <w:tcW w:w="5832"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进一步完善社会养老保障体系，提高老年人生活质量，县民政局着力从加大宣传力度、加强动态管理、资金精准发放三方面着手，做好高龄津贴发放工作，增强老年人获得感、幸福感。加大宣传力度。通过召开会议、入村宣传、发放纸质单页、网络宣传、大喇叭等形式，广泛宣传高龄津贴政策，让高龄津贴发放（80周岁至89周岁老人每人每月50元、90周岁至99周岁老人每人每月120元、100周岁及以上老人每人每月200元）等有关政策家喻户晓，营造“老吾老以及人之老”的浓厚氛围。加强动态管理。确保动态管理全面到位，建立全县老年人信息管理台账，及时全面掌握高龄老人动态变化情况，动态管理新增和死亡高龄人员信息，确保发放工作规范有序进行，不漏发一人、不错发一人。资金精准发放。确保资金精准到位，严格资金发放程序，补贴资金实行专户管理，专款专用，并通过“一卡通”按时、足额、精准发放到社保卡。2024年霍城县为老人发放高龄津贴，资金共计134.13万元。霍城县将始终坚持把党和政府的关怀落到实处，让高龄老人们老有所养、老有所依、颐养天年。</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100周岁以上（含100周岁）的老年人数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90周岁（含90周岁）99周岁的老年人数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407人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因每月动态调整，</w:t>
            </w:r>
            <w:r>
              <w:rPr>
                <w:rFonts w:hint="eastAsia" w:ascii="宋体" w:hAnsi="宋体"/>
                <w:sz w:val="16"/>
                <w:lang w:eastAsia="zh-CN"/>
              </w:rPr>
              <w:t>截至</w:t>
            </w:r>
            <w:r>
              <w:rPr>
                <w:rFonts w:ascii="宋体" w:hAnsi="宋体" w:eastAsia="宋体"/>
                <w:sz w:val="16"/>
              </w:rPr>
              <w:t>2024年12月90-99岁老年人数为407人。</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80周岁（含80周岁）89周岁的老年人数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3799人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因每月动态调整，</w:t>
            </w:r>
            <w:r>
              <w:rPr>
                <w:rFonts w:hint="eastAsia" w:ascii="宋体" w:hAnsi="宋体"/>
                <w:sz w:val="16"/>
                <w:lang w:eastAsia="zh-CN"/>
              </w:rPr>
              <w:t>截至</w:t>
            </w:r>
            <w:r>
              <w:rPr>
                <w:rFonts w:ascii="宋体" w:hAnsi="宋体" w:eastAsia="宋体"/>
                <w:sz w:val="16"/>
              </w:rPr>
              <w:t>2024年12月80-89岁老年人数为3799人。</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年满80周岁以上老年体检人数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2893人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截至</w:t>
            </w:r>
            <w:r>
              <w:rPr>
                <w:rFonts w:ascii="宋体" w:hAnsi="宋体" w:eastAsia="宋体"/>
                <w:sz w:val="16"/>
              </w:rPr>
              <w:t>2024年12月，80岁以上老年人体检共2893人，因老年人年纪大，一部分老年人在住院时已经体检过了，不想再次体检，在今后，将加大对老年人体检政策宣传。</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80岁以上高龄老人发放次数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80岁以上高龄老人补贴对象动态管理精准度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在每月调整动态时，应纳尽纳，死亡应退尽退。</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严格按照规定发放高龄津贴。</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免费体检对象动态管理精准度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在审核时，按照身份证年龄，严格审核，精准体检。</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每月15日前，按时发放高龄津贴。</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自治区财政承担比例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80周岁（含80周岁）89周岁的老年人每人每月补贴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90周岁（含90周岁）99周岁的老年人每人每月补贴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100周岁以上（含100周岁）的老年人每人每月补助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年满80周岁以上老年体检人均补助标准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维护高龄老年人的合法权益，提高高龄老年人的生活质量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80周岁以上高龄老人对优惠政策落实情况的满意度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从问卷调查看出，老人对高龄津贴政策很满意</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99.23分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72" w:type="dxa"/>
        <w:jc w:val="center"/>
        <w:tblInd w:w="0" w:type="dxa"/>
        <w:tblLayout w:type="fixed"/>
        <w:tblCellMar>
          <w:top w:w="40" w:type="dxa"/>
          <w:left w:w="64" w:type="dxa"/>
          <w:bottom w:w="40" w:type="dxa"/>
          <w:right w:w="64" w:type="dxa"/>
        </w:tblCellMar>
      </w:tblPr>
      <w:tblGrid>
        <w:gridCol w:w="552"/>
        <w:gridCol w:w="476"/>
        <w:gridCol w:w="515"/>
        <w:gridCol w:w="1364"/>
        <w:gridCol w:w="440"/>
        <w:gridCol w:w="659"/>
        <w:gridCol w:w="590"/>
        <w:gridCol w:w="791"/>
        <w:gridCol w:w="449"/>
        <w:gridCol w:w="449"/>
        <w:gridCol w:w="499"/>
        <w:gridCol w:w="545"/>
        <w:gridCol w:w="407"/>
        <w:gridCol w:w="1236"/>
      </w:tblGrid>
      <w:tr>
        <w:tblPrEx>
          <w:tblLayout w:type="fixed"/>
          <w:tblCellMar>
            <w:top w:w="40" w:type="dxa"/>
            <w:left w:w="64" w:type="dxa"/>
            <w:bottom w:w="40" w:type="dxa"/>
            <w:right w:w="64" w:type="dxa"/>
          </w:tblCellMar>
        </w:tblPrEx>
        <w:trPr>
          <w:trHeight w:val="0" w:hRule="atLeast"/>
          <w:jc w:val="center"/>
        </w:trPr>
        <w:tc>
          <w:tcPr>
            <w:tcW w:w="8972" w:type="dxa"/>
            <w:gridSpan w:val="14"/>
            <w:vAlign w:val="center"/>
          </w:tcPr>
          <w:p>
            <w:pPr>
              <w:snapToGrid w:val="0"/>
              <w:jc w:val="center"/>
            </w:pPr>
            <w:r>
              <w:rPr>
                <w:rFonts w:ascii="宋体" w:hAnsi="宋体" w:eastAsia="宋体"/>
                <w:sz w:val="24"/>
              </w:rPr>
              <w:t>项目支出绩效自评表</w:t>
            </w:r>
          </w:p>
        </w:tc>
      </w:tr>
      <w:tr>
        <w:tblPrEx>
          <w:tblLayout w:type="fixed"/>
          <w:tblCellMar>
            <w:top w:w="40" w:type="dxa"/>
            <w:left w:w="64" w:type="dxa"/>
            <w:bottom w:w="40" w:type="dxa"/>
            <w:right w:w="64" w:type="dxa"/>
          </w:tblCellMar>
        </w:tblPrEx>
        <w:trPr>
          <w:trHeight w:val="0" w:hRule="atLeast"/>
          <w:jc w:val="center"/>
        </w:trPr>
        <w:tc>
          <w:tcPr>
            <w:tcW w:w="8972" w:type="dxa"/>
            <w:gridSpan w:val="14"/>
            <w:vAlign w:val="center"/>
          </w:tcPr>
          <w:p>
            <w:pPr>
              <w:snapToGrid w:val="0"/>
              <w:jc w:val="center"/>
            </w:pPr>
            <w:r>
              <w:rPr>
                <w:rFonts w:ascii="宋体" w:hAnsi="宋体" w:eastAsia="宋体"/>
                <w:sz w:val="24"/>
              </w:rPr>
              <w:t>(2024年度)</w:t>
            </w:r>
          </w:p>
        </w:tc>
      </w:tr>
      <w:tr>
        <w:tblPrEx>
          <w:tblLayout w:type="fixed"/>
          <w:tblCellMar>
            <w:top w:w="40" w:type="dxa"/>
            <w:left w:w="64" w:type="dxa"/>
            <w:bottom w:w="40" w:type="dxa"/>
            <w:right w:w="64" w:type="dxa"/>
          </w:tblCellMar>
        </w:tblPrEx>
        <w:trPr>
          <w:trHeight w:val="0" w:hRule="atLeast"/>
          <w:jc w:val="center"/>
        </w:trPr>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项目名称</w:t>
            </w:r>
          </w:p>
        </w:tc>
        <w:tc>
          <w:tcPr>
            <w:tcW w:w="842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“福彩圆梦·孤儿助学工程”项目</w:t>
            </w:r>
          </w:p>
        </w:tc>
      </w:tr>
      <w:tr>
        <w:tblPrEx>
          <w:tblLayout w:type="fixed"/>
          <w:tblCellMar>
            <w:top w:w="40" w:type="dxa"/>
            <w:left w:w="64" w:type="dxa"/>
            <w:bottom w:w="40" w:type="dxa"/>
            <w:right w:w="64" w:type="dxa"/>
          </w:tblCellMar>
        </w:tblPrEx>
        <w:trPr>
          <w:trHeight w:val="0" w:hRule="atLeast"/>
          <w:jc w:val="center"/>
        </w:trPr>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主管部门</w:t>
            </w:r>
          </w:p>
        </w:tc>
        <w:tc>
          <w:tcPr>
            <w:tcW w:w="48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霍城县民政局</w:t>
            </w:r>
          </w:p>
        </w:tc>
        <w:tc>
          <w:tcPr>
            <w:tcW w:w="44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实施单位</w:t>
            </w:r>
          </w:p>
        </w:tc>
        <w:tc>
          <w:tcPr>
            <w:tcW w:w="313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霍城县民政局</w:t>
            </w:r>
          </w:p>
        </w:tc>
      </w:tr>
      <w:tr>
        <w:tblPrEx>
          <w:tblLayout w:type="fixed"/>
          <w:tblCellMar>
            <w:top w:w="40" w:type="dxa"/>
            <w:left w:w="64" w:type="dxa"/>
            <w:bottom w:w="40" w:type="dxa"/>
            <w:right w:w="64" w:type="dxa"/>
          </w:tblCellMar>
        </w:tblPrEx>
        <w:trPr>
          <w:trHeight w:val="0" w:hRule="atLeast"/>
          <w:jc w:val="center"/>
        </w:trPr>
        <w:tc>
          <w:tcPr>
            <w:tcW w:w="5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项目资金（万元）</w:t>
            </w:r>
          </w:p>
        </w:tc>
        <w:tc>
          <w:tcPr>
            <w:tcW w:w="9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p>
        </w:tc>
        <w:tc>
          <w:tcPr>
            <w:tcW w:w="18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年初预算数</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全年预算数</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全年执行数</w:t>
            </w:r>
          </w:p>
        </w:tc>
        <w:tc>
          <w:tcPr>
            <w:tcW w:w="9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分值</w:t>
            </w:r>
          </w:p>
        </w:tc>
        <w:tc>
          <w:tcPr>
            <w:tcW w:w="9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执行率</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得分</w:t>
            </w:r>
          </w:p>
        </w:tc>
      </w:tr>
      <w:tr>
        <w:tblPrEx>
          <w:tblLayout w:type="fixed"/>
          <w:tblCellMar>
            <w:top w:w="40" w:type="dxa"/>
            <w:left w:w="64" w:type="dxa"/>
            <w:bottom w:w="40" w:type="dxa"/>
            <w:right w:w="64" w:type="dxa"/>
          </w:tblCellMar>
        </w:tblPrEx>
        <w:trPr>
          <w:trHeight w:val="0" w:hRule="atLeast"/>
          <w:jc w:val="center"/>
        </w:trPr>
        <w:tc>
          <w:tcPr>
            <w:tcW w:w="552"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9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年度资金总额</w:t>
            </w:r>
          </w:p>
        </w:tc>
        <w:tc>
          <w:tcPr>
            <w:tcW w:w="18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10.00</w:t>
            </w:r>
          </w:p>
        </w:tc>
        <w:tc>
          <w:tcPr>
            <w:tcW w:w="9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w:t>
            </w:r>
          </w:p>
        </w:tc>
        <w:tc>
          <w:tcPr>
            <w:tcW w:w="9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100.00%</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10.00</w:t>
            </w:r>
          </w:p>
        </w:tc>
      </w:tr>
      <w:tr>
        <w:tblPrEx>
          <w:tblLayout w:type="fixed"/>
          <w:tblCellMar>
            <w:top w:w="40" w:type="dxa"/>
            <w:left w:w="64" w:type="dxa"/>
            <w:bottom w:w="40" w:type="dxa"/>
            <w:right w:w="64" w:type="dxa"/>
          </w:tblCellMar>
        </w:tblPrEx>
        <w:trPr>
          <w:trHeight w:val="0" w:hRule="atLeast"/>
          <w:jc w:val="center"/>
        </w:trPr>
        <w:tc>
          <w:tcPr>
            <w:tcW w:w="552"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9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其中：当年财政拨款</w:t>
            </w:r>
          </w:p>
        </w:tc>
        <w:tc>
          <w:tcPr>
            <w:tcW w:w="18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10.00</w:t>
            </w:r>
          </w:p>
        </w:tc>
        <w:tc>
          <w:tcPr>
            <w:tcW w:w="9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w:t>
            </w:r>
          </w:p>
        </w:tc>
        <w:tc>
          <w:tcPr>
            <w:tcW w:w="9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w:t>
            </w:r>
          </w:p>
        </w:tc>
      </w:tr>
      <w:tr>
        <w:tblPrEx>
          <w:tblLayout w:type="fixed"/>
          <w:tblCellMar>
            <w:top w:w="40" w:type="dxa"/>
            <w:left w:w="64" w:type="dxa"/>
            <w:bottom w:w="40" w:type="dxa"/>
            <w:right w:w="64" w:type="dxa"/>
          </w:tblCellMar>
        </w:tblPrEx>
        <w:trPr>
          <w:trHeight w:val="0" w:hRule="atLeast"/>
          <w:jc w:val="center"/>
        </w:trPr>
        <w:tc>
          <w:tcPr>
            <w:tcW w:w="552"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9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 xml:space="preserve">  其他资金</w:t>
            </w:r>
          </w:p>
        </w:tc>
        <w:tc>
          <w:tcPr>
            <w:tcW w:w="18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0.00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0.00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0.00</w:t>
            </w:r>
          </w:p>
        </w:tc>
        <w:tc>
          <w:tcPr>
            <w:tcW w:w="9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w:t>
            </w:r>
          </w:p>
        </w:tc>
        <w:tc>
          <w:tcPr>
            <w:tcW w:w="9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w:t>
            </w:r>
          </w:p>
        </w:tc>
      </w:tr>
      <w:tr>
        <w:tblPrEx>
          <w:tblLayout w:type="fixed"/>
          <w:tblCellMar>
            <w:top w:w="40" w:type="dxa"/>
            <w:left w:w="64" w:type="dxa"/>
            <w:bottom w:w="40" w:type="dxa"/>
            <w:right w:w="64" w:type="dxa"/>
          </w:tblCellMar>
        </w:tblPrEx>
        <w:trPr>
          <w:trHeight w:val="0" w:hRule="atLeast"/>
          <w:jc w:val="center"/>
        </w:trPr>
        <w:tc>
          <w:tcPr>
            <w:tcW w:w="5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年度总体目标</w:t>
            </w:r>
          </w:p>
        </w:tc>
        <w:tc>
          <w:tcPr>
            <w:tcW w:w="48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预期目标</w:t>
            </w:r>
          </w:p>
        </w:tc>
        <w:tc>
          <w:tcPr>
            <w:tcW w:w="358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实际完成情况</w:t>
            </w:r>
          </w:p>
        </w:tc>
      </w:tr>
      <w:tr>
        <w:tblPrEx>
          <w:tblLayout w:type="fixed"/>
          <w:tblCellMar>
            <w:top w:w="40" w:type="dxa"/>
            <w:left w:w="64" w:type="dxa"/>
            <w:bottom w:w="40" w:type="dxa"/>
            <w:right w:w="64" w:type="dxa"/>
          </w:tblCellMar>
        </w:tblPrEx>
        <w:trPr>
          <w:trHeight w:val="0" w:hRule="atLeast"/>
          <w:jc w:val="center"/>
        </w:trPr>
        <w:tc>
          <w:tcPr>
            <w:tcW w:w="552"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8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both"/>
            </w:pPr>
            <w:r>
              <w:rPr>
                <w:rFonts w:ascii="宋体" w:hAnsi="宋体" w:eastAsia="宋体"/>
                <w:sz w:val="16"/>
              </w:rPr>
              <w:t>为被认定为孤儿身份、年满18周岁后在普通全日制本科学校、普通全日制专科学校、高等职业学校等高校及中等职业学校就读的中专、大专、本科和硕士研究生孤儿，发放补助费用，资助标准为每人每年1万元助学金。有效保障孤儿就学权利，为大龄孤儿提供接受高等教育的机会，让受助学生感受到国家大家庭的关爱。</w:t>
            </w:r>
          </w:p>
        </w:tc>
        <w:tc>
          <w:tcPr>
            <w:tcW w:w="358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both"/>
            </w:pPr>
            <w:r>
              <w:rPr>
                <w:rFonts w:ascii="宋体" w:hAnsi="宋体" w:eastAsia="宋体"/>
                <w:sz w:val="16"/>
              </w:rPr>
              <w:t>霍城县民政局进一步有效解决困难孤儿就学问题，鼓励孤儿努力上学，追求上进，接受高等教育，为孤儿发放助学金为每人每年1万元，共发放12人10万元，有效保障孤儿就学权利，为大龄孤儿提供接受高等教育的机会，让受助学生感受到国家大家庭的关爱。</w:t>
            </w:r>
          </w:p>
        </w:tc>
      </w:tr>
      <w:tr>
        <w:tblPrEx>
          <w:tblLayout w:type="fixed"/>
          <w:tblCellMar>
            <w:top w:w="40" w:type="dxa"/>
            <w:left w:w="64" w:type="dxa"/>
            <w:bottom w:w="40" w:type="dxa"/>
            <w:right w:w="64" w:type="dxa"/>
          </w:tblCellMar>
        </w:tblPrEx>
        <w:trPr>
          <w:trHeight w:val="0" w:hRule="atLeast"/>
          <w:jc w:val="center"/>
        </w:trPr>
        <w:tc>
          <w:tcPr>
            <w:tcW w:w="552" w:type="dxa"/>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76"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一级指标</w:t>
            </w: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二级指标</w:t>
            </w:r>
          </w:p>
        </w:tc>
        <w:tc>
          <w:tcPr>
            <w:tcW w:w="136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三级指标</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权重</w:t>
            </w:r>
          </w:p>
        </w:tc>
        <w:tc>
          <w:tcPr>
            <w:tcW w:w="6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目标值</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业绩值</w:t>
            </w:r>
          </w:p>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完成率</w:t>
            </w:r>
          </w:p>
        </w:tc>
        <w:tc>
          <w:tcPr>
            <w:tcW w:w="44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得分</w:t>
            </w:r>
          </w:p>
        </w:tc>
        <w:tc>
          <w:tcPr>
            <w:tcW w:w="44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指标值设定依据</w:t>
            </w:r>
          </w:p>
        </w:tc>
        <w:tc>
          <w:tcPr>
            <w:tcW w:w="49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上年完成情况</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赋分规则</w:t>
            </w:r>
          </w:p>
        </w:tc>
        <w:tc>
          <w:tcPr>
            <w:tcW w:w="407"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佐证资料</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偏差原因分析及改进措施</w:t>
            </w:r>
          </w:p>
        </w:tc>
      </w:tr>
      <w:tr>
        <w:tblPrEx>
          <w:tblLayout w:type="fixed"/>
          <w:tblCellMar>
            <w:top w:w="40" w:type="dxa"/>
            <w:left w:w="64" w:type="dxa"/>
            <w:bottom w:w="40" w:type="dxa"/>
            <w:right w:w="64" w:type="dxa"/>
          </w:tblCellMar>
        </w:tblPrEx>
        <w:trPr>
          <w:trHeight w:val="0" w:hRule="atLeast"/>
          <w:jc w:val="center"/>
        </w:trPr>
        <w:tc>
          <w:tcPr>
            <w:tcW w:w="5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年度绩效指标完成情况</w:t>
            </w:r>
          </w:p>
        </w:tc>
        <w:tc>
          <w:tcPr>
            <w:tcW w:w="4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产出指标</w:t>
            </w:r>
          </w:p>
        </w:tc>
        <w:tc>
          <w:tcPr>
            <w:tcW w:w="5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数量指标</w:t>
            </w:r>
          </w:p>
        </w:tc>
        <w:tc>
          <w:tcPr>
            <w:tcW w:w="136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支持“福彩圆梦·孤儿助学工程”助学县市数量</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8</w:t>
            </w:r>
          </w:p>
        </w:tc>
        <w:tc>
          <w:tcPr>
            <w:tcW w:w="6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&gt;=12个</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12个</w:t>
            </w:r>
          </w:p>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w:t>
            </w:r>
          </w:p>
        </w:tc>
        <w:tc>
          <w:tcPr>
            <w:tcW w:w="44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8</w:t>
            </w:r>
          </w:p>
        </w:tc>
        <w:tc>
          <w:tcPr>
            <w:tcW w:w="44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计划标准</w:t>
            </w:r>
          </w:p>
        </w:tc>
        <w:tc>
          <w:tcPr>
            <w:tcW w:w="49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11个</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直接赋分</w:t>
            </w:r>
          </w:p>
        </w:tc>
        <w:tc>
          <w:tcPr>
            <w:tcW w:w="407"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工作资料</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p>
        </w:tc>
      </w:tr>
      <w:tr>
        <w:tblPrEx>
          <w:tblLayout w:type="fixed"/>
          <w:tblCellMar>
            <w:top w:w="40" w:type="dxa"/>
            <w:left w:w="64" w:type="dxa"/>
            <w:bottom w:w="40" w:type="dxa"/>
            <w:right w:w="64" w:type="dxa"/>
          </w:tblCellMar>
        </w:tblPrEx>
        <w:trPr>
          <w:trHeight w:val="0" w:hRule="atLeast"/>
          <w:jc w:val="center"/>
        </w:trPr>
        <w:tc>
          <w:tcPr>
            <w:tcW w:w="552"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76"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515"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136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资助“福彩圆梦·孤儿助学工程”项目人数</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8</w:t>
            </w:r>
          </w:p>
        </w:tc>
        <w:tc>
          <w:tcPr>
            <w:tcW w:w="6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=10人</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12人</w:t>
            </w:r>
          </w:p>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120%</w:t>
            </w:r>
          </w:p>
        </w:tc>
        <w:tc>
          <w:tcPr>
            <w:tcW w:w="44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8</w:t>
            </w:r>
          </w:p>
        </w:tc>
        <w:tc>
          <w:tcPr>
            <w:tcW w:w="44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计划标准</w:t>
            </w:r>
          </w:p>
        </w:tc>
        <w:tc>
          <w:tcPr>
            <w:tcW w:w="49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10人</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按照完成比例赋分</w:t>
            </w:r>
          </w:p>
        </w:tc>
        <w:tc>
          <w:tcPr>
            <w:tcW w:w="407"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工作资料</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经</w:t>
            </w:r>
            <w:r>
              <w:rPr>
                <w:rFonts w:hint="eastAsia" w:ascii="宋体" w:hAnsi="宋体"/>
                <w:sz w:val="16"/>
                <w:lang w:eastAsia="zh-CN"/>
              </w:rPr>
              <w:t>摸排</w:t>
            </w:r>
            <w:r>
              <w:rPr>
                <w:rFonts w:ascii="宋体" w:hAnsi="宋体" w:eastAsia="宋体"/>
                <w:sz w:val="16"/>
              </w:rPr>
              <w:t>，有三个孤儿2024年9月考上中专、大专、本科，增加三人</w:t>
            </w:r>
            <w:r>
              <w:rPr>
                <w:rFonts w:hint="eastAsia" w:ascii="宋体" w:hAnsi="宋体"/>
                <w:sz w:val="16"/>
                <w:lang w:eastAsia="zh-CN"/>
              </w:rPr>
              <w:t>。</w:t>
            </w:r>
          </w:p>
        </w:tc>
      </w:tr>
      <w:tr>
        <w:tblPrEx>
          <w:tblLayout w:type="fixed"/>
          <w:tblCellMar>
            <w:top w:w="40" w:type="dxa"/>
            <w:left w:w="64" w:type="dxa"/>
            <w:bottom w:w="40" w:type="dxa"/>
            <w:right w:w="64" w:type="dxa"/>
          </w:tblCellMar>
        </w:tblPrEx>
        <w:trPr>
          <w:trHeight w:val="0" w:hRule="atLeast"/>
          <w:jc w:val="center"/>
        </w:trPr>
        <w:tc>
          <w:tcPr>
            <w:tcW w:w="552"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76"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质量指标</w:t>
            </w:r>
          </w:p>
        </w:tc>
        <w:tc>
          <w:tcPr>
            <w:tcW w:w="136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受助孤儿毕业率</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8</w:t>
            </w:r>
          </w:p>
        </w:tc>
        <w:tc>
          <w:tcPr>
            <w:tcW w:w="6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&gt;=90%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w:t>
            </w:r>
          </w:p>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111.11%</w:t>
            </w:r>
          </w:p>
        </w:tc>
        <w:tc>
          <w:tcPr>
            <w:tcW w:w="44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8</w:t>
            </w:r>
          </w:p>
        </w:tc>
        <w:tc>
          <w:tcPr>
            <w:tcW w:w="44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行业标准</w:t>
            </w:r>
          </w:p>
        </w:tc>
        <w:tc>
          <w:tcPr>
            <w:tcW w:w="49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90%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按照完成比例赋分</w:t>
            </w:r>
          </w:p>
        </w:tc>
        <w:tc>
          <w:tcPr>
            <w:tcW w:w="407"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工作资料</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对救助孤儿已全部按学业进度毕业。</w:t>
            </w:r>
          </w:p>
        </w:tc>
      </w:tr>
      <w:tr>
        <w:tblPrEx>
          <w:tblLayout w:type="fixed"/>
          <w:tblCellMar>
            <w:top w:w="40" w:type="dxa"/>
            <w:left w:w="64" w:type="dxa"/>
            <w:bottom w:w="40" w:type="dxa"/>
            <w:right w:w="64" w:type="dxa"/>
          </w:tblCellMar>
        </w:tblPrEx>
        <w:trPr>
          <w:trHeight w:val="0" w:hRule="atLeast"/>
          <w:jc w:val="center"/>
        </w:trPr>
        <w:tc>
          <w:tcPr>
            <w:tcW w:w="552"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76"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5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时效指标</w:t>
            </w:r>
          </w:p>
        </w:tc>
        <w:tc>
          <w:tcPr>
            <w:tcW w:w="136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hint="eastAsia" w:ascii="宋体" w:hAnsi="宋体"/>
                <w:sz w:val="16"/>
                <w:lang w:eastAsia="zh-CN"/>
              </w:rPr>
              <w:t>财政部门</w:t>
            </w:r>
            <w:r>
              <w:rPr>
                <w:rFonts w:ascii="宋体" w:hAnsi="宋体" w:eastAsia="宋体"/>
                <w:sz w:val="16"/>
              </w:rPr>
              <w:t>下达中央财政补助资金</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8</w:t>
            </w:r>
          </w:p>
        </w:tc>
        <w:tc>
          <w:tcPr>
            <w:tcW w:w="6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&lt;=30日</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30日</w:t>
            </w:r>
          </w:p>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w:t>
            </w:r>
          </w:p>
        </w:tc>
        <w:tc>
          <w:tcPr>
            <w:tcW w:w="44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8</w:t>
            </w:r>
          </w:p>
        </w:tc>
        <w:tc>
          <w:tcPr>
            <w:tcW w:w="44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计划标准</w:t>
            </w:r>
          </w:p>
        </w:tc>
        <w:tc>
          <w:tcPr>
            <w:tcW w:w="49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30日</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直接赋分</w:t>
            </w:r>
          </w:p>
        </w:tc>
        <w:tc>
          <w:tcPr>
            <w:tcW w:w="407"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原始凭证</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p>
        </w:tc>
      </w:tr>
      <w:tr>
        <w:tblPrEx>
          <w:tblLayout w:type="fixed"/>
          <w:tblCellMar>
            <w:top w:w="40" w:type="dxa"/>
            <w:left w:w="64" w:type="dxa"/>
            <w:bottom w:w="40" w:type="dxa"/>
            <w:right w:w="64" w:type="dxa"/>
          </w:tblCellMar>
        </w:tblPrEx>
        <w:trPr>
          <w:trHeight w:val="0" w:hRule="atLeast"/>
          <w:jc w:val="center"/>
        </w:trPr>
        <w:tc>
          <w:tcPr>
            <w:tcW w:w="552"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76"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515"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136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助学金按月或按季社会化发放到位率</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8</w:t>
            </w:r>
          </w:p>
        </w:tc>
        <w:tc>
          <w:tcPr>
            <w:tcW w:w="6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&gt;=90%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w:t>
            </w:r>
          </w:p>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111.11%</w:t>
            </w:r>
          </w:p>
        </w:tc>
        <w:tc>
          <w:tcPr>
            <w:tcW w:w="44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8</w:t>
            </w:r>
          </w:p>
        </w:tc>
        <w:tc>
          <w:tcPr>
            <w:tcW w:w="44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计划标准</w:t>
            </w:r>
          </w:p>
        </w:tc>
        <w:tc>
          <w:tcPr>
            <w:tcW w:w="49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90%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按照完成比例赋分</w:t>
            </w:r>
          </w:p>
        </w:tc>
        <w:tc>
          <w:tcPr>
            <w:tcW w:w="407"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原始凭证</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hint="eastAsia" w:ascii="宋体" w:hAnsi="宋体"/>
                <w:sz w:val="16"/>
                <w:lang w:eastAsia="zh-CN"/>
              </w:rPr>
              <w:t>助学金</w:t>
            </w:r>
            <w:r>
              <w:rPr>
                <w:rFonts w:ascii="宋体" w:hAnsi="宋体" w:eastAsia="宋体"/>
                <w:sz w:val="16"/>
              </w:rPr>
              <w:t>按季已全部发放完毕。</w:t>
            </w:r>
          </w:p>
        </w:tc>
      </w:tr>
      <w:tr>
        <w:tblPrEx>
          <w:tblLayout w:type="fixed"/>
          <w:tblCellMar>
            <w:top w:w="40" w:type="dxa"/>
            <w:left w:w="64" w:type="dxa"/>
            <w:bottom w:w="40" w:type="dxa"/>
            <w:right w:w="64" w:type="dxa"/>
          </w:tblCellMar>
        </w:tblPrEx>
        <w:trPr>
          <w:trHeight w:val="0" w:hRule="atLeast"/>
          <w:jc w:val="center"/>
        </w:trPr>
        <w:tc>
          <w:tcPr>
            <w:tcW w:w="552"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76"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成本指标</w:t>
            </w: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经济成本指标</w:t>
            </w:r>
          </w:p>
        </w:tc>
        <w:tc>
          <w:tcPr>
            <w:tcW w:w="136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资助每位孤儿助学费用</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20</w:t>
            </w:r>
          </w:p>
        </w:tc>
        <w:tc>
          <w:tcPr>
            <w:tcW w:w="6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&lt;=1万元</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1万元</w:t>
            </w:r>
          </w:p>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w:t>
            </w:r>
          </w:p>
        </w:tc>
        <w:tc>
          <w:tcPr>
            <w:tcW w:w="44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20</w:t>
            </w:r>
          </w:p>
        </w:tc>
        <w:tc>
          <w:tcPr>
            <w:tcW w:w="44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计划标准</w:t>
            </w:r>
          </w:p>
        </w:tc>
        <w:tc>
          <w:tcPr>
            <w:tcW w:w="49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1万元</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直接赋分</w:t>
            </w:r>
          </w:p>
        </w:tc>
        <w:tc>
          <w:tcPr>
            <w:tcW w:w="407"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原始凭证</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p>
        </w:tc>
      </w:tr>
      <w:tr>
        <w:tblPrEx>
          <w:tblLayout w:type="fixed"/>
          <w:tblCellMar>
            <w:top w:w="40" w:type="dxa"/>
            <w:left w:w="64" w:type="dxa"/>
            <w:bottom w:w="40" w:type="dxa"/>
            <w:right w:w="64" w:type="dxa"/>
          </w:tblCellMar>
        </w:tblPrEx>
        <w:trPr>
          <w:trHeight w:val="0" w:hRule="atLeast"/>
          <w:jc w:val="center"/>
        </w:trPr>
        <w:tc>
          <w:tcPr>
            <w:tcW w:w="552"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76"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效益指标</w:t>
            </w: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社会效益指标</w:t>
            </w:r>
          </w:p>
        </w:tc>
        <w:tc>
          <w:tcPr>
            <w:tcW w:w="136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孤儿教育水平提升情况</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20</w:t>
            </w:r>
          </w:p>
        </w:tc>
        <w:tc>
          <w:tcPr>
            <w:tcW w:w="6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有效提升</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显著替身</w:t>
            </w:r>
          </w:p>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w:t>
            </w:r>
          </w:p>
        </w:tc>
        <w:tc>
          <w:tcPr>
            <w:tcW w:w="44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20</w:t>
            </w:r>
          </w:p>
        </w:tc>
        <w:tc>
          <w:tcPr>
            <w:tcW w:w="44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计划标准</w:t>
            </w:r>
          </w:p>
        </w:tc>
        <w:tc>
          <w:tcPr>
            <w:tcW w:w="49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逐步提升</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按评判等级赋分</w:t>
            </w:r>
          </w:p>
        </w:tc>
        <w:tc>
          <w:tcPr>
            <w:tcW w:w="407"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工作资料</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p>
        </w:tc>
      </w:tr>
      <w:tr>
        <w:tblPrEx>
          <w:tblLayout w:type="fixed"/>
          <w:tblCellMar>
            <w:top w:w="40" w:type="dxa"/>
            <w:left w:w="64" w:type="dxa"/>
            <w:bottom w:w="40" w:type="dxa"/>
            <w:right w:w="64" w:type="dxa"/>
          </w:tblCellMar>
        </w:tblPrEx>
        <w:trPr>
          <w:trHeight w:val="0" w:hRule="atLeast"/>
          <w:jc w:val="center"/>
        </w:trPr>
        <w:tc>
          <w:tcPr>
            <w:tcW w:w="552"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76"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满意度指标</w:t>
            </w:r>
          </w:p>
        </w:tc>
        <w:tc>
          <w:tcPr>
            <w:tcW w:w="51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满意度指标</w:t>
            </w:r>
          </w:p>
        </w:tc>
        <w:tc>
          <w:tcPr>
            <w:tcW w:w="136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受益对象满意度</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w:t>
            </w:r>
          </w:p>
        </w:tc>
        <w:tc>
          <w:tcPr>
            <w:tcW w:w="6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&gt;=90%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99%</w:t>
            </w:r>
          </w:p>
        </w:tc>
        <w:tc>
          <w:tcPr>
            <w:tcW w:w="79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110%</w:t>
            </w:r>
          </w:p>
        </w:tc>
        <w:tc>
          <w:tcPr>
            <w:tcW w:w="44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w:t>
            </w:r>
          </w:p>
        </w:tc>
        <w:tc>
          <w:tcPr>
            <w:tcW w:w="44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计划标准</w:t>
            </w:r>
          </w:p>
        </w:tc>
        <w:tc>
          <w:tcPr>
            <w:tcW w:w="49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90%</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满意度赋分</w:t>
            </w:r>
          </w:p>
        </w:tc>
        <w:tc>
          <w:tcPr>
            <w:tcW w:w="407"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工作资料</w:t>
            </w:r>
          </w:p>
        </w:tc>
        <w:tc>
          <w:tcPr>
            <w:tcW w:w="1236"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经问卷调查，群众对孤儿助学项目很满意。</w:t>
            </w:r>
          </w:p>
        </w:tc>
      </w:tr>
      <w:tr>
        <w:tblPrEx>
          <w:tblLayout w:type="fixed"/>
          <w:tblCellMar>
            <w:top w:w="40" w:type="dxa"/>
            <w:left w:w="64" w:type="dxa"/>
            <w:bottom w:w="40" w:type="dxa"/>
            <w:right w:w="64" w:type="dxa"/>
          </w:tblCellMar>
        </w:tblPrEx>
        <w:trPr>
          <w:trHeight w:val="0" w:hRule="atLeast"/>
          <w:jc w:val="center"/>
        </w:trPr>
        <w:tc>
          <w:tcPr>
            <w:tcW w:w="2907"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总分</w:t>
            </w:r>
          </w:p>
        </w:tc>
        <w:tc>
          <w:tcPr>
            <w:tcW w:w="440"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w:t>
            </w:r>
          </w:p>
        </w:tc>
        <w:tc>
          <w:tcPr>
            <w:tcW w:w="659" w:type="dxa"/>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590" w:type="dxa"/>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791" w:type="dxa"/>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4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100分</w:t>
            </w:r>
          </w:p>
        </w:tc>
        <w:tc>
          <w:tcPr>
            <w:tcW w:w="449" w:type="dxa"/>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99" w:type="dxa"/>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545" w:type="dxa"/>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07" w:type="dxa"/>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1236" w:type="dxa"/>
            <w:tcBorders>
              <w:top w:val="single" w:color="auto" w:sz="10" w:space="0"/>
              <w:left w:val="single" w:color="auto" w:sz="10" w:space="0"/>
              <w:bottom w:val="single" w:color="auto" w:sz="10" w:space="0"/>
              <w:right w:val="single" w:color="auto" w:sz="10" w:space="0"/>
              <w:insideV w:val="single" w:sz="10" w:space="0"/>
            </w:tcBorders>
          </w:tcPr>
          <w:p>
            <w:pPr>
              <w:snapToGrid w:val="0"/>
            </w:pPr>
          </w:p>
        </w:tc>
      </w:tr>
    </w:tbl>
    <w:p>
      <w:r>
        <w:br w:type="page"/>
      </w:r>
    </w:p>
    <w:tbl>
      <w:tblPr>
        <w:tblStyle w:val="9"/>
        <w:tblW w:w="8972" w:type="dxa"/>
        <w:jc w:val="center"/>
        <w:tblInd w:w="0" w:type="dxa"/>
        <w:tblLayout w:type="fixed"/>
        <w:tblCellMar>
          <w:top w:w="40" w:type="dxa"/>
          <w:left w:w="64" w:type="dxa"/>
          <w:bottom w:w="40" w:type="dxa"/>
          <w:right w:w="64" w:type="dxa"/>
        </w:tblCellMar>
      </w:tblPr>
      <w:tblGrid>
        <w:gridCol w:w="553"/>
        <w:gridCol w:w="484"/>
        <w:gridCol w:w="529"/>
        <w:gridCol w:w="1375"/>
        <w:gridCol w:w="441"/>
        <w:gridCol w:w="807"/>
        <w:gridCol w:w="624"/>
        <w:gridCol w:w="799"/>
        <w:gridCol w:w="415"/>
        <w:gridCol w:w="511"/>
        <w:gridCol w:w="484"/>
        <w:gridCol w:w="563"/>
        <w:gridCol w:w="428"/>
        <w:gridCol w:w="959"/>
      </w:tblGrid>
      <w:tr>
        <w:tblPrEx>
          <w:tblLayout w:type="fixed"/>
          <w:tblCellMar>
            <w:top w:w="40" w:type="dxa"/>
            <w:left w:w="64" w:type="dxa"/>
            <w:bottom w:w="40" w:type="dxa"/>
            <w:right w:w="64" w:type="dxa"/>
          </w:tblCellMar>
        </w:tblPrEx>
        <w:trPr>
          <w:trHeight w:val="0" w:hRule="atLeast"/>
          <w:jc w:val="center"/>
        </w:trPr>
        <w:tc>
          <w:tcPr>
            <w:tcW w:w="8972" w:type="dxa"/>
            <w:gridSpan w:val="14"/>
            <w:vAlign w:val="center"/>
          </w:tcPr>
          <w:p>
            <w:pPr>
              <w:snapToGrid w:val="0"/>
              <w:jc w:val="center"/>
            </w:pPr>
            <w:r>
              <w:rPr>
                <w:rFonts w:ascii="宋体" w:hAnsi="宋体" w:eastAsia="宋体"/>
                <w:sz w:val="24"/>
              </w:rPr>
              <w:t>项目支出绩效自评表</w:t>
            </w:r>
          </w:p>
        </w:tc>
      </w:tr>
      <w:tr>
        <w:tblPrEx>
          <w:tblLayout w:type="fixed"/>
          <w:tblCellMar>
            <w:top w:w="40" w:type="dxa"/>
            <w:left w:w="64" w:type="dxa"/>
            <w:bottom w:w="40" w:type="dxa"/>
            <w:right w:w="64" w:type="dxa"/>
          </w:tblCellMar>
        </w:tblPrEx>
        <w:trPr>
          <w:trHeight w:val="0" w:hRule="atLeast"/>
          <w:jc w:val="center"/>
        </w:trPr>
        <w:tc>
          <w:tcPr>
            <w:tcW w:w="8972" w:type="dxa"/>
            <w:gridSpan w:val="14"/>
            <w:vAlign w:val="center"/>
          </w:tcPr>
          <w:p>
            <w:pPr>
              <w:snapToGrid w:val="0"/>
              <w:jc w:val="center"/>
            </w:pPr>
            <w:r>
              <w:rPr>
                <w:rFonts w:ascii="宋体" w:hAnsi="宋体" w:eastAsia="宋体"/>
                <w:sz w:val="24"/>
              </w:rPr>
              <w:t>(2024年度)</w:t>
            </w:r>
          </w:p>
        </w:tc>
      </w:tr>
      <w:tr>
        <w:tblPrEx>
          <w:tblLayout w:type="fixed"/>
          <w:tblCellMar>
            <w:top w:w="40" w:type="dxa"/>
            <w:left w:w="64" w:type="dxa"/>
            <w:bottom w:w="40" w:type="dxa"/>
            <w:right w:w="64" w:type="dxa"/>
          </w:tblCellMar>
        </w:tblPrEx>
        <w:trPr>
          <w:trHeight w:val="0" w:hRule="atLeast"/>
          <w:jc w:val="center"/>
        </w:trPr>
        <w:tc>
          <w:tcPr>
            <w:tcW w:w="553"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项目名称</w:t>
            </w:r>
          </w:p>
        </w:tc>
        <w:tc>
          <w:tcPr>
            <w:tcW w:w="841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中央彩票公益金支持社会福利事业专项资金</w:t>
            </w:r>
          </w:p>
        </w:tc>
      </w:tr>
      <w:tr>
        <w:tblPrEx>
          <w:tblLayout w:type="fixed"/>
          <w:tblCellMar>
            <w:top w:w="40" w:type="dxa"/>
            <w:left w:w="64" w:type="dxa"/>
            <w:bottom w:w="40" w:type="dxa"/>
            <w:right w:w="64" w:type="dxa"/>
          </w:tblCellMar>
        </w:tblPrEx>
        <w:trPr>
          <w:trHeight w:val="0" w:hRule="atLeast"/>
          <w:jc w:val="center"/>
        </w:trPr>
        <w:tc>
          <w:tcPr>
            <w:tcW w:w="553"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主管部门</w:t>
            </w:r>
          </w:p>
        </w:tc>
        <w:tc>
          <w:tcPr>
            <w:tcW w:w="505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霍城县民政局</w:t>
            </w:r>
          </w:p>
        </w:tc>
        <w:tc>
          <w:tcPr>
            <w:tcW w:w="41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实施单位</w:t>
            </w:r>
          </w:p>
        </w:tc>
        <w:tc>
          <w:tcPr>
            <w:tcW w:w="294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霍城县民政局</w:t>
            </w:r>
          </w:p>
        </w:tc>
      </w:tr>
      <w:tr>
        <w:tblPrEx>
          <w:tblLayout w:type="fixed"/>
          <w:tblCellMar>
            <w:top w:w="40" w:type="dxa"/>
            <w:left w:w="64" w:type="dxa"/>
            <w:bottom w:w="40" w:type="dxa"/>
            <w:right w:w="64" w:type="dxa"/>
          </w:tblCellMar>
        </w:tblPrEx>
        <w:trPr>
          <w:trHeight w:val="0" w:hRule="atLeast"/>
          <w:jc w:val="center"/>
        </w:trPr>
        <w:tc>
          <w:tcPr>
            <w:tcW w:w="55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项目资金（万元）</w:t>
            </w:r>
          </w:p>
        </w:tc>
        <w:tc>
          <w:tcPr>
            <w:tcW w:w="10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p>
        </w:tc>
        <w:tc>
          <w:tcPr>
            <w:tcW w:w="18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年初预算数</w:t>
            </w:r>
          </w:p>
        </w:tc>
        <w:tc>
          <w:tcPr>
            <w:tcW w:w="14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全年预算数</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全年执行数</w:t>
            </w:r>
          </w:p>
        </w:tc>
        <w:tc>
          <w:tcPr>
            <w:tcW w:w="9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分值</w:t>
            </w:r>
          </w:p>
        </w:tc>
        <w:tc>
          <w:tcPr>
            <w:tcW w:w="9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执行率</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得分</w:t>
            </w:r>
          </w:p>
        </w:tc>
      </w:tr>
      <w:tr>
        <w:tblPrEx>
          <w:tblLayout w:type="fixed"/>
          <w:tblCellMar>
            <w:top w:w="40" w:type="dxa"/>
            <w:left w:w="64" w:type="dxa"/>
            <w:bottom w:w="40" w:type="dxa"/>
            <w:right w:w="64" w:type="dxa"/>
          </w:tblCellMar>
        </w:tblPrEx>
        <w:trPr>
          <w:trHeight w:val="0" w:hRule="atLeast"/>
          <w:jc w:val="center"/>
        </w:trPr>
        <w:tc>
          <w:tcPr>
            <w:tcW w:w="553"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10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年度资金总额</w:t>
            </w:r>
          </w:p>
        </w:tc>
        <w:tc>
          <w:tcPr>
            <w:tcW w:w="18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144.00</w:t>
            </w:r>
          </w:p>
        </w:tc>
        <w:tc>
          <w:tcPr>
            <w:tcW w:w="14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144.00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73.20</w:t>
            </w:r>
          </w:p>
        </w:tc>
        <w:tc>
          <w:tcPr>
            <w:tcW w:w="9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w:t>
            </w:r>
          </w:p>
        </w:tc>
        <w:tc>
          <w:tcPr>
            <w:tcW w:w="9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50.83%</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0.00</w:t>
            </w:r>
          </w:p>
        </w:tc>
      </w:tr>
      <w:tr>
        <w:tblPrEx>
          <w:tblLayout w:type="fixed"/>
          <w:tblCellMar>
            <w:top w:w="40" w:type="dxa"/>
            <w:left w:w="64" w:type="dxa"/>
            <w:bottom w:w="40" w:type="dxa"/>
            <w:right w:w="64" w:type="dxa"/>
          </w:tblCellMar>
        </w:tblPrEx>
        <w:trPr>
          <w:trHeight w:val="0" w:hRule="atLeast"/>
          <w:jc w:val="center"/>
        </w:trPr>
        <w:tc>
          <w:tcPr>
            <w:tcW w:w="553"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10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其中：当年财政拨款</w:t>
            </w:r>
          </w:p>
        </w:tc>
        <w:tc>
          <w:tcPr>
            <w:tcW w:w="18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144.00</w:t>
            </w:r>
          </w:p>
        </w:tc>
        <w:tc>
          <w:tcPr>
            <w:tcW w:w="14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144.00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73.20</w:t>
            </w:r>
          </w:p>
        </w:tc>
        <w:tc>
          <w:tcPr>
            <w:tcW w:w="9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w:t>
            </w:r>
          </w:p>
        </w:tc>
        <w:tc>
          <w:tcPr>
            <w:tcW w:w="9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w:t>
            </w:r>
          </w:p>
        </w:tc>
      </w:tr>
      <w:tr>
        <w:tblPrEx>
          <w:tblLayout w:type="fixed"/>
          <w:tblCellMar>
            <w:top w:w="40" w:type="dxa"/>
            <w:left w:w="64" w:type="dxa"/>
            <w:bottom w:w="40" w:type="dxa"/>
            <w:right w:w="64" w:type="dxa"/>
          </w:tblCellMar>
        </w:tblPrEx>
        <w:trPr>
          <w:trHeight w:val="0" w:hRule="atLeast"/>
          <w:jc w:val="center"/>
        </w:trPr>
        <w:tc>
          <w:tcPr>
            <w:tcW w:w="553"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10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 xml:space="preserve">  其他资金</w:t>
            </w:r>
          </w:p>
        </w:tc>
        <w:tc>
          <w:tcPr>
            <w:tcW w:w="18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0.00</w:t>
            </w:r>
          </w:p>
        </w:tc>
        <w:tc>
          <w:tcPr>
            <w:tcW w:w="14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0.00</w:t>
            </w:r>
          </w:p>
        </w:tc>
        <w:tc>
          <w:tcPr>
            <w:tcW w:w="121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0.00</w:t>
            </w:r>
          </w:p>
        </w:tc>
        <w:tc>
          <w:tcPr>
            <w:tcW w:w="9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w:t>
            </w:r>
          </w:p>
        </w:tc>
        <w:tc>
          <w:tcPr>
            <w:tcW w:w="9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w:t>
            </w:r>
          </w:p>
        </w:tc>
      </w:tr>
      <w:tr>
        <w:tblPrEx>
          <w:tblLayout w:type="fixed"/>
          <w:tblCellMar>
            <w:top w:w="40" w:type="dxa"/>
            <w:left w:w="64" w:type="dxa"/>
            <w:bottom w:w="40" w:type="dxa"/>
            <w:right w:w="64" w:type="dxa"/>
          </w:tblCellMar>
        </w:tblPrEx>
        <w:trPr>
          <w:trHeight w:val="0" w:hRule="atLeast"/>
          <w:jc w:val="center"/>
        </w:trPr>
        <w:tc>
          <w:tcPr>
            <w:tcW w:w="55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年度总体目标</w:t>
            </w:r>
          </w:p>
        </w:tc>
        <w:tc>
          <w:tcPr>
            <w:tcW w:w="505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预期目标</w:t>
            </w:r>
          </w:p>
        </w:tc>
        <w:tc>
          <w:tcPr>
            <w:tcW w:w="336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实际完成情况</w:t>
            </w:r>
          </w:p>
        </w:tc>
      </w:tr>
      <w:tr>
        <w:tblPrEx>
          <w:tblLayout w:type="fixed"/>
          <w:tblCellMar>
            <w:top w:w="40" w:type="dxa"/>
            <w:left w:w="64" w:type="dxa"/>
            <w:bottom w:w="40" w:type="dxa"/>
            <w:right w:w="64" w:type="dxa"/>
          </w:tblCellMar>
        </w:tblPrEx>
        <w:trPr>
          <w:trHeight w:val="0" w:hRule="atLeast"/>
          <w:jc w:val="center"/>
        </w:trPr>
        <w:tc>
          <w:tcPr>
            <w:tcW w:w="553"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505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both"/>
            </w:pPr>
            <w:r>
              <w:rPr>
                <w:rFonts w:ascii="宋体" w:hAnsi="宋体" w:eastAsia="宋体"/>
                <w:sz w:val="16"/>
              </w:rPr>
              <w:t>根据《国务院办公厅关于推进养老服务发展的意见》(国办发〔2019〕5号)部署的重要任务，支持特殊困难老年人家庭居家适老化改造；支持以服务生活困难和失能失智老年人为主的城乡老年社会福利机构、城乡社区养老服务设施、农村特困人员供养服务设施改造及消防设施器材等设施设备配置，提升养老服务设施服务能力，提高城乡居家和社区养老服务覆盖率。</w:t>
            </w:r>
          </w:p>
        </w:tc>
        <w:tc>
          <w:tcPr>
            <w:tcW w:w="336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both"/>
            </w:pPr>
            <w:r>
              <w:rPr>
                <w:rFonts w:ascii="宋体" w:hAnsi="宋体" w:eastAsia="宋体"/>
                <w:sz w:val="16"/>
              </w:rPr>
              <w:t>完成适老化改造426户，通过适老化改造项目的实施，特殊困难老年人的居家生活环境得到了显著改善。老年人的生活便利性、安全性和舒适度得到了提升，生活质量得到了明显提高。同时，改造项目也促进了社会对老年人的关注和关爱，增强了社会的和谐与稳定。</w:t>
            </w:r>
          </w:p>
        </w:tc>
      </w:tr>
      <w:tr>
        <w:tblPrEx>
          <w:tblLayout w:type="fixed"/>
          <w:tblCellMar>
            <w:top w:w="40" w:type="dxa"/>
            <w:left w:w="64" w:type="dxa"/>
            <w:bottom w:w="40" w:type="dxa"/>
            <w:right w:w="64" w:type="dxa"/>
          </w:tblCellMar>
        </w:tblPrEx>
        <w:trPr>
          <w:trHeight w:val="0" w:hRule="atLeast"/>
          <w:jc w:val="center"/>
        </w:trPr>
        <w:tc>
          <w:tcPr>
            <w:tcW w:w="553" w:type="dxa"/>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一级指标</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二级指标</w:t>
            </w:r>
          </w:p>
        </w:tc>
        <w:tc>
          <w:tcPr>
            <w:tcW w:w="137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三级指标</w:t>
            </w:r>
          </w:p>
        </w:tc>
        <w:tc>
          <w:tcPr>
            <w:tcW w:w="44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权重</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目标值</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业绩值</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完成率</w:t>
            </w:r>
          </w:p>
        </w:tc>
        <w:tc>
          <w:tcPr>
            <w:tcW w:w="41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得分</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指标值设定依据</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上年完成情况</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赋分规则</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佐证资料</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偏差原因分析及改进措施</w:t>
            </w:r>
          </w:p>
        </w:tc>
      </w:tr>
      <w:tr>
        <w:tblPrEx>
          <w:tblLayout w:type="fixed"/>
          <w:tblCellMar>
            <w:top w:w="40" w:type="dxa"/>
            <w:left w:w="64" w:type="dxa"/>
            <w:bottom w:w="40" w:type="dxa"/>
            <w:right w:w="64" w:type="dxa"/>
          </w:tblCellMar>
        </w:tblPrEx>
        <w:trPr>
          <w:trHeight w:val="0" w:hRule="atLeast"/>
          <w:jc w:val="center"/>
        </w:trPr>
        <w:tc>
          <w:tcPr>
            <w:tcW w:w="55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年度绩效指标完成情况</w:t>
            </w:r>
          </w:p>
        </w:tc>
        <w:tc>
          <w:tcPr>
            <w:tcW w:w="4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产出指标</w:t>
            </w:r>
          </w:p>
        </w:tc>
        <w:tc>
          <w:tcPr>
            <w:tcW w:w="5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数量指标</w:t>
            </w:r>
          </w:p>
        </w:tc>
        <w:tc>
          <w:tcPr>
            <w:tcW w:w="137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特殊困难老年人家庭适老化改造户数</w:t>
            </w:r>
          </w:p>
        </w:tc>
        <w:tc>
          <w:tcPr>
            <w:tcW w:w="44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15</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&gt;=409户</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426户</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104.16%</w:t>
            </w:r>
          </w:p>
        </w:tc>
        <w:tc>
          <w:tcPr>
            <w:tcW w:w="41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15</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计划标准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按照完成比例赋分</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工作资料</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超额完成任务。</w:t>
            </w:r>
          </w:p>
        </w:tc>
      </w:tr>
      <w:tr>
        <w:tblPrEx>
          <w:tblLayout w:type="fixed"/>
          <w:tblCellMar>
            <w:top w:w="40" w:type="dxa"/>
            <w:left w:w="64" w:type="dxa"/>
            <w:bottom w:w="40" w:type="dxa"/>
            <w:right w:w="64" w:type="dxa"/>
          </w:tblCellMar>
        </w:tblPrEx>
        <w:trPr>
          <w:trHeight w:val="0" w:hRule="atLeast"/>
          <w:jc w:val="center"/>
        </w:trPr>
        <w:tc>
          <w:tcPr>
            <w:tcW w:w="553"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84"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529"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137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社区日间照料中心、区域养老服务中心项目数量</w:t>
            </w:r>
          </w:p>
        </w:tc>
        <w:tc>
          <w:tcPr>
            <w:tcW w:w="44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w:t>
            </w:r>
          </w:p>
        </w:tc>
        <w:tc>
          <w:tcPr>
            <w:tcW w:w="41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计划标准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按照完成比例赋分</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工作资料</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p>
        </w:tc>
      </w:tr>
      <w:tr>
        <w:tblPrEx>
          <w:tblLayout w:type="fixed"/>
          <w:tblCellMar>
            <w:top w:w="40" w:type="dxa"/>
            <w:left w:w="64" w:type="dxa"/>
            <w:bottom w:w="40" w:type="dxa"/>
            <w:right w:w="64" w:type="dxa"/>
          </w:tblCellMar>
        </w:tblPrEx>
        <w:trPr>
          <w:trHeight w:val="0" w:hRule="atLeast"/>
          <w:jc w:val="center"/>
        </w:trPr>
        <w:tc>
          <w:tcPr>
            <w:tcW w:w="553"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84"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529"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137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支持救助管理机构数量</w:t>
            </w:r>
          </w:p>
        </w:tc>
        <w:tc>
          <w:tcPr>
            <w:tcW w:w="44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w:t>
            </w:r>
          </w:p>
        </w:tc>
        <w:tc>
          <w:tcPr>
            <w:tcW w:w="41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计划标准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按照完成比例赋分</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工作资料</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p>
        </w:tc>
      </w:tr>
      <w:tr>
        <w:tblPrEx>
          <w:tblLayout w:type="fixed"/>
          <w:tblCellMar>
            <w:top w:w="40" w:type="dxa"/>
            <w:left w:w="64" w:type="dxa"/>
            <w:bottom w:w="40" w:type="dxa"/>
            <w:right w:w="64" w:type="dxa"/>
          </w:tblCellMar>
        </w:tblPrEx>
        <w:trPr>
          <w:trHeight w:val="0" w:hRule="atLeast"/>
          <w:jc w:val="center"/>
        </w:trPr>
        <w:tc>
          <w:tcPr>
            <w:tcW w:w="553"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84"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529"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137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改造提升殡仪馆数量</w:t>
            </w:r>
          </w:p>
        </w:tc>
        <w:tc>
          <w:tcPr>
            <w:tcW w:w="44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w:t>
            </w:r>
          </w:p>
        </w:tc>
        <w:tc>
          <w:tcPr>
            <w:tcW w:w="41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计划标准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按照完成比例赋分</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工作资料</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p>
        </w:tc>
      </w:tr>
      <w:tr>
        <w:tblPrEx>
          <w:tblLayout w:type="fixed"/>
          <w:tblCellMar>
            <w:top w:w="40" w:type="dxa"/>
            <w:left w:w="64" w:type="dxa"/>
            <w:bottom w:w="40" w:type="dxa"/>
            <w:right w:w="64" w:type="dxa"/>
          </w:tblCellMar>
        </w:tblPrEx>
        <w:trPr>
          <w:trHeight w:val="0" w:hRule="atLeast"/>
          <w:jc w:val="center"/>
        </w:trPr>
        <w:tc>
          <w:tcPr>
            <w:tcW w:w="553"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84"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5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质量指标</w:t>
            </w:r>
          </w:p>
        </w:tc>
        <w:tc>
          <w:tcPr>
            <w:tcW w:w="137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特殊困难老年人家庭适老化改造验收合格率</w:t>
            </w:r>
          </w:p>
        </w:tc>
        <w:tc>
          <w:tcPr>
            <w:tcW w:w="44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15</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&gt;=90%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111.11%</w:t>
            </w:r>
          </w:p>
        </w:tc>
        <w:tc>
          <w:tcPr>
            <w:tcW w:w="41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15</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计划标准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按照完成比例赋分</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原始凭证</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适老化改造项目已验收，全部合格。</w:t>
            </w:r>
          </w:p>
        </w:tc>
      </w:tr>
      <w:tr>
        <w:tblPrEx>
          <w:tblLayout w:type="fixed"/>
          <w:tblCellMar>
            <w:top w:w="40" w:type="dxa"/>
            <w:left w:w="64" w:type="dxa"/>
            <w:bottom w:w="40" w:type="dxa"/>
            <w:right w:w="64" w:type="dxa"/>
          </w:tblCellMar>
        </w:tblPrEx>
        <w:trPr>
          <w:trHeight w:val="0" w:hRule="atLeast"/>
          <w:jc w:val="center"/>
        </w:trPr>
        <w:tc>
          <w:tcPr>
            <w:tcW w:w="553"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84"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529"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137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救助管理机构改造提升验收合格率</w:t>
            </w:r>
          </w:p>
        </w:tc>
        <w:tc>
          <w:tcPr>
            <w:tcW w:w="44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w:t>
            </w:r>
          </w:p>
        </w:tc>
        <w:tc>
          <w:tcPr>
            <w:tcW w:w="41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计划标准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按照完成比例赋分</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工作资料</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p>
        </w:tc>
      </w:tr>
      <w:tr>
        <w:tblPrEx>
          <w:tblLayout w:type="fixed"/>
          <w:tblCellMar>
            <w:top w:w="40" w:type="dxa"/>
            <w:left w:w="64" w:type="dxa"/>
            <w:bottom w:w="40" w:type="dxa"/>
            <w:right w:w="64" w:type="dxa"/>
          </w:tblCellMar>
        </w:tblPrEx>
        <w:trPr>
          <w:trHeight w:val="0" w:hRule="atLeast"/>
          <w:jc w:val="center"/>
        </w:trPr>
        <w:tc>
          <w:tcPr>
            <w:tcW w:w="553"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84"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5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时效指标</w:t>
            </w:r>
          </w:p>
        </w:tc>
        <w:tc>
          <w:tcPr>
            <w:tcW w:w="137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特殊困难老年人家庭适老化改造项目按时开工率</w:t>
            </w:r>
          </w:p>
        </w:tc>
        <w:tc>
          <w:tcPr>
            <w:tcW w:w="44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&gt;=90%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w:t>
            </w:r>
          </w:p>
        </w:tc>
        <w:tc>
          <w:tcPr>
            <w:tcW w:w="41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计划标准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直接赋分</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原始凭证</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p>
        </w:tc>
      </w:tr>
      <w:tr>
        <w:tblPrEx>
          <w:tblLayout w:type="fixed"/>
          <w:tblCellMar>
            <w:top w:w="40" w:type="dxa"/>
            <w:left w:w="64" w:type="dxa"/>
            <w:bottom w:w="40" w:type="dxa"/>
            <w:right w:w="64" w:type="dxa"/>
          </w:tblCellMar>
        </w:tblPrEx>
        <w:trPr>
          <w:trHeight w:val="0" w:hRule="atLeast"/>
          <w:jc w:val="center"/>
        </w:trPr>
        <w:tc>
          <w:tcPr>
            <w:tcW w:w="553"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84"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529"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137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社区日间照料中心、区域养老服务中心项目按时开工率</w:t>
            </w:r>
          </w:p>
        </w:tc>
        <w:tc>
          <w:tcPr>
            <w:tcW w:w="44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w:t>
            </w:r>
          </w:p>
        </w:tc>
        <w:tc>
          <w:tcPr>
            <w:tcW w:w="41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计划标准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按照完成比例赋分</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工作资料</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p>
        </w:tc>
      </w:tr>
      <w:tr>
        <w:tblPrEx>
          <w:tblLayout w:type="fixed"/>
          <w:tblCellMar>
            <w:top w:w="40" w:type="dxa"/>
            <w:left w:w="64" w:type="dxa"/>
            <w:bottom w:w="40" w:type="dxa"/>
            <w:right w:w="64" w:type="dxa"/>
          </w:tblCellMar>
        </w:tblPrEx>
        <w:trPr>
          <w:trHeight w:val="0" w:hRule="atLeast"/>
          <w:jc w:val="center"/>
        </w:trPr>
        <w:tc>
          <w:tcPr>
            <w:tcW w:w="553"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成本指标</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经济成本指标</w:t>
            </w:r>
          </w:p>
        </w:tc>
        <w:tc>
          <w:tcPr>
            <w:tcW w:w="137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特殊困难老年人家庭适老化改造标准</w:t>
            </w:r>
          </w:p>
        </w:tc>
        <w:tc>
          <w:tcPr>
            <w:tcW w:w="44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20</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&lt;=3500元/户</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3500元/户</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w:t>
            </w:r>
          </w:p>
        </w:tc>
        <w:tc>
          <w:tcPr>
            <w:tcW w:w="41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20</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计划标准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按照完成比例赋分</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原始凭证</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p>
        </w:tc>
      </w:tr>
      <w:tr>
        <w:tblPrEx>
          <w:tblLayout w:type="fixed"/>
          <w:tblCellMar>
            <w:top w:w="40" w:type="dxa"/>
            <w:left w:w="64" w:type="dxa"/>
            <w:bottom w:w="40" w:type="dxa"/>
            <w:right w:w="64" w:type="dxa"/>
          </w:tblCellMar>
        </w:tblPrEx>
        <w:trPr>
          <w:trHeight w:val="0" w:hRule="atLeast"/>
          <w:jc w:val="center"/>
        </w:trPr>
        <w:tc>
          <w:tcPr>
            <w:tcW w:w="553"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效益指标</w:t>
            </w:r>
          </w:p>
        </w:tc>
        <w:tc>
          <w:tcPr>
            <w:tcW w:w="5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社会效益指标</w:t>
            </w:r>
          </w:p>
        </w:tc>
        <w:tc>
          <w:tcPr>
            <w:tcW w:w="137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提升养老环境水平及养老服务水平</w:t>
            </w:r>
          </w:p>
        </w:tc>
        <w:tc>
          <w:tcPr>
            <w:tcW w:w="44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20</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有效提升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显著提高</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w:t>
            </w:r>
          </w:p>
        </w:tc>
        <w:tc>
          <w:tcPr>
            <w:tcW w:w="41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20</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计划标准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按评判等级赋分</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工作资料</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p>
        </w:tc>
      </w:tr>
      <w:tr>
        <w:tblPrEx>
          <w:tblLayout w:type="fixed"/>
          <w:tblCellMar>
            <w:top w:w="40" w:type="dxa"/>
            <w:left w:w="64" w:type="dxa"/>
            <w:bottom w:w="40" w:type="dxa"/>
            <w:right w:w="64" w:type="dxa"/>
          </w:tblCellMar>
        </w:tblPrEx>
        <w:trPr>
          <w:trHeight w:val="0" w:hRule="atLeast"/>
          <w:jc w:val="center"/>
        </w:trPr>
        <w:tc>
          <w:tcPr>
            <w:tcW w:w="553"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84"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529"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137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提升儿童福利机构服务水平</w:t>
            </w:r>
          </w:p>
        </w:tc>
        <w:tc>
          <w:tcPr>
            <w:tcW w:w="44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w:t>
            </w:r>
          </w:p>
        </w:tc>
        <w:tc>
          <w:tcPr>
            <w:tcW w:w="41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0</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计划标准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按评判等级赋分</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工作资料</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p>
        </w:tc>
      </w:tr>
      <w:tr>
        <w:tblPrEx>
          <w:tblLayout w:type="fixed"/>
          <w:tblCellMar>
            <w:top w:w="40" w:type="dxa"/>
            <w:left w:w="64" w:type="dxa"/>
            <w:bottom w:w="40" w:type="dxa"/>
            <w:right w:w="64" w:type="dxa"/>
          </w:tblCellMar>
        </w:tblPrEx>
        <w:trPr>
          <w:trHeight w:val="0" w:hRule="atLeast"/>
          <w:jc w:val="center"/>
        </w:trPr>
        <w:tc>
          <w:tcPr>
            <w:tcW w:w="553" w:type="dxa"/>
            <w:vMerge w:val="continue"/>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满意度指标</w:t>
            </w:r>
          </w:p>
        </w:tc>
        <w:tc>
          <w:tcPr>
            <w:tcW w:w="52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满意度指标</w:t>
            </w:r>
          </w:p>
        </w:tc>
        <w:tc>
          <w:tcPr>
            <w:tcW w:w="137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受益群体满意度</w:t>
            </w:r>
          </w:p>
        </w:tc>
        <w:tc>
          <w:tcPr>
            <w:tcW w:w="44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w:t>
            </w:r>
          </w:p>
        </w:tc>
        <w:tc>
          <w:tcPr>
            <w:tcW w:w="807"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&gt;=90%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111.11%</w:t>
            </w:r>
          </w:p>
        </w:tc>
        <w:tc>
          <w:tcPr>
            <w:tcW w:w="41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计划标准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w:t>
            </w:r>
          </w:p>
        </w:tc>
        <w:tc>
          <w:tcPr>
            <w:tcW w:w="563"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满意度赋分</w:t>
            </w:r>
          </w:p>
        </w:tc>
        <w:tc>
          <w:tcPr>
            <w:tcW w:w="428"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工作资料</w:t>
            </w:r>
          </w:p>
        </w:tc>
        <w:tc>
          <w:tcPr>
            <w:tcW w:w="959"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群众全部满意。</w:t>
            </w:r>
          </w:p>
        </w:tc>
      </w:tr>
      <w:tr>
        <w:tblPrEx>
          <w:tblLayout w:type="fixed"/>
          <w:tblCellMar>
            <w:top w:w="40" w:type="dxa"/>
            <w:left w:w="64" w:type="dxa"/>
            <w:bottom w:w="40" w:type="dxa"/>
            <w:right w:w="64" w:type="dxa"/>
          </w:tblCellMar>
        </w:tblPrEx>
        <w:trPr>
          <w:trHeight w:val="0" w:hRule="atLeast"/>
          <w:jc w:val="center"/>
        </w:trPr>
        <w:tc>
          <w:tcPr>
            <w:tcW w:w="2941"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总分</w:t>
            </w:r>
          </w:p>
        </w:tc>
        <w:tc>
          <w:tcPr>
            <w:tcW w:w="441"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100</w:t>
            </w:r>
          </w:p>
        </w:tc>
        <w:tc>
          <w:tcPr>
            <w:tcW w:w="807" w:type="dxa"/>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624" w:type="dxa"/>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799" w:type="dxa"/>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15" w:type="dxa"/>
            <w:tcBorders>
              <w:top w:val="single" w:color="auto" w:sz="10" w:space="0"/>
              <w:left w:val="single" w:color="auto" w:sz="10" w:space="0"/>
              <w:bottom w:val="single" w:color="auto" w:sz="10" w:space="0"/>
              <w:right w:val="single" w:color="auto" w:sz="10" w:space="0"/>
              <w:insideV w:val="single" w:sz="10" w:space="0"/>
            </w:tcBorders>
            <w:vAlign w:val="center"/>
          </w:tcPr>
          <w:p>
            <w:pPr>
              <w:snapToGrid w:val="0"/>
              <w:jc w:val="center"/>
            </w:pPr>
            <w:r>
              <w:rPr>
                <w:rFonts w:ascii="宋体" w:hAnsi="宋体" w:eastAsia="宋体"/>
                <w:sz w:val="16"/>
              </w:rPr>
              <w:t>90分</w:t>
            </w:r>
          </w:p>
        </w:tc>
        <w:tc>
          <w:tcPr>
            <w:tcW w:w="511" w:type="dxa"/>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84" w:type="dxa"/>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563" w:type="dxa"/>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428" w:type="dxa"/>
            <w:tcBorders>
              <w:top w:val="single" w:color="auto" w:sz="10" w:space="0"/>
              <w:left w:val="single" w:color="auto" w:sz="10" w:space="0"/>
              <w:bottom w:val="single" w:color="auto" w:sz="10" w:space="0"/>
              <w:right w:val="single" w:color="auto" w:sz="10" w:space="0"/>
              <w:insideV w:val="single" w:sz="10" w:space="0"/>
            </w:tcBorders>
          </w:tcPr>
          <w:p>
            <w:pPr>
              <w:snapToGrid w:val="0"/>
            </w:pPr>
          </w:p>
        </w:tc>
        <w:tc>
          <w:tcPr>
            <w:tcW w:w="959" w:type="dxa"/>
            <w:tcBorders>
              <w:top w:val="single" w:color="auto" w:sz="10" w:space="0"/>
              <w:left w:val="single" w:color="auto" w:sz="10" w:space="0"/>
              <w:bottom w:val="single" w:color="auto" w:sz="10" w:space="0"/>
              <w:right w:val="single" w:color="auto" w:sz="10" w:space="0"/>
              <w:insideV w:val="single" w:sz="10" w:space="0"/>
            </w:tcBorders>
          </w:tcPr>
          <w:p>
            <w:pPr>
              <w:snapToGrid w:val="0"/>
            </w:p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96"/>
        <w:gridCol w:w="632"/>
        <w:gridCol w:w="632"/>
        <w:gridCol w:w="632"/>
        <w:gridCol w:w="776"/>
        <w:gridCol w:w="632"/>
        <w:gridCol w:w="632"/>
        <w:gridCol w:w="632"/>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关于提前下达2024年困难群众救助补助资金预算的通知</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9,689.00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12,608.09</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12,608.09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9,689.00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12,608.09</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12,608.09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1.规范城乡低保政策实施，合理确定保障标准，使低保对象基本生活得到有效保障。 2.统筹城乡特困人员救助供养工作，合理确定保障标准。 3.规范实施临时救助政策，实现及时高效、救急解难。 4.为生活无着落流浪乞讨人员提供临时食宿、疾病救治、协助返回等救助，并妥善安置返乡受助人员。 5.对流浪</w:t>
            </w:r>
            <w:r>
              <w:rPr>
                <w:rFonts w:hint="eastAsia" w:ascii="宋体" w:hAnsi="宋体"/>
                <w:sz w:val="16"/>
                <w:lang w:eastAsia="zh-CN"/>
              </w:rPr>
              <w:t>未成年人</w:t>
            </w:r>
            <w:r>
              <w:rPr>
                <w:rFonts w:ascii="宋体" w:hAnsi="宋体" w:eastAsia="宋体"/>
                <w:sz w:val="16"/>
              </w:rPr>
              <w:t>提供特殊优先保护及教育等专业服务，确保其健康成长。 6.对农村留守儿童、困境儿童等存在流浪风险的未成年人以及流浪乞讨儿童开展家庭监护评估、监护支持、精神关爱等工作，为其提供临时照料，医疗救治、心理疏导、行为矫治、社会融入、家庭关系调试，法律援助等专业服务，从源头上预防未成年人外出流浪。 7.引导各乡镇提高孤儿生活保障水平，孤儿生活保障政策规范高效实施，使孤儿，AZB病毒感染儿童和事实无人抚养儿童生活基本得到保障。 8.积极为走失、务工不着、家庭暴力受害者等离家在外的临时遇</w:t>
            </w:r>
            <w:r>
              <w:rPr>
                <w:rFonts w:hint="eastAsia" w:ascii="宋体" w:hAnsi="宋体"/>
                <w:sz w:val="16"/>
                <w:lang w:eastAsia="zh-CN"/>
              </w:rPr>
              <w:t>困人员</w:t>
            </w:r>
            <w:r>
              <w:rPr>
                <w:rFonts w:ascii="宋体" w:hAnsi="宋体" w:eastAsia="宋体"/>
                <w:sz w:val="16"/>
              </w:rPr>
              <w:t>提供救助。</w:t>
            </w:r>
            <w:r>
              <w:rPr>
                <w:rFonts w:ascii="宋体" w:hAnsi="宋体" w:eastAsia="宋体"/>
                <w:sz w:val="16"/>
              </w:rPr>
              <w:br w:type="textWrapping"/>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精准落实各类救助补助政策，基本民生底线有效保障。一是兜住兜牢困难群众基本生活。城乡低保金14694户18859人9557.38万元、特困供养金253人277.76万元、孤儿生活补助43人72.5万元、事实无人抚养儿童生活补助101人100.48万元、特殊儿童生活补助14人21.51万元、临时救助7210人350.29万元。高质高效做好低收入人口动态监测。纳入低收入人口保障21558人，其中：低保18859人、特困253人、低保边缘户2123人、支出型困难家庭323人。1944名防返贫监测对象中1335人纳入低收入人口，占比68.7%。探索推进防止返贫帮扶政策和低收入人口常态化帮扶政策衔接并轨，加强低收入人口的动态监测帮扶，符合条件的及时纳入政策保障范围，不符合条件的按要求退出。</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城乡居民低保保障率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2024年完成城乡低保发放，应纳尽纳。</w:t>
            </w:r>
            <w:r>
              <w:rPr>
                <w:rFonts w:ascii="宋体" w:hAnsi="宋体" w:eastAsia="宋体"/>
                <w:sz w:val="16"/>
              </w:rPr>
              <w:tab/>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特困供养保障率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2024年完成城乡特困供养发放，应纳尽纳。</w:t>
            </w:r>
            <w:r>
              <w:rPr>
                <w:rFonts w:ascii="宋体" w:hAnsi="宋体" w:eastAsia="宋体"/>
                <w:sz w:val="16"/>
              </w:rPr>
              <w:tab/>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求助的流浪乞讨人员救助率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对求助的流浪乞讨人员，应救尽救。</w:t>
            </w:r>
            <w:r>
              <w:rPr>
                <w:rFonts w:ascii="宋体" w:hAnsi="宋体" w:eastAsia="宋体"/>
                <w:sz w:val="16"/>
              </w:rPr>
              <w:tab/>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符合条件的儿童纳入保障范围率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将符合条件的儿童全部纳入孤儿、事实无人抚养儿童、特殊儿童。</w:t>
            </w:r>
            <w:r>
              <w:rPr>
                <w:rFonts w:ascii="宋体" w:hAnsi="宋体" w:eastAsia="宋体"/>
                <w:sz w:val="16"/>
              </w:rPr>
              <w:tab/>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患病孤残儿童救助率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对符合患病孤残儿童救助应救尽救。</w:t>
            </w:r>
            <w:r>
              <w:rPr>
                <w:rFonts w:ascii="宋体" w:hAnsi="宋体" w:eastAsia="宋体"/>
                <w:sz w:val="16"/>
              </w:rPr>
              <w:tab/>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城乡低保标准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稳步提高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城乡特困人员救助供养标准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临时救助水平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建立社会救助家庭居民经济状况核对机制的县（市、区）比例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已做到当天求助的流浪乞讨人员当天登记。</w:t>
            </w:r>
            <w:r>
              <w:rPr>
                <w:rFonts w:ascii="宋体" w:hAnsi="宋体" w:eastAsia="宋体"/>
                <w:sz w:val="16"/>
              </w:rPr>
              <w:tab/>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符合条件的儿童认定准确率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低保已全部通过一卡通发放。</w:t>
            </w:r>
            <w:r>
              <w:rPr>
                <w:rFonts w:ascii="宋体" w:hAnsi="宋体" w:eastAsia="宋体"/>
                <w:sz w:val="16"/>
              </w:rPr>
              <w:tab/>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向本行政区域县级以上各级财政部门下达财政困难群众救助补助资金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15日</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困难群众基本生活救助和孤儿基本生活费按时发放率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流浪乞讨人员已执行26元/天。</w:t>
            </w:r>
            <w:r>
              <w:rPr>
                <w:rFonts w:ascii="宋体" w:hAnsi="宋体" w:eastAsia="宋体"/>
                <w:sz w:val="16"/>
              </w:rPr>
              <w:tab/>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流浪乞讨人员求助要求当天登记救助率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为走失、务工不着、家庭暴力受害者等离家在外的临时遇困人员提供救助，应救尽救。</w:t>
            </w:r>
            <w:r>
              <w:rPr>
                <w:rFonts w:ascii="宋体" w:hAnsi="宋体" w:eastAsia="宋体"/>
                <w:sz w:val="16"/>
              </w:rPr>
              <w:tab/>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低保资金社会化发放率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大力宣传社会救助政策，大大提高政策知晓率。</w:t>
            </w:r>
            <w:r>
              <w:rPr>
                <w:rFonts w:ascii="宋体" w:hAnsi="宋体" w:eastAsia="宋体"/>
                <w:sz w:val="16"/>
              </w:rPr>
              <w:tab/>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流浪乞讨人员救助执行当地支出标准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经问卷调查，群众对困难救助工作很满意。</w:t>
            </w:r>
            <w:r>
              <w:rPr>
                <w:rFonts w:ascii="宋体" w:hAnsi="宋体" w:eastAsia="宋体"/>
                <w:sz w:val="16"/>
              </w:rPr>
              <w:tab/>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帮助查明身份滞留流浪乞讨人员返乡情况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及时返送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及时返送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及时返送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困难群众基本生活水平情况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为走失、务工不着、家庭暴力受害者等离家在外的临时遇困人员提供救助</w:t>
            </w:r>
            <w:r>
              <w:rPr>
                <w:rFonts w:hint="eastAsia" w:ascii="宋体" w:hAnsi="宋体"/>
                <w:sz w:val="16"/>
                <w:lang w:eastAsia="zh-CN"/>
              </w:rPr>
              <w:t>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我县已建立社会救助家庭居民经济状况核对机制。</w:t>
            </w:r>
            <w:r>
              <w:rPr>
                <w:rFonts w:ascii="宋体" w:hAnsi="宋体" w:eastAsia="宋体"/>
                <w:sz w:val="16"/>
              </w:rPr>
              <w:tab/>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困难群众基本生活救助和孤儿基本生活保障制度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进一步完善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完善</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进一步完善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将符合条件的儿童全部纳入对应救助范围内。</w:t>
            </w:r>
            <w:r>
              <w:rPr>
                <w:rFonts w:ascii="宋体" w:hAnsi="宋体" w:eastAsia="宋体"/>
                <w:sz w:val="16"/>
              </w:rPr>
              <w:tab/>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救助对象对社会救助实施的满意度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每月15日前按时发放低保、特困、孤儿等保障金。</w:t>
            </w:r>
            <w:r>
              <w:rPr>
                <w:rFonts w:ascii="宋体" w:hAnsi="宋体" w:eastAsia="宋体"/>
                <w:sz w:val="16"/>
              </w:rPr>
              <w:tab/>
            </w:r>
          </w:p>
        </w:tc>
      </w:tr>
      <w:tr>
        <w:tblPrEx>
          <w:tblLayout w:type="fixed"/>
          <w:tblCellMar>
            <w:top w:w="0" w:type="dxa"/>
            <w:left w:w="108" w:type="dxa"/>
            <w:bottom w:w="0" w:type="dxa"/>
            <w:right w:w="108" w:type="dxa"/>
          </w:tblCellMar>
        </w:tblPrEx>
        <w:tc>
          <w:tcPr>
            <w:tcW w:w="259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城东社区日间照料中心建设项目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支持以生活困难和失</w:t>
            </w:r>
            <w:r>
              <w:rPr>
                <w:rFonts w:hint="eastAsia" w:ascii="宋体" w:hAnsi="宋体"/>
                <w:sz w:val="16"/>
                <w:lang w:eastAsia="zh-CN"/>
              </w:rPr>
              <w:t>能</w:t>
            </w:r>
            <w:r>
              <w:rPr>
                <w:rFonts w:ascii="宋体" w:hAnsi="宋体" w:eastAsia="宋体"/>
                <w:sz w:val="16"/>
              </w:rPr>
              <w:t>老年人为主的养老机构（含特困人员供养服务设施）、支持救助管理机构设施设备配置，提高机构服务能力。通过对老年人日间生活的照护服务，补齐社区居家养老服务短板，很大程度上解决了托老、养老、敬老的实际问题，达到老有所养、老有所乐的目的，营造全社会尊老爱老的良好社会氛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通过对老年人日间生活的照护服务，补齐社区居家养老服务短板，很大程度上解决了托老、养老、敬老的实际问题，达到老有所养、老有所乐的目的，营造全社会尊老爱老的良好社会氛围。</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养老服务机构护理型床位数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护理型床位验收合格率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项目未完工</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社区日间照料中心、区域养老服务中心项目按时开工率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床位建设标准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=9.6万元/床位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9.6万元/床位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提升养老环境水平及养老服务水平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缓解家庭养老压力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养老服务对象满意度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项目未完工</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孤残儿童护理补贴项目资金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儿童照护服务项目资金统筹用于对机构儿童、机构外残疾儿童提供生活照料、康复训练、送医</w:t>
            </w:r>
            <w:r>
              <w:rPr>
                <w:rFonts w:hint="eastAsia" w:ascii="宋体" w:hAnsi="宋体"/>
                <w:sz w:val="16"/>
                <w:lang w:eastAsia="zh-CN"/>
              </w:rPr>
              <w:t>就诊</w:t>
            </w:r>
            <w:r>
              <w:rPr>
                <w:rFonts w:ascii="宋体" w:hAnsi="宋体" w:eastAsia="宋体"/>
                <w:sz w:val="16"/>
              </w:rPr>
              <w:t>、生病看护、心理疏导、社会融入等各类服务，对象为儿童福利机构收养的未满18周岁的所有儿童，以及机构外的社会散居残疾孤儿。满足孤残儿童的照料、护理、康复心理疏导需求，提高孤残儿童的幸福感、获得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有12名专业从业人员，提供专业护理服务，包括健康训练、心理疏导，定期对孤残儿童提供心理辅导，帮助他们建立信</w:t>
            </w:r>
            <w:r>
              <w:rPr>
                <w:rFonts w:hint="eastAsia" w:ascii="宋体" w:hAnsi="宋体"/>
                <w:sz w:val="16"/>
                <w:lang w:eastAsia="zh-CN"/>
              </w:rPr>
              <w:t>心和</w:t>
            </w:r>
            <w:r>
              <w:rPr>
                <w:rFonts w:ascii="宋体" w:hAnsi="宋体" w:eastAsia="宋体"/>
                <w:sz w:val="16"/>
              </w:rPr>
              <w:t>积极心态，定期对孤残儿童进行健康检查，建立健康档案，及时发现并治疗疾病，针对孤残儿童开展安全教育培训，爱国主义教育宣讲。</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辐射儿童机构数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参与服务项目的工作人员数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资金安全使用率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享受照护服务对象覆盖率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照护服务开展及时率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向本行政区域各级财政部门下达自治区财政补助资金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30日</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重残儿童和机构内0-3岁儿童照护服务标准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1300元/人/月</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残疾儿童和机构内3-6岁儿童照护服务标准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400元/人/月</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机构内6岁以上健康儿童照护服务标准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200元/人/月</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对儿童的照料、康复、护理、心理辅导水平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救助对象对社会救助实施的满意度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经过问卷调查，群众对此项目实施很满意。</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政府购买社会救助服务项目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1.</w:t>
            </w:r>
            <w:r>
              <w:rPr>
                <w:rFonts w:ascii="宋体" w:hAnsi="宋体" w:eastAsia="宋体"/>
                <w:sz w:val="16"/>
              </w:rPr>
              <w:t>通过社会救助事务服务项目，优化社会救助事务服务流程，对服务流程进行梳理和优化，简化申请、审核、发放等环节，提高服务效率。</w:t>
            </w:r>
            <w:r>
              <w:rPr>
                <w:rFonts w:ascii="宋体" w:hAnsi="宋体" w:eastAsia="宋体"/>
                <w:sz w:val="16"/>
              </w:rPr>
              <w:br w:type="textWrapping"/>
            </w:r>
            <w:r>
              <w:rPr>
                <w:rFonts w:ascii="宋体" w:hAnsi="宋体" w:eastAsia="宋体"/>
                <w:sz w:val="16"/>
              </w:rPr>
              <w:t>2、丰富社会救助事务服务内容，结合实际需求，增加教育、医疗、住房等领域的救助服务，满足救助对象多样化的发展需求。</w:t>
            </w:r>
            <w:r>
              <w:rPr>
                <w:rFonts w:ascii="宋体" w:hAnsi="宋体" w:eastAsia="宋体"/>
                <w:sz w:val="16"/>
              </w:rPr>
              <w:br w:type="textWrapping"/>
            </w:r>
            <w:r>
              <w:rPr>
                <w:rFonts w:ascii="宋体" w:hAnsi="宋体" w:eastAsia="宋体"/>
                <w:sz w:val="16"/>
              </w:rPr>
              <w:t>3、加强社会救助事务服务人员能力建设，开展社会救助事务服务人员的培训和能力提升活动，提高他们的专业素养和服务水平。</w:t>
            </w:r>
            <w:r>
              <w:rPr>
                <w:rFonts w:ascii="宋体" w:hAnsi="宋体" w:eastAsia="宋体"/>
                <w:sz w:val="16"/>
              </w:rPr>
              <w:br w:type="textWrapping"/>
            </w:r>
            <w:r>
              <w:rPr>
                <w:rFonts w:ascii="宋体" w:hAnsi="宋体" w:eastAsia="宋体"/>
                <w:sz w:val="16"/>
              </w:rPr>
              <w:t>4、促进社会救助事务服务资源的合理分配和有效利用，通过政府购买服务、社会组织参与等方式，实现社会救助事务服务资源的有效整合和合理分配。</w:t>
            </w:r>
            <w:r>
              <w:rPr>
                <w:rFonts w:ascii="宋体" w:hAnsi="宋体" w:eastAsia="宋体"/>
                <w:sz w:val="16"/>
              </w:rPr>
              <w:br w:type="textWrapping"/>
            </w:r>
            <w:r>
              <w:rPr>
                <w:rFonts w:ascii="宋体" w:hAnsi="宋体" w:eastAsia="宋体"/>
                <w:sz w:val="16"/>
              </w:rPr>
              <w:t>5、提高社会救助事务服务对象的满意度和获得感，通过定期回访、满意度调查等方式，了解救助对象的满意度，不断改进和提升服务质量。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通过政府购买服务，弥补基层民政工作人员不足，动态识别边缘困难人群，从单一物质救助拓展到综合救助。提升救助效率和透明度，激发社会组织活力，切实满足救助对象多样化发展需求，促进了社会救助</w:t>
            </w:r>
            <w:r>
              <w:rPr>
                <w:rFonts w:hint="eastAsia" w:ascii="宋体" w:hAnsi="宋体"/>
                <w:sz w:val="16"/>
                <w:lang w:eastAsia="zh-CN"/>
              </w:rPr>
              <w:t>事务</w:t>
            </w:r>
            <w:r>
              <w:rPr>
                <w:rFonts w:ascii="宋体" w:hAnsi="宋体" w:eastAsia="宋体"/>
                <w:sz w:val="16"/>
              </w:rPr>
              <w:t>服务资源的合理分配和有效利用，更好</w:t>
            </w:r>
            <w:r>
              <w:rPr>
                <w:rFonts w:hint="eastAsia" w:ascii="宋体" w:hAnsi="宋体"/>
                <w:sz w:val="16"/>
                <w:lang w:eastAsia="zh-CN"/>
              </w:rPr>
              <w:t>地</w:t>
            </w:r>
            <w:r>
              <w:rPr>
                <w:rFonts w:ascii="宋体" w:hAnsi="宋体" w:eastAsia="宋体"/>
                <w:sz w:val="16"/>
              </w:rPr>
              <w:t xml:space="preserve">服务群众，增加困难群众的满意感和幸福感。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城乡低保人数在2万人以下或户籍人口在20万人以下的项目数量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经过中期评估验收，此项目合格。</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向本行政区域各县级财政部门下达自治区财政补助资金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30日</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城乡低保人数在2万人以上（含2万）且户籍人口在20万人（含20万）以上的每个县（市区）补贴标准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30万/个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提高基层社会救助管理服务水平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19"/>
        <w:gridCol w:w="601"/>
        <w:gridCol w:w="601"/>
        <w:gridCol w:w="603"/>
        <w:gridCol w:w="612"/>
        <w:gridCol w:w="696"/>
        <w:gridCol w:w="620"/>
        <w:gridCol w:w="1016"/>
        <w:gridCol w:w="630"/>
        <w:gridCol w:w="601"/>
        <w:gridCol w:w="620"/>
        <w:gridCol w:w="601"/>
        <w:gridCol w:w="610"/>
        <w:gridCol w:w="630"/>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残疾人两项补贴</w:t>
            </w:r>
          </w:p>
        </w:tc>
      </w:tr>
      <w:tr>
        <w:tblPrEx>
          <w:tblLayout w:type="fixed"/>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74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06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r>
      <w:tr>
        <w:tblPrEx>
          <w:tblLayout w:type="fixed"/>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6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1,204.42</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1,204.42</w:t>
            </w:r>
          </w:p>
        </w:tc>
        <w:tc>
          <w:tcPr>
            <w:tcW w:w="16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1,204.42</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1,204.42</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1,204.42</w:t>
            </w:r>
          </w:p>
        </w:tc>
        <w:tc>
          <w:tcPr>
            <w:tcW w:w="16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1,204.42</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6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74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6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74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贯彻落实《国务院关于全面建立困难残疾人生活补贴和重度残疾人护理补贴制度的意见》（国发〔2015〕52号）精神，进一步解决残疾人特殊生活困难和长期护理困难等实际问题，全面建立我区困难残疾人生活补贴和重度残疾人护理补贴制度，保障残疾人生存发展权益，提高残疾人生活质量，促进社会和谐稳定。</w:t>
            </w:r>
          </w:p>
        </w:tc>
        <w:tc>
          <w:tcPr>
            <w:tcW w:w="36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已完成8473余名残疾人继续按照生活困难残疾人每人每月120元，重度残疾人每人每月120元的标准发放残疾补贴，发放资金1204.42万元。进一步加大对残疾人两项补贴政策的宣传力度，统筹做好残疾人两项补贴制度与现行相关社会福利、社会救助、社会保险制度的衔接工作，进一步加强残疾人两项补贴动态管理，确保了残疾人两项补贴资金及时、准确、足额发放到他们手中。</w:t>
            </w:r>
          </w:p>
        </w:tc>
      </w:tr>
      <w:tr>
        <w:tblPrEx>
          <w:tblLayout w:type="fixed"/>
          <w:tblCellMar>
            <w:top w:w="0" w:type="dxa"/>
            <w:left w:w="108" w:type="dxa"/>
            <w:bottom w:w="0" w:type="dxa"/>
            <w:right w:w="108" w:type="dxa"/>
          </w:tblCellMar>
        </w:tblPrEx>
        <w:tc>
          <w:tcPr>
            <w:tcW w:w="619" w:type="dxa"/>
            <w:tcBorders>
              <w:top w:val="single" w:color="auto" w:sz="10" w:space="0"/>
              <w:left w:val="single" w:color="auto" w:sz="10" w:space="0"/>
              <w:bottom w:val="single" w:color="auto" w:sz="10" w:space="0"/>
              <w:right w:val="single" w:color="auto" w:sz="10" w:space="0"/>
              <w:insideV w:val="single" w:sz="10" w:space="0"/>
            </w:tcBorders>
          </w:tcP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1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享受残疾人生活补贴人数</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&gt;=3964人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4043人</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101.99%</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3570人</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截至</w:t>
            </w:r>
            <w:r>
              <w:rPr>
                <w:rFonts w:ascii="宋体" w:hAnsi="宋体" w:eastAsia="宋体"/>
                <w:sz w:val="16"/>
              </w:rPr>
              <w:t>2024年12月共发放残疾人生活补贴4043人，将符合条件的残疾人全部纳入保障范围。</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享受残疾人护理补贴人数</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&gt;=4400人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4430人</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100.68%</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4215人</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享受补贴发放月数</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&gt;=12月</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12月</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12月</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残疾人补贴资金发放覆盖率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残疾人两项补贴发放及时率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残疾人生活补贴标准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原始凭证,正式材料</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残疾人护理补贴标准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原始凭证,正式材料</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提高残疾人基本生活水平</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不断提高</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不断提高</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政策知晓率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94.74%</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9.47</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由于有些残疾人身体缺陷、智力残缺，所以两项补贴政策概念模糊，以后将加大残疾人两项补贴政策宣传。</w:t>
            </w:r>
          </w:p>
        </w:tc>
      </w:tr>
      <w:tr>
        <w:tblPrEx>
          <w:tblLayout w:type="fixed"/>
          <w:tblCellMar>
            <w:top w:w="0" w:type="dxa"/>
            <w:left w:w="108" w:type="dxa"/>
            <w:bottom w:w="0" w:type="dxa"/>
            <w:right w:w="108" w:type="dxa"/>
          </w:tblCellMar>
        </w:tblPrEx>
        <w:tc>
          <w:tcPr>
            <w:tcW w:w="61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残疾人满意度</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105.26421%</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经过问卷调查，群众对残疾人满意度达99%。</w:t>
            </w:r>
          </w:p>
        </w:tc>
      </w:tr>
      <w:tr>
        <w:tblPrEx>
          <w:tblLayout w:type="fixed"/>
          <w:tblCellMar>
            <w:top w:w="0" w:type="dxa"/>
            <w:left w:w="108" w:type="dxa"/>
            <w:bottom w:w="0" w:type="dxa"/>
            <w:right w:w="108" w:type="dxa"/>
          </w:tblCellMar>
        </w:tblPrEx>
        <w:tc>
          <w:tcPr>
            <w:tcW w:w="242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20" w:type="dxa"/>
            <w:tcBorders>
              <w:top w:val="single" w:color="auto" w:sz="10" w:space="0"/>
              <w:left w:val="single" w:color="auto" w:sz="10" w:space="0"/>
              <w:bottom w:val="single" w:color="auto" w:sz="10" w:space="0"/>
              <w:right w:val="single" w:color="auto" w:sz="10" w:space="0"/>
              <w:insideV w:val="single" w:sz="10" w:space="0"/>
            </w:tcBorders>
          </w:tcPr>
          <w:p/>
        </w:tc>
        <w:tc>
          <w:tcPr>
            <w:tcW w:w="1016" w:type="dxa"/>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99.47分</w:t>
            </w:r>
          </w:p>
        </w:tc>
        <w:tc>
          <w:tcPr>
            <w:tcW w:w="601" w:type="dxa"/>
            <w:tcBorders>
              <w:top w:val="single" w:color="auto" w:sz="10" w:space="0"/>
              <w:left w:val="single" w:color="auto" w:sz="10" w:space="0"/>
              <w:bottom w:val="single" w:color="auto" w:sz="10" w:space="0"/>
              <w:right w:val="single" w:color="auto" w:sz="10" w:space="0"/>
              <w:insideV w:val="single" w:sz="10" w:space="0"/>
            </w:tcBorders>
          </w:tcPr>
          <w:p/>
        </w:tc>
        <w:tc>
          <w:tcPr>
            <w:tcW w:w="620" w:type="dxa"/>
            <w:tcBorders>
              <w:top w:val="single" w:color="auto" w:sz="10" w:space="0"/>
              <w:left w:val="single" w:color="auto" w:sz="10" w:space="0"/>
              <w:bottom w:val="single" w:color="auto" w:sz="10" w:space="0"/>
              <w:right w:val="single" w:color="auto" w:sz="10" w:space="0"/>
              <w:insideV w:val="single" w:sz="10" w:space="0"/>
            </w:tcBorders>
          </w:tcPr>
          <w:p/>
        </w:tc>
        <w:tc>
          <w:tcPr>
            <w:tcW w:w="601" w:type="dxa"/>
            <w:tcBorders>
              <w:top w:val="single" w:color="auto" w:sz="10" w:space="0"/>
              <w:left w:val="single" w:color="auto" w:sz="10" w:space="0"/>
              <w:bottom w:val="single" w:color="auto" w:sz="10" w:space="0"/>
              <w:right w:val="single" w:color="auto" w:sz="10" w:space="0"/>
              <w:insideV w:val="single" w:sz="10" w:space="0"/>
            </w:tcBorders>
          </w:tcPr>
          <w:p/>
        </w:tc>
        <w:tc>
          <w:tcPr>
            <w:tcW w:w="610" w:type="dxa"/>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老年人助餐“金色晚霞”服务示范项目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根据伊州财综</w:t>
            </w:r>
            <w:r>
              <w:rPr>
                <w:rFonts w:hint="eastAsia" w:ascii="宋体" w:hAnsi="宋体"/>
                <w:sz w:val="16"/>
                <w:lang w:eastAsia="zh-CN"/>
              </w:rPr>
              <w:t>〔2023〕36号</w:t>
            </w:r>
            <w:r>
              <w:rPr>
                <w:rFonts w:ascii="宋体" w:hAnsi="宋体" w:eastAsia="宋体"/>
                <w:sz w:val="16"/>
              </w:rPr>
              <w:t>文件要求，依托社区日间照料中心或老年食堂等，引导第三方开展老年人助餐服务，通过一系列的活动和课程，让退休老年人重新找到生活的意义和乐趣，提高他们的生活质量和幸福感。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解决本县孤寡、留守、困难老人生活困难问题，为老人提供基本生活保障</w:t>
            </w:r>
            <w:r>
              <w:rPr>
                <w:rFonts w:hint="eastAsia" w:ascii="宋体" w:hAnsi="宋体"/>
                <w:sz w:val="16"/>
                <w:lang w:eastAsia="zh-CN"/>
              </w:rPr>
              <w:t>。</w:t>
            </w:r>
            <w:r>
              <w:rPr>
                <w:rFonts w:ascii="宋体" w:hAnsi="宋体" w:eastAsia="宋体"/>
                <w:sz w:val="16"/>
              </w:rPr>
              <w:t>发挥彩票公益金示范引领作用，引导地方各级人民政府、市场主体和社会力量将更多资源投入居家和社区基本养老服务，推动项目地区以项目实施为契机，整体撬动和推进本地区基本养老服务体系建设，形成符合本地实际的基本养老服务清单，探索建立居家和社区基本养老服务高质量发展制度机制，对周边地区起到辐射带动效应。</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支持老年人助餐“金色晚霞”服务示范地州市数量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老年人助餐“金色晚霞”服务示范点数量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向各县级财政部门下达中央财政补助资金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老年人助餐“金色晚霞”服务按时完成率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此项目在规定时间已全部完成。</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老年人助餐“金色晚霞”服务每人每月标准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150元/人/月</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老年人助洁“金色晚霞”服务每人每月标准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300元/人/月</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老年人助医“金色晚霞”服务每人每月标准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500元/人/月</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提升老年人服务保障能力和水平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老年人对此项目非常满意。</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老年人日间照料中心附属设施建设和设施设备购买项目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提升改造养老等民政服务机构基础设施建设，提高机构服务保障能力</w:t>
            </w:r>
            <w:r>
              <w:rPr>
                <w:rFonts w:hint="eastAsia" w:ascii="宋体" w:hAnsi="宋体"/>
                <w:sz w:val="16"/>
                <w:lang w:eastAsia="zh-CN"/>
              </w:rPr>
              <w:t>；</w:t>
            </w:r>
            <w:r>
              <w:rPr>
                <w:rFonts w:ascii="宋体" w:hAnsi="宋体" w:eastAsia="宋体"/>
                <w:sz w:val="16"/>
              </w:rPr>
              <w:t>加快推进社区居家养老服务专业化发展，针对社区老年人日间照料、身心健康服务及精神文化、社会适应等方面的迫切需求，既满足老人居家养老的传统需求，又实现由专业社会工作服务机构服务力量有效介入，为老年人居家养老提供全方位的专业化服务的现代养老目标，形成良好的社区养老敬老文化氛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霍城县瞻德社区老年人日间照料中心建设项目主体已竣工，绿化面积395平方米，硬化面积1200平方米，建筑与装饰工程1个，电气设备</w:t>
            </w:r>
            <w:r>
              <w:rPr>
                <w:rFonts w:hint="eastAsia" w:ascii="宋体" w:hAnsi="宋体"/>
                <w:sz w:val="16"/>
                <w:lang w:eastAsia="zh-CN"/>
              </w:rPr>
              <w:t>安装</w:t>
            </w:r>
            <w:r>
              <w:rPr>
                <w:rFonts w:ascii="宋体" w:hAnsi="宋体" w:eastAsia="宋体"/>
                <w:sz w:val="16"/>
              </w:rPr>
              <w:t>工程1个，建成后的日间照料中心以家庭为依托，以社区化、社会化服务为补充，既满足老人居家养老的传统观念的需求，又实现由社区提供帮助和其他服务，为瞻德社区、城西社区老年人居家养老提供强有力的依托。</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支持民生实事（老年助餐、区域养老服务中心）个数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救助困难群众人数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民政服务机构基础设施改造提升和购置项目个数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政府购买服务项目个数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绿化面积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&gt;=395平方米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395平方米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硬化面积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1200平方米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建筑与装饰工程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电气设备按照工程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民政服务机构建设符合标准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项目按规定标明宣传标识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按合同约定拨付资金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支持民生</w:t>
            </w:r>
            <w:r>
              <w:rPr>
                <w:rFonts w:hint="eastAsia" w:ascii="宋体" w:hAnsi="宋体" w:eastAsia="宋体"/>
                <w:sz w:val="16"/>
              </w:rPr>
              <w:t>实事</w:t>
            </w:r>
            <w:bookmarkStart w:id="0" w:name="_GoBack"/>
            <w:bookmarkEnd w:id="0"/>
            <w:r>
              <w:rPr>
                <w:rFonts w:ascii="宋体" w:hAnsi="宋体" w:eastAsia="宋体"/>
                <w:sz w:val="16"/>
              </w:rPr>
              <w:t>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困难群众临时救助、爱心关注资金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基础设施改造提升和购置资金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政府购买服务项目资金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绿化成本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硬化成本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建筑与装饰工程成本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27.7万元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电气设备安装工程成本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养老服务水平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社会组织服务能力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机构服务保障能力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老人很满意</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92" w:type="dxa"/>
        <w:tblInd w:w="0" w:type="dxa"/>
        <w:tblLayout w:type="fixed"/>
        <w:tblCellMar>
          <w:top w:w="0" w:type="dxa"/>
          <w:left w:w="108" w:type="dxa"/>
          <w:bottom w:w="0" w:type="dxa"/>
          <w:right w:w="108" w:type="dxa"/>
        </w:tblCellMar>
      </w:tblPr>
      <w:tblGrid>
        <w:gridCol w:w="632"/>
        <w:gridCol w:w="632"/>
        <w:gridCol w:w="632"/>
        <w:gridCol w:w="632"/>
        <w:gridCol w:w="115"/>
        <w:gridCol w:w="517"/>
        <w:gridCol w:w="632"/>
        <w:gridCol w:w="632"/>
        <w:gridCol w:w="776"/>
        <w:gridCol w:w="632"/>
        <w:gridCol w:w="632"/>
        <w:gridCol w:w="632"/>
        <w:gridCol w:w="632"/>
        <w:gridCol w:w="632"/>
        <w:gridCol w:w="632"/>
      </w:tblGrid>
      <w:tr>
        <w:tblPrEx>
          <w:tblLayout w:type="fixed"/>
          <w:tblCellMar>
            <w:top w:w="0" w:type="dxa"/>
            <w:left w:w="108" w:type="dxa"/>
            <w:bottom w:w="0" w:type="dxa"/>
            <w:right w:w="108" w:type="dxa"/>
          </w:tblCellMar>
        </w:tblPrEx>
        <w:tc>
          <w:tcPr>
            <w:tcW w:w="8992" w:type="dxa"/>
            <w:gridSpan w:val="15"/>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5"/>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自治区80周岁以上老年人生活补助和免费体检项目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52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5832"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52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根据伊州财社</w:t>
            </w:r>
            <w:r>
              <w:rPr>
                <w:rFonts w:hint="eastAsia" w:ascii="宋体" w:hAnsi="宋体"/>
                <w:sz w:val="16"/>
                <w:lang w:eastAsia="zh-CN"/>
              </w:rPr>
              <w:t>｛</w:t>
            </w:r>
            <w:r>
              <w:rPr>
                <w:rFonts w:ascii="宋体" w:hAnsi="宋体" w:eastAsia="宋体"/>
                <w:sz w:val="16"/>
              </w:rPr>
              <w:t>2023}82号文件要求，解决80岁以上高龄老人的体检困难、提高他们的生活和生命质量，切实贯彻“老有所养、老有所医”战略目标。提高老年人服务和保障能力，维护老年人的基本生活权益</w:t>
            </w:r>
            <w:r>
              <w:rPr>
                <w:rFonts w:hint="eastAsia" w:ascii="宋体" w:hAnsi="宋体"/>
                <w:sz w:val="16"/>
                <w:lang w:eastAsia="zh-CN"/>
              </w:rPr>
              <w:t>，在</w:t>
            </w:r>
            <w:r>
              <w:rPr>
                <w:rFonts w:ascii="宋体" w:hAnsi="宋体" w:eastAsia="宋体"/>
                <w:sz w:val="16"/>
              </w:rPr>
              <w:t>维护社会稳定和构建社会主义和谐社会方面发挥重要作用。</w:t>
            </w:r>
          </w:p>
        </w:tc>
        <w:tc>
          <w:tcPr>
            <w:tcW w:w="5832"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进一步完善社会养老保障体系，提高老年人生活质量，县民政局着力从加大宣传力度、加强动态管理、资金精准发放三方面着手，做好高龄津贴发放工作，增强老年人获得感、幸福感。加大宣传力度。通过召开会议、入村宣传、发放纸质单页、网络宣传、大喇叭等形式，广泛宣传高龄津贴政策，让高龄津贴发放（80周岁至89周岁老人每人每月50元、90周岁至99周岁老人每人每月120元、100周岁及以上老人每人每月200元）等有关政策家喻户晓，营造“老吾老以及人之老”的浓厚氛围。加强动态管理。确保动态管理全面到位，建立全县老年人信息管理台账，及时全面掌握高龄老人动态变化情况，动态管理新增和死亡高龄人员信息，确保发放工作规范有序进行，不漏发一人、不错发一人。资金精准发放。确保资金精准到位，严格资金发放程序，补贴资金实行专户管理，专款专用，并通过“一卡通”按时、足额、精准发放到社保卡。2024年霍城县为老人发放高龄津贴，资金共计154万元。霍城县将始终坚持把党和政府的关怀落到实处，让高龄老人们老有所养、老有所依、颐养天年。</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80周岁以上老年人免费体检次数</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惠及80周岁以上高龄老人实际占比</w:t>
            </w:r>
          </w:p>
        </w:tc>
        <w:tc>
          <w:tcPr>
            <w:tcW w:w="5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对符合条件的高龄老人应发尽发。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补贴资金发放率</w:t>
            </w:r>
          </w:p>
        </w:tc>
        <w:tc>
          <w:tcPr>
            <w:tcW w:w="5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资金全部通过一卡通打卡发放。</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向本行政区域各县级财政部门下达自治区财政补助资金</w:t>
            </w:r>
          </w:p>
        </w:tc>
        <w:tc>
          <w:tcPr>
            <w:tcW w:w="5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项目资金支付完成率</w:t>
            </w:r>
          </w:p>
        </w:tc>
        <w:tc>
          <w:tcPr>
            <w:tcW w:w="5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资金已全部到位，并发放完毕。</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自治区财政承担比例</w:t>
            </w:r>
          </w:p>
        </w:tc>
        <w:tc>
          <w:tcPr>
            <w:tcW w:w="5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80周岁（含80周岁）89周岁的老年人补助标准</w:t>
            </w:r>
          </w:p>
        </w:tc>
        <w:tc>
          <w:tcPr>
            <w:tcW w:w="5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50元/人/月</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90周岁（含90周岁）99周岁的老年人补助标准</w:t>
            </w:r>
          </w:p>
        </w:tc>
        <w:tc>
          <w:tcPr>
            <w:tcW w:w="5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120元/人/月</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100周岁以上（含100周岁）的老年人补助标准</w:t>
            </w:r>
          </w:p>
        </w:tc>
        <w:tc>
          <w:tcPr>
            <w:tcW w:w="5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200元/人/月</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提高高龄老年人的生活质量</w:t>
            </w:r>
          </w:p>
        </w:tc>
        <w:tc>
          <w:tcPr>
            <w:tcW w:w="5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80周岁以上高龄老人满意度</w:t>
            </w:r>
          </w:p>
        </w:tc>
        <w:tc>
          <w:tcPr>
            <w:tcW w:w="5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经问卷调查，高龄老人对高龄津贴和免费体检政策实施很满意</w:t>
            </w:r>
          </w:p>
        </w:tc>
      </w:tr>
      <w:tr>
        <w:tblPrEx>
          <w:tblLayout w:type="fixed"/>
          <w:tblCellMar>
            <w:top w:w="0" w:type="dxa"/>
            <w:left w:w="108" w:type="dxa"/>
            <w:bottom w:w="0" w:type="dxa"/>
            <w:right w:w="108" w:type="dxa"/>
          </w:tblCellMar>
        </w:tblPrEx>
        <w:tc>
          <w:tcPr>
            <w:tcW w:w="264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5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霍城县儿童福利院建设项目（欠款）</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区经责审计及州直防范化拖欠中小企业账款专项行的相关要求，2021年霍城县儿童福利院建设项目工程造价审计1040.026万元，需支付工程欠款20万元，解决本单位清偿欠款清理工作的问题，维护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支付伊犁七星建设工程有限责任公司工程欠款20万元，解决本单位清偿欠款清理工作的问题，维护政府公信力。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支付施工单位数量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工程欠款按工程评审价支付率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工程欠款支付完成时间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&lt;=15个工作日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15个工作日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工程欠款支付金额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化解拖欠中小企业账款问题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霍城县公益性骨灰安放设施附属建设及设施设备购置项目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根据资金下达文件伊州财综</w:t>
            </w:r>
            <w:r>
              <w:rPr>
                <w:rFonts w:hint="eastAsia" w:ascii="宋体" w:hAnsi="宋体"/>
                <w:sz w:val="16"/>
                <w:lang w:eastAsia="zh-CN"/>
              </w:rPr>
              <w:t>〔2024〕27号</w:t>
            </w:r>
            <w:r>
              <w:rPr>
                <w:rFonts w:ascii="宋体" w:hAnsi="宋体" w:eastAsia="宋体"/>
                <w:sz w:val="16"/>
              </w:rPr>
              <w:t>《关于下达2024年自治州福利彩票公益金资助项目（第二批）资金的通知》精神。1、购置公益性骨灰寄存格位架共计24万元，加快完善公益性骨灰安放设施，推进殡葬改革，填补骨灰安放服务空白，满足群众骨灰安放需求，推动社会文明进步。2、硬化工程共计16万元，为群众提供更加安全、舒适、便捷的祭扫环境。3、绿化工程共计31万元，提升行业整体形象和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购置公益性骨灰寄存格位架共计24万元，加快完善公益性骨灰安放设施，推进殡葬改革，填补骨灰安放服务空白，满足群众骨灰安放需求，推动社会文明进步。2、硬化工程共计16万元，为群众提供更加安全、舒适、便捷的祭扫环境。3、绿化工程共计31万元，提升行业整体形象和公信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民政服务机构基础设施改造提升和购置项目个数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民政服务机构建设符合标准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项目按规定标明宣传标识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项目完工未验收</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按合同约定拨付资金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项目按工程进度拨付资金，正在验收，拨付资金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购置公益性骨灰寄存格位架资金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正在审批，拨付资金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硬化工程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正在审批，拨付资金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绿化工程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正在审批，拨付资金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殡葬</w:t>
            </w:r>
            <w:r>
              <w:rPr>
                <w:rFonts w:hint="eastAsia" w:ascii="宋体" w:hAnsi="宋体"/>
                <w:sz w:val="16"/>
                <w:lang w:eastAsia="zh-CN"/>
              </w:rPr>
              <w:t>服务</w:t>
            </w:r>
            <w:r>
              <w:rPr>
                <w:rFonts w:ascii="宋体" w:hAnsi="宋体" w:eastAsia="宋体"/>
                <w:sz w:val="16"/>
              </w:rPr>
              <w:t>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霍城县政府购买“金色晚霞”服务项目资金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扩大居家养老服务有效供给，满足60岁以上老人的基本服务需求，依托社区日间照料中心或老年食堂等，引导第三方开展老年人助餐服务，通过一系列的活动和课程，让退休老年人重新找到生活的意义和乐趣，提高他们的生活质量和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解决本县孤寡、留守、困难老人生活困难问题，为老人提供基本生活保障</w:t>
            </w:r>
            <w:r>
              <w:rPr>
                <w:rFonts w:hint="eastAsia" w:ascii="宋体" w:hAnsi="宋体"/>
                <w:sz w:val="16"/>
                <w:lang w:eastAsia="zh-CN"/>
              </w:rPr>
              <w:t>。</w:t>
            </w:r>
            <w:r>
              <w:rPr>
                <w:rFonts w:ascii="宋体" w:hAnsi="宋体" w:eastAsia="宋体"/>
                <w:sz w:val="16"/>
              </w:rPr>
              <w:t>发挥彩票公益金示范引领作用，引导地方各级人民政府、市场主体和社会力量将更多资源投入居家和社区基本养老服务，推动项目地区以项目实施为契机，整体撬动和推进本地区基本养老服务体系建设，形成符合本地实际的基本养老服务清单，探索建立居家和社区基本养老服务高质量发展制度机制，对周边地区起到辐射带动效应。</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支持民生实事（老年助餐、区域养老服务中心）个数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救助困难群众人数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民政服务机构基础设施改造提升和购置项目个数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政府购买服务项目个数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签订第三方服务中心数量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享受助餐服务人数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在工作中，已完成对148人的服务。</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民政服务机构建设符合标准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项目按规定标明宣传标识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按合同约定拨付资金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支持民生实事资金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困难群众临时救助、爱心关注资金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基础设施改造提升和购置资金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政府购买服务项目资金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养老服务水平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社会组织服务能力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机构服务保障能力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经问卷调查，群众对此项目非常满意。</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霍城县综合护理院建设项目（清水河镇综合护理中心）(自有资金）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霍城县民政局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依据《关于推进养老服务发展的意见》等文件，完成综合护理中心建设项目总建筑面积2000平方米，同时配套水、电、暖等附属设施，改善居住环境。保障老年人的居住安全与舒适，提高养老服务水平，提升老年人的生活满意度和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完成综合护理中心建设项目总建筑面积1771平方米，同时配套水、电、暖等附属设施，改善居住环境。保障老年人的居住安全与舒适，提高养老服务水平，提升老年人的生活满意度和幸福感。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支持为民办实事好事护理院建设项目数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新建综合护理院建设面积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&gt;=1771平方米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1771平方米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项目设计变更率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项目按计划开工时间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支付工程进度款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施工期环保合格率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0AFF" w:usb1="00007843" w:usb2="00000001" w:usb3="00000000" w:csb0="400001BF" w:csb1="DFF7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B3896C2-9978-46B3-B611-DD5E0F6739D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00000000" w:usb1="00000000" w:usb2="00000000" w:usb3="00000000" w:csb0="00000000" w:csb1="00000000"/>
    <w:embedRegular r:id="rId2" w:fontKey="{4E8B1202-0FBB-41A0-B52C-4438B8077422}"/>
  </w:font>
  <w:font w:name="仿宋_GB2312">
    <w:panose1 w:val="02010609030101010101"/>
    <w:charset w:val="86"/>
    <w:family w:val="auto"/>
    <w:pitch w:val="default"/>
    <w:sig w:usb0="00000000" w:usb1="00000000" w:usb2="00000000" w:usb3="00000000" w:csb0="00000000" w:csb1="00000000"/>
    <w:embedRegular r:id="rId3" w:fontKey="{D5223659-9205-4DB4-8821-2F4FB6B12AE2}"/>
  </w:font>
  <w:font w:name="楷体_GB2312">
    <w:panose1 w:val="02010609030101010101"/>
    <w:charset w:val="86"/>
    <w:family w:val="auto"/>
    <w:pitch w:val="default"/>
    <w:sig w:usb0="00000000" w:usb1="00000000" w:usb2="00000000" w:usb3="00000000" w:csb0="00000000" w:csb1="00000000"/>
    <w:embedRegular r:id="rId4" w:fontKey="{3CEAC028-9AB5-4DA6-B5A0-9A11BAA9D71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B84FCC"/>
    <w:rsid w:val="06792773"/>
    <w:rsid w:val="09A729D8"/>
    <w:rsid w:val="0A3C58E8"/>
    <w:rsid w:val="0A7B4867"/>
    <w:rsid w:val="0B8C3ECC"/>
    <w:rsid w:val="0C3613A3"/>
    <w:rsid w:val="0C7227A7"/>
    <w:rsid w:val="0DCA6EF7"/>
    <w:rsid w:val="0E4B1576"/>
    <w:rsid w:val="0E4B70CA"/>
    <w:rsid w:val="0EA04331"/>
    <w:rsid w:val="0F9811B3"/>
    <w:rsid w:val="11E15093"/>
    <w:rsid w:val="120E0809"/>
    <w:rsid w:val="128E101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833CA2"/>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71</Pages>
  <Words>6946</Words>
  <Characters>8061</Characters>
  <Lines>0</Lines>
  <Paragraphs>0</Paragraphs>
  <TotalTime>6</TotalTime>
  <ScaleCrop>false</ScaleCrop>
  <LinksUpToDate>false</LinksUpToDate>
  <CharactersWithSpaces>8069</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2025-11-20T09:23:04Z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