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霍城县民兵武器装备管理办公室2024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E840462">
      <w:r>
        <w:br w:type="page"/>
      </w:r>
    </w:p>
    <w:p w14:paraId="53CF52BC">
      <w:pPr>
        <w:spacing w:line="640" w:lineRule="exact"/>
        <w:jc w:val="center"/>
        <w:outlineLvl w:val="1"/>
      </w:pPr>
      <w:r>
        <w:rPr>
          <w:rFonts w:ascii="黑体" w:hAnsi="黑体" w:eastAsia="黑体"/>
          <w:sz w:val="32"/>
        </w:rPr>
        <w:t>第一部分 单位概况</w:t>
      </w:r>
    </w:p>
    <w:p w14:paraId="309080E1">
      <w:pPr>
        <w:spacing w:line="640" w:lineRule="exact"/>
        <w:ind w:firstLine="640"/>
        <w:jc w:val="both"/>
        <w:outlineLvl w:val="2"/>
      </w:pPr>
      <w:r>
        <w:rPr>
          <w:rFonts w:ascii="黑体" w:hAnsi="黑体" w:eastAsia="黑体"/>
          <w:sz w:val="32"/>
        </w:rPr>
        <w:t>一、主要职能</w:t>
      </w:r>
    </w:p>
    <w:p w14:paraId="211DF72E">
      <w:pPr>
        <w:spacing w:line="580" w:lineRule="exact"/>
        <w:ind w:firstLine="640"/>
        <w:jc w:val="both"/>
      </w:pPr>
      <w:r>
        <w:rPr>
          <w:rFonts w:ascii="仿宋_GB2312" w:hAnsi="仿宋_GB2312" w:eastAsia="仿宋_GB2312"/>
          <w:sz w:val="32"/>
        </w:rPr>
        <w:t>为全县民兵武器、弹药及其他装备库的管理服务。执行全县民兵武器库的警戒任务，管理民兵武器装备，负责县人民武装部交办的其他工作任务。</w:t>
      </w:r>
    </w:p>
    <w:p w14:paraId="027CA83A">
      <w:pPr>
        <w:spacing w:line="640" w:lineRule="exact"/>
        <w:ind w:firstLine="640"/>
        <w:jc w:val="both"/>
        <w:outlineLvl w:val="2"/>
      </w:pPr>
      <w:r>
        <w:rPr>
          <w:rFonts w:ascii="黑体" w:hAnsi="黑体" w:eastAsia="黑体"/>
          <w:sz w:val="32"/>
        </w:rPr>
        <w:t>二、机构设置及人员情况</w:t>
      </w:r>
    </w:p>
    <w:p w14:paraId="097F55DF">
      <w:pPr>
        <w:spacing w:line="580" w:lineRule="exact"/>
        <w:ind w:firstLine="640"/>
        <w:jc w:val="both"/>
      </w:pPr>
      <w:r>
        <w:rPr>
          <w:rFonts w:ascii="仿宋_GB2312" w:hAnsi="仿宋_GB2312" w:eastAsia="仿宋_GB2312"/>
          <w:sz w:val="32"/>
        </w:rPr>
        <w:t>霍城县民兵武器装备管理办公室2024年度，实有人数4人，其中：在职人员3人，增加0人；离休人员0人，增加0人；退休人员1人,增加0人。</w:t>
      </w:r>
    </w:p>
    <w:p w14:paraId="0749A435">
      <w:pPr>
        <w:spacing w:line="580" w:lineRule="exact"/>
        <w:ind w:firstLine="640"/>
        <w:jc w:val="both"/>
      </w:pPr>
      <w:r>
        <w:rPr>
          <w:rFonts w:ascii="仿宋_GB2312" w:hAnsi="仿宋_GB2312" w:eastAsia="仿宋_GB2312"/>
          <w:sz w:val="32"/>
        </w:rPr>
        <w:t>霍城县民兵武器装备管理办公室无下属预算单位，下设1个科室，分别是：办公室。</w:t>
      </w:r>
    </w:p>
    <w:p w14:paraId="18F7D0AB">
      <w:r>
        <w:br w:type="page"/>
      </w:r>
    </w:p>
    <w:p w14:paraId="6FC0EA16">
      <w:pPr>
        <w:spacing w:line="240" w:lineRule="auto"/>
        <w:jc w:val="center"/>
        <w:outlineLvl w:val="1"/>
      </w:pPr>
      <w:r>
        <w:rPr>
          <w:rFonts w:ascii="黑体" w:hAnsi="黑体" w:eastAsia="黑体"/>
          <w:sz w:val="32"/>
        </w:rPr>
        <w:t>第二部分 部门决算情况说明</w:t>
      </w:r>
    </w:p>
    <w:p w14:paraId="6AE6DBB3">
      <w:pPr>
        <w:spacing w:line="640" w:lineRule="exact"/>
        <w:ind w:firstLine="640"/>
        <w:jc w:val="both"/>
        <w:outlineLvl w:val="2"/>
      </w:pPr>
      <w:r>
        <w:rPr>
          <w:rFonts w:ascii="黑体" w:hAnsi="黑体" w:eastAsia="黑体"/>
          <w:sz w:val="32"/>
        </w:rPr>
        <w:t>一、收入支出决算总体情况说明</w:t>
      </w:r>
    </w:p>
    <w:p w14:paraId="4FB29152">
      <w:pPr>
        <w:spacing w:line="580" w:lineRule="exact"/>
        <w:ind w:firstLine="640"/>
        <w:jc w:val="both"/>
      </w:pPr>
      <w:r>
        <w:rPr>
          <w:rFonts w:ascii="仿宋_GB2312" w:hAnsi="仿宋_GB2312" w:eastAsia="仿宋_GB2312"/>
          <w:b/>
          <w:sz w:val="32"/>
        </w:rPr>
        <w:t>2024年度收入总计194.30万元，</w:t>
      </w:r>
      <w:r>
        <w:rPr>
          <w:rFonts w:ascii="仿宋_GB2312" w:hAnsi="仿宋_GB2312" w:eastAsia="仿宋_GB2312"/>
          <w:b w:val="0"/>
          <w:sz w:val="32"/>
        </w:rPr>
        <w:t>其中：本年收入合计194.30万元，使用非财政拨款结余（含专用结余）0.00万元，年初结转和结余0.00万元。</w:t>
      </w:r>
    </w:p>
    <w:p w14:paraId="02D0E19D">
      <w:pPr>
        <w:spacing w:line="580" w:lineRule="exact"/>
        <w:ind w:firstLine="640"/>
        <w:jc w:val="both"/>
      </w:pPr>
      <w:r>
        <w:rPr>
          <w:rFonts w:ascii="仿宋_GB2312" w:hAnsi="仿宋_GB2312" w:eastAsia="仿宋_GB2312"/>
          <w:b/>
          <w:sz w:val="32"/>
        </w:rPr>
        <w:t>2024年度支出总计194.30万元，</w:t>
      </w:r>
      <w:r>
        <w:rPr>
          <w:rFonts w:ascii="仿宋_GB2312" w:hAnsi="仿宋_GB2312" w:eastAsia="仿宋_GB2312"/>
          <w:b w:val="0"/>
          <w:sz w:val="32"/>
        </w:rPr>
        <w:t>其中：本年支出合计194.30万元，结余分配0.00万元，年末结转和结余0.00万元。</w:t>
      </w:r>
    </w:p>
    <w:p w14:paraId="6B1B99EF">
      <w:pPr>
        <w:spacing w:line="580" w:lineRule="exact"/>
        <w:ind w:firstLine="640"/>
        <w:jc w:val="both"/>
      </w:pPr>
      <w:r>
        <w:rPr>
          <w:rFonts w:ascii="仿宋_GB2312" w:hAnsi="仿宋_GB2312" w:eastAsia="仿宋_GB2312"/>
          <w:b w:val="0"/>
          <w:sz w:val="32"/>
        </w:rPr>
        <w:t>收入支出总体与上年相比，减少49.11万元，下降20.18%，主要原因是：本年减少民兵更换服装款。</w:t>
      </w:r>
    </w:p>
    <w:p w14:paraId="2B3C6C00">
      <w:pPr>
        <w:spacing w:line="640" w:lineRule="exact"/>
        <w:ind w:firstLine="640"/>
        <w:jc w:val="both"/>
        <w:outlineLvl w:val="2"/>
      </w:pPr>
      <w:r>
        <w:rPr>
          <w:rFonts w:ascii="黑体" w:hAnsi="黑体" w:eastAsia="黑体"/>
          <w:sz w:val="32"/>
        </w:rPr>
        <w:t>二、收入决算情况说明</w:t>
      </w:r>
    </w:p>
    <w:p w14:paraId="60EF69EB">
      <w:pPr>
        <w:spacing w:line="580" w:lineRule="exact"/>
        <w:ind w:firstLine="640"/>
        <w:jc w:val="both"/>
      </w:pPr>
      <w:r>
        <w:rPr>
          <w:rFonts w:ascii="仿宋_GB2312" w:hAnsi="仿宋_GB2312" w:eastAsia="仿宋_GB2312"/>
          <w:b/>
          <w:sz w:val="32"/>
        </w:rPr>
        <w:t>本年收入194.30万元，</w:t>
      </w:r>
      <w:r>
        <w:rPr>
          <w:rFonts w:ascii="仿宋_GB2312" w:hAnsi="仿宋_GB2312" w:eastAsia="仿宋_GB2312"/>
          <w:b w:val="0"/>
          <w:sz w:val="32"/>
        </w:rPr>
        <w:t>其中：财政拨款收入194.30万元，占100.00%；上级补助收入0.00万元，占0.00%；事业收入0.00万元，占0.00%；经营收入0.00万元，占0.00%；附属单位上缴收入0.00万元，占0.00%；其他收入0.00万元，占0.00%。</w:t>
      </w:r>
    </w:p>
    <w:p w14:paraId="4FDEE8B1">
      <w:pPr>
        <w:spacing w:line="640" w:lineRule="exact"/>
        <w:ind w:firstLine="640"/>
        <w:jc w:val="both"/>
        <w:outlineLvl w:val="2"/>
      </w:pPr>
      <w:r>
        <w:rPr>
          <w:rFonts w:ascii="黑体" w:hAnsi="黑体" w:eastAsia="黑体"/>
          <w:sz w:val="32"/>
        </w:rPr>
        <w:t>三、支出决算情况说明</w:t>
      </w:r>
    </w:p>
    <w:p w14:paraId="2FF6E800">
      <w:pPr>
        <w:spacing w:line="580" w:lineRule="exact"/>
        <w:ind w:firstLine="640"/>
        <w:jc w:val="both"/>
      </w:pPr>
      <w:r>
        <w:rPr>
          <w:rFonts w:ascii="仿宋_GB2312" w:hAnsi="仿宋_GB2312" w:eastAsia="仿宋_GB2312"/>
          <w:b/>
          <w:sz w:val="32"/>
        </w:rPr>
        <w:t>本年支出194.30万元，</w:t>
      </w:r>
      <w:r>
        <w:rPr>
          <w:rFonts w:ascii="仿宋_GB2312" w:hAnsi="仿宋_GB2312" w:eastAsia="仿宋_GB2312"/>
          <w:b w:val="0"/>
          <w:sz w:val="32"/>
        </w:rPr>
        <w:t>其中：基本支出194.30万元，占100.00%；项目支出0.00万元，占0.00%；上缴上级支出0.00万元，占0.00%；经营支出0.00万元，占0.00%；对附属单位补助支出0.00万元，占0.00%。</w:t>
      </w:r>
    </w:p>
    <w:p w14:paraId="6648027A">
      <w:pPr>
        <w:spacing w:line="640" w:lineRule="exact"/>
        <w:ind w:firstLine="640"/>
        <w:jc w:val="both"/>
        <w:outlineLvl w:val="2"/>
      </w:pPr>
      <w:r>
        <w:rPr>
          <w:rFonts w:ascii="黑体" w:hAnsi="黑体" w:eastAsia="黑体"/>
          <w:sz w:val="32"/>
        </w:rPr>
        <w:t>四、财政拨款收入支出决算总体情况说明</w:t>
      </w:r>
    </w:p>
    <w:p w14:paraId="3FD03139">
      <w:pPr>
        <w:spacing w:line="580" w:lineRule="exact"/>
        <w:ind w:firstLine="640"/>
        <w:jc w:val="both"/>
      </w:pPr>
      <w:r>
        <w:rPr>
          <w:rFonts w:ascii="仿宋_GB2312" w:hAnsi="仿宋_GB2312" w:eastAsia="仿宋_GB2312"/>
          <w:b/>
          <w:sz w:val="32"/>
        </w:rPr>
        <w:t>2024年度财政拨款收入总计194.30万元，</w:t>
      </w:r>
      <w:r>
        <w:rPr>
          <w:rFonts w:ascii="仿宋_GB2312" w:hAnsi="仿宋_GB2312" w:eastAsia="仿宋_GB2312"/>
          <w:b w:val="0"/>
          <w:sz w:val="32"/>
        </w:rPr>
        <w:t>其中：年初财政拨款结转和结余0.00万元，本年财政拨款收入194.30万元。</w:t>
      </w:r>
      <w:r>
        <w:rPr>
          <w:rFonts w:ascii="仿宋_GB2312" w:hAnsi="仿宋_GB2312" w:eastAsia="仿宋_GB2312"/>
          <w:b/>
          <w:sz w:val="32"/>
        </w:rPr>
        <w:t>财政拨款支出总计194.30万元，</w:t>
      </w:r>
      <w:r>
        <w:rPr>
          <w:rFonts w:ascii="仿宋_GB2312" w:hAnsi="仿宋_GB2312" w:eastAsia="仿宋_GB2312"/>
          <w:b w:val="0"/>
          <w:sz w:val="32"/>
        </w:rPr>
        <w:t>其中：年末财政拨款结转和结余0.00万元，本年财政拨款支出194.30万元。</w:t>
      </w:r>
    </w:p>
    <w:p w14:paraId="4C99BB8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减少49.10万元，下降20.17%，主要原因是：本年减少民兵更换服装款。</w:t>
      </w:r>
      <w:r>
        <w:rPr>
          <w:rFonts w:ascii="仿宋_GB2312" w:hAnsi="仿宋_GB2312" w:eastAsia="仿宋_GB2312"/>
          <w:b/>
          <w:sz w:val="32"/>
        </w:rPr>
        <w:t>与年初预算相比，</w:t>
      </w:r>
      <w:r>
        <w:rPr>
          <w:rFonts w:ascii="仿宋_GB2312" w:hAnsi="仿宋_GB2312" w:eastAsia="仿宋_GB2312"/>
          <w:b w:val="0"/>
          <w:sz w:val="32"/>
        </w:rPr>
        <w:t>年初预算数61.48万元，决算数194.30万元，预决算差异率216.04%，主要原因是：年中追加民兵工资人员项目，导致预决算存在差异。年中追加人员工资、社保、公积金基数调增部分资金，导致预决算存在差异。</w:t>
      </w:r>
    </w:p>
    <w:p w14:paraId="0877BF99">
      <w:pPr>
        <w:spacing w:line="640" w:lineRule="exact"/>
        <w:ind w:firstLine="640"/>
        <w:jc w:val="both"/>
        <w:outlineLvl w:val="2"/>
      </w:pPr>
      <w:r>
        <w:rPr>
          <w:rFonts w:ascii="黑体" w:hAnsi="黑体" w:eastAsia="黑体"/>
          <w:sz w:val="32"/>
        </w:rPr>
        <w:t>五、一般公共预算财政拨款支出决算情况说明</w:t>
      </w:r>
    </w:p>
    <w:p w14:paraId="2E4F1FF2">
      <w:pPr>
        <w:spacing w:line="640" w:lineRule="exact"/>
        <w:ind w:firstLine="640"/>
        <w:jc w:val="both"/>
        <w:outlineLvl w:val="3"/>
      </w:pPr>
      <w:r>
        <w:rPr>
          <w:rFonts w:ascii="楷体_GB2312" w:hAnsi="楷体_GB2312" w:eastAsia="楷体_GB2312"/>
          <w:b/>
          <w:sz w:val="32"/>
        </w:rPr>
        <w:t>（一）一般公共预算财政拨款支出决算总体情况</w:t>
      </w:r>
    </w:p>
    <w:p w14:paraId="0A8F7BE1">
      <w:pPr>
        <w:spacing w:line="580" w:lineRule="exact"/>
        <w:ind w:firstLine="640"/>
        <w:jc w:val="both"/>
      </w:pPr>
      <w:r>
        <w:rPr>
          <w:rFonts w:ascii="仿宋_GB2312" w:hAnsi="仿宋_GB2312" w:eastAsia="仿宋_GB2312"/>
          <w:b/>
          <w:sz w:val="32"/>
        </w:rPr>
        <w:t>2024年度一般公共预算财政拨款支出194.30万元，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减少49.10万元，下降20.17%，主要原因是：本年减少民兵更换服装款。</w:t>
      </w:r>
      <w:r>
        <w:rPr>
          <w:rFonts w:ascii="仿宋_GB2312" w:hAnsi="仿宋_GB2312" w:eastAsia="仿宋_GB2312"/>
          <w:b/>
          <w:sz w:val="32"/>
        </w:rPr>
        <w:t>与年初预算相比,</w:t>
      </w:r>
      <w:r>
        <w:rPr>
          <w:rFonts w:ascii="仿宋_GB2312" w:hAnsi="仿宋_GB2312" w:eastAsia="仿宋_GB2312"/>
          <w:b w:val="0"/>
          <w:sz w:val="32"/>
        </w:rPr>
        <w:t>年初预算数61.48万元，决算数194.30万元，预决算差异率216.04%，主要原因是：年中追加民兵工资人员项目，导致预决算存在差异。年中追加人员工资、社保、公积金基数调增部分资金，导致预决算存在差异。</w:t>
      </w:r>
    </w:p>
    <w:p w14:paraId="1CF3470E">
      <w:pPr>
        <w:spacing w:line="640" w:lineRule="exact"/>
        <w:ind w:firstLine="640"/>
        <w:jc w:val="both"/>
        <w:outlineLvl w:val="3"/>
      </w:pPr>
      <w:r>
        <w:rPr>
          <w:rFonts w:ascii="楷体_GB2312" w:hAnsi="楷体_GB2312" w:eastAsia="楷体_GB2312"/>
          <w:b/>
          <w:sz w:val="32"/>
        </w:rPr>
        <w:t>（二）一般公共预算财政拨款支出决算结构情况</w:t>
      </w:r>
    </w:p>
    <w:p w14:paraId="0643F9F6">
      <w:pPr>
        <w:spacing w:line="580" w:lineRule="exact"/>
        <w:ind w:firstLine="640"/>
        <w:jc w:val="both"/>
      </w:pPr>
      <w:r>
        <w:rPr>
          <w:rFonts w:ascii="仿宋_GB2312" w:hAnsi="仿宋_GB2312" w:eastAsia="仿宋_GB2312"/>
          <w:b w:val="0"/>
          <w:sz w:val="32"/>
        </w:rPr>
        <w:t>1.一般公共服务支出(类)167.44万元,占86.18%。</w:t>
      </w:r>
    </w:p>
    <w:p w14:paraId="4C33709C">
      <w:pPr>
        <w:spacing w:line="580" w:lineRule="exact"/>
        <w:ind w:firstLine="640"/>
        <w:jc w:val="both"/>
      </w:pPr>
      <w:r>
        <w:rPr>
          <w:rFonts w:ascii="仿宋_GB2312" w:hAnsi="仿宋_GB2312" w:eastAsia="仿宋_GB2312"/>
          <w:b w:val="0"/>
          <w:sz w:val="32"/>
        </w:rPr>
        <w:t>2.国防支出(类)15.00万元,占7.72%。</w:t>
      </w:r>
    </w:p>
    <w:p w14:paraId="50F983E2">
      <w:pPr>
        <w:spacing w:line="580" w:lineRule="exact"/>
        <w:ind w:firstLine="640"/>
        <w:jc w:val="both"/>
      </w:pPr>
      <w:r>
        <w:rPr>
          <w:rFonts w:ascii="仿宋_GB2312" w:hAnsi="仿宋_GB2312" w:eastAsia="仿宋_GB2312"/>
          <w:b w:val="0"/>
          <w:sz w:val="32"/>
        </w:rPr>
        <w:t>3.社会保障和就业支出(类)5.60万元,占2.88%。</w:t>
      </w:r>
    </w:p>
    <w:p w14:paraId="6016C456">
      <w:pPr>
        <w:spacing w:line="580" w:lineRule="exact"/>
        <w:ind w:firstLine="640"/>
        <w:jc w:val="both"/>
      </w:pPr>
      <w:r>
        <w:rPr>
          <w:rFonts w:ascii="仿宋_GB2312" w:hAnsi="仿宋_GB2312" w:eastAsia="仿宋_GB2312"/>
          <w:b w:val="0"/>
          <w:sz w:val="32"/>
        </w:rPr>
        <w:t>4.卫生健康支出(类)2.39万元,占1.23%。</w:t>
      </w:r>
    </w:p>
    <w:p w14:paraId="7A8C865F">
      <w:pPr>
        <w:spacing w:line="580" w:lineRule="exact"/>
        <w:ind w:firstLine="640"/>
        <w:jc w:val="both"/>
      </w:pPr>
      <w:r>
        <w:rPr>
          <w:rFonts w:ascii="仿宋_GB2312" w:hAnsi="仿宋_GB2312" w:eastAsia="仿宋_GB2312"/>
          <w:b w:val="0"/>
          <w:sz w:val="32"/>
        </w:rPr>
        <w:t>5.住房保障支出(类)3.87万元,占1.99%。</w:t>
      </w:r>
    </w:p>
    <w:p w14:paraId="7D905609">
      <w:pPr>
        <w:spacing w:line="640" w:lineRule="exact"/>
        <w:ind w:firstLine="640"/>
        <w:jc w:val="both"/>
        <w:outlineLvl w:val="3"/>
      </w:pPr>
      <w:r>
        <w:rPr>
          <w:rFonts w:ascii="楷体_GB2312" w:hAnsi="楷体_GB2312" w:eastAsia="楷体_GB2312"/>
          <w:b/>
          <w:sz w:val="32"/>
        </w:rPr>
        <w:t>（三）一般公共预算财政拨款支出决算具体情况</w:t>
      </w:r>
    </w:p>
    <w:p w14:paraId="75EF2E2D">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1.一般公共服务支出(类)政府办公厅（室）及相关机构事务(款)事业运行(项):支出决算数为167.44万元，比上年决算增加19.05万元，增长12.84%,主要原因是：本年在职人员工资调增，导致相关人员经费较上年有所增加。</w:t>
      </w:r>
    </w:p>
    <w:p w14:paraId="2053ACF0">
      <w:pPr>
        <w:spacing w:line="580" w:lineRule="exact"/>
        <w:ind w:firstLine="640"/>
        <w:jc w:val="both"/>
      </w:pPr>
      <w:r>
        <w:rPr>
          <w:rFonts w:ascii="仿宋_GB2312" w:hAnsi="仿宋_GB2312" w:eastAsia="仿宋_GB2312"/>
          <w:b w:val="0"/>
          <w:sz w:val="32"/>
        </w:rPr>
        <w:t>2.国防支出(类)国防动员(款)兵役征集(项):支出决算数为15.00万元，比上年决算增加0.00万元，增长0.00%,主要原因是：本年民兵生活补助费用与上年一致无变化。</w:t>
      </w:r>
    </w:p>
    <w:p w14:paraId="2048CAB2">
      <w:pPr>
        <w:spacing w:line="580" w:lineRule="exact"/>
        <w:ind w:firstLine="640"/>
        <w:jc w:val="both"/>
      </w:pPr>
      <w:r>
        <w:rPr>
          <w:rFonts w:ascii="仿宋_GB2312" w:hAnsi="仿宋_GB2312" w:eastAsia="仿宋_GB2312"/>
          <w:b w:val="0"/>
          <w:sz w:val="32"/>
        </w:rPr>
        <w:t>3.国防支出(类)国防动员(款)民兵(项):支出决算数为0.00万元，比上年决算减少69.22万元，下降100.00%,主要原因是：2024年减少民兵更换服装款。</w:t>
      </w:r>
    </w:p>
    <w:p w14:paraId="32A6CF4D">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4.社会保障和就业支出(类)行政事业单位养老支出(款)事业单位离退休(项):支出决算数为0.82万元，比上年决算增加0.52万元，增长173.33%,主要原因是：本年增加退休人员基础绩效奖，退休费支出增加。</w:t>
      </w:r>
    </w:p>
    <w:p w14:paraId="7AAB8D88">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4.78万元，比上年决算增加0.49万元，增长11.42%,主要原因是：本年在职人员工资基数调增，养老缴费基数上涨，相应支出增加。</w:t>
      </w:r>
    </w:p>
    <w:p w14:paraId="468CCA42">
      <w:pPr>
        <w:spacing w:line="580" w:lineRule="exact"/>
        <w:ind w:firstLine="640"/>
        <w:jc w:val="both"/>
      </w:pPr>
      <w:r>
        <w:rPr>
          <w:rFonts w:ascii="仿宋_GB2312" w:hAnsi="仿宋_GB2312" w:eastAsia="仿宋_GB2312"/>
          <w:b w:val="0"/>
          <w:sz w:val="32"/>
        </w:rPr>
        <w:t>6.卫生健康支出(类)行政事业单位医疗(款)事业单位医疗(项):支出决算数为2.39万元，比上年决算减少0.24万元，下降9.13%,主要原因是：因退休人员医疗保险制度改革，退休人员基本医疗不再由单位缴纳，导致经费较上年减少。</w:t>
      </w:r>
    </w:p>
    <w:p w14:paraId="7AFFB9C9">
      <w:pPr>
        <w:spacing w:line="580" w:lineRule="exact"/>
        <w:ind w:firstLine="640"/>
        <w:jc w:val="both"/>
      </w:pPr>
      <w:r>
        <w:rPr>
          <w:rFonts w:ascii="仿宋_GB2312" w:hAnsi="仿宋_GB2312" w:eastAsia="仿宋_GB2312"/>
          <w:b w:val="0"/>
          <w:sz w:val="32"/>
        </w:rPr>
        <w:t>7.住房保障支出(类)住房改革支出(款)住房公积金(项):支出决算数为3.87万元，比上年决算增加0.31万元，增长8.71%,主要原因是：本年在职人员工资基数调增，公积金缴费基数上涨，相应支出增加。</w:t>
      </w:r>
    </w:p>
    <w:p w14:paraId="620188F0">
      <w:pPr>
        <w:spacing w:line="640" w:lineRule="exact"/>
        <w:ind w:firstLine="640"/>
        <w:jc w:val="both"/>
        <w:outlineLvl w:val="2"/>
      </w:pPr>
      <w:r>
        <w:rPr>
          <w:rFonts w:ascii="黑体" w:hAnsi="黑体" w:eastAsia="黑体"/>
          <w:sz w:val="32"/>
        </w:rPr>
        <w:t>六、一般公共预算财政拨款基本支出决算情况说明</w:t>
      </w:r>
    </w:p>
    <w:p w14:paraId="029B2B5B">
      <w:pPr>
        <w:spacing w:line="580" w:lineRule="exact"/>
        <w:ind w:firstLine="640"/>
        <w:jc w:val="both"/>
      </w:pPr>
      <w:r>
        <w:rPr>
          <w:rFonts w:ascii="仿宋_GB2312" w:hAnsi="仿宋_GB2312" w:eastAsia="仿宋_GB2312"/>
          <w:b w:val="0"/>
          <w:sz w:val="32"/>
        </w:rPr>
        <w:t>2024年度一般公共预算财政拨款基本支出194.30万元，其中：</w:t>
      </w:r>
      <w:r>
        <w:rPr>
          <w:rFonts w:ascii="仿宋_GB2312" w:hAnsi="仿宋_GB2312" w:eastAsia="仿宋_GB2312"/>
          <w:b/>
          <w:sz w:val="32"/>
        </w:rPr>
        <w:t>人员经费193.33万元，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14:paraId="528BD364">
      <w:pPr>
        <w:spacing w:line="580" w:lineRule="exact"/>
        <w:ind w:firstLine="640"/>
        <w:jc w:val="both"/>
      </w:pPr>
      <w:r>
        <w:rPr>
          <w:rFonts w:ascii="仿宋_GB2312" w:hAnsi="仿宋_GB2312" w:eastAsia="仿宋_GB2312"/>
          <w:b/>
          <w:sz w:val="32"/>
        </w:rPr>
        <w:t>公用经费0.96万元，</w:t>
      </w:r>
      <w:r>
        <w:rPr>
          <w:rFonts w:ascii="仿宋_GB2312" w:hAnsi="仿宋_GB2312" w:eastAsia="仿宋_GB2312"/>
          <w:b w:val="0"/>
          <w:sz w:val="32"/>
        </w:rPr>
        <w:t>包括：办公费、工会经费、福利费。</w:t>
      </w:r>
    </w:p>
    <w:p w14:paraId="594FEA6E">
      <w:pPr>
        <w:spacing w:line="640" w:lineRule="exact"/>
        <w:ind w:firstLine="640"/>
        <w:jc w:val="both"/>
        <w:outlineLvl w:val="2"/>
      </w:pPr>
      <w:r>
        <w:rPr>
          <w:rFonts w:ascii="黑体" w:hAnsi="黑体" w:eastAsia="黑体"/>
          <w:sz w:val="32"/>
        </w:rPr>
        <w:t>七、政府性基金预算财政拨款收入支出决算情况说明</w:t>
      </w:r>
    </w:p>
    <w:p w14:paraId="6FC7185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64EAABB">
      <w:pPr>
        <w:spacing w:line="640" w:lineRule="exact"/>
        <w:ind w:firstLine="640"/>
        <w:jc w:val="both"/>
        <w:outlineLvl w:val="2"/>
      </w:pPr>
      <w:r>
        <w:rPr>
          <w:rFonts w:ascii="黑体" w:hAnsi="黑体" w:eastAsia="黑体"/>
          <w:sz w:val="32"/>
        </w:rPr>
        <w:t>八、国有资本经营预算财政拨款收入支出决算情况说明</w:t>
      </w:r>
    </w:p>
    <w:p w14:paraId="341D66D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CCA3084">
      <w:pPr>
        <w:spacing w:line="640" w:lineRule="exact"/>
        <w:ind w:firstLine="640"/>
        <w:jc w:val="both"/>
        <w:outlineLvl w:val="2"/>
      </w:pPr>
      <w:r>
        <w:rPr>
          <w:rFonts w:ascii="黑体" w:hAnsi="黑体" w:eastAsia="黑体"/>
          <w:sz w:val="32"/>
        </w:rPr>
        <w:t>九、财政拨款“三公”经费支出决算情况说明</w:t>
      </w:r>
    </w:p>
    <w:p w14:paraId="6002719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6A50C29">
      <w:pPr>
        <w:spacing w:line="580" w:lineRule="exact"/>
        <w:ind w:firstLine="640"/>
        <w:jc w:val="both"/>
      </w:pPr>
      <w:r>
        <w:rPr>
          <w:rFonts w:ascii="仿宋_GB2312" w:hAnsi="仿宋_GB2312" w:eastAsia="仿宋_GB2312"/>
          <w:b/>
          <w:sz w:val="32"/>
        </w:rPr>
        <w:t>具体情况如下：</w:t>
      </w:r>
    </w:p>
    <w:p w14:paraId="16D573E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8D1B4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DF708C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248521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25849DC">
      <w:pPr>
        <w:spacing w:line="640" w:lineRule="exact"/>
        <w:ind w:firstLine="640"/>
        <w:jc w:val="both"/>
        <w:outlineLvl w:val="2"/>
      </w:pPr>
      <w:r>
        <w:rPr>
          <w:rFonts w:ascii="黑体" w:hAnsi="黑体" w:eastAsia="黑体"/>
          <w:sz w:val="32"/>
        </w:rPr>
        <w:t>十、其他重要事项的情况说明</w:t>
      </w:r>
    </w:p>
    <w:p w14:paraId="68527BC5">
      <w:pPr>
        <w:spacing w:line="640" w:lineRule="exact"/>
        <w:ind w:firstLine="640"/>
        <w:jc w:val="both"/>
        <w:outlineLvl w:val="3"/>
      </w:pPr>
      <w:r>
        <w:rPr>
          <w:rFonts w:ascii="楷体_GB2312" w:hAnsi="楷体_GB2312" w:eastAsia="楷体_GB2312"/>
          <w:b/>
          <w:sz w:val="32"/>
        </w:rPr>
        <w:t>（一）机关运行经费及公用经费支出情况</w:t>
      </w:r>
    </w:p>
    <w:p w14:paraId="05DF82BD">
      <w:pPr>
        <w:spacing w:line="580" w:lineRule="exact"/>
        <w:ind w:firstLine="640"/>
        <w:jc w:val="both"/>
      </w:pPr>
      <w:r>
        <w:rPr>
          <w:rFonts w:ascii="仿宋_GB2312" w:hAnsi="仿宋_GB2312" w:eastAsia="仿宋_GB2312"/>
          <w:b w:val="0"/>
          <w:sz w:val="32"/>
        </w:rPr>
        <w:t>2024年度霍城县民兵武器装备管理办公室（事业单位）公用经费支出0.96万元，比上年减少69.78万元，下降98.64%，主要原因是：2024年减少民兵更换服装款，导致公用经费较上年减少。</w:t>
      </w:r>
    </w:p>
    <w:p w14:paraId="4B2E3D74">
      <w:pPr>
        <w:spacing w:line="640" w:lineRule="exact"/>
        <w:ind w:firstLine="640"/>
        <w:jc w:val="both"/>
        <w:outlineLvl w:val="3"/>
      </w:pPr>
      <w:r>
        <w:rPr>
          <w:rFonts w:ascii="楷体_GB2312" w:hAnsi="楷体_GB2312" w:eastAsia="楷体_GB2312"/>
          <w:b/>
          <w:sz w:val="32"/>
        </w:rPr>
        <w:t>（二）政府采购情况</w:t>
      </w:r>
    </w:p>
    <w:p w14:paraId="582EA0FF">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6ACE7DD">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7CD75FD">
      <w:pPr>
        <w:spacing w:line="640" w:lineRule="exact"/>
        <w:ind w:firstLine="640"/>
        <w:jc w:val="both"/>
        <w:outlineLvl w:val="3"/>
      </w:pPr>
      <w:r>
        <w:rPr>
          <w:rFonts w:ascii="楷体_GB2312" w:hAnsi="楷体_GB2312" w:eastAsia="楷体_GB2312"/>
          <w:b/>
          <w:sz w:val="32"/>
        </w:rPr>
        <w:t>（三）国有资产占用情况说明</w:t>
      </w:r>
    </w:p>
    <w:p w14:paraId="326229E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1FF3EAA">
      <w:pPr>
        <w:spacing w:line="640" w:lineRule="exact"/>
        <w:ind w:firstLine="640"/>
        <w:jc w:val="both"/>
        <w:outlineLvl w:val="2"/>
      </w:pPr>
      <w:r>
        <w:rPr>
          <w:rFonts w:ascii="黑体" w:hAnsi="黑体" w:eastAsia="黑体"/>
          <w:sz w:val="32"/>
        </w:rPr>
        <w:t>十一、预算绩效的情况说明</w:t>
      </w:r>
    </w:p>
    <w:p w14:paraId="2F51A3E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194.29</w:t>
      </w:r>
      <w:r>
        <w:rPr>
          <w:rFonts w:ascii="仿宋_GB2312" w:hAnsi="仿宋_GB2312" w:eastAsia="仿宋_GB2312"/>
          <w:b w:val="0"/>
          <w:sz w:val="32"/>
        </w:rPr>
        <w:t>万元，实际执行总额</w:t>
      </w:r>
      <w:r>
        <w:rPr>
          <w:rFonts w:hint="eastAsia" w:ascii="仿宋_GB2312" w:hAnsi="仿宋_GB2312" w:eastAsia="仿宋_GB2312"/>
          <w:b w:val="0"/>
          <w:sz w:val="32"/>
        </w:rPr>
        <w:t>194.29</w:t>
      </w:r>
      <w:r>
        <w:rPr>
          <w:rFonts w:ascii="仿宋_GB2312" w:hAnsi="仿宋_GB2312" w:eastAsia="仿宋_GB2312"/>
          <w:b w:val="0"/>
          <w:sz w:val="32"/>
        </w:rPr>
        <w:t>万元；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14:paraId="0A85048B">
      <w:r>
        <w:br w:type="page"/>
      </w:r>
    </w:p>
    <w:p w14:paraId="5A99CBF4">
      <w:pPr>
        <w:spacing w:line="640" w:lineRule="exact"/>
        <w:ind w:firstLine="640"/>
        <w:jc w:val="both"/>
        <w:outlineLvl w:val="2"/>
      </w:pPr>
      <w:r>
        <w:rPr>
          <w:rFonts w:ascii="黑体" w:hAnsi="黑体" w:eastAsia="黑体"/>
          <w:sz w:val="32"/>
        </w:rPr>
        <w:t>十二、其他需说明的事项</w:t>
      </w:r>
    </w:p>
    <w:p w14:paraId="72F8E713">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A12F5C5">
      <w:pPr>
        <w:spacing w:line="580" w:lineRule="exact"/>
        <w:ind w:firstLine="640"/>
        <w:jc w:val="both"/>
      </w:pPr>
      <w:r>
        <w:rPr>
          <w:rFonts w:ascii="仿宋_GB2312" w:hAnsi="仿宋_GB2312" w:eastAsia="仿宋_GB2312"/>
          <w:b w:val="0"/>
          <w:sz w:val="32"/>
        </w:rPr>
        <w:t>本单位整体绩效自评表不予公开。</w:t>
      </w:r>
    </w:p>
    <w:p w14:paraId="42764AE0">
      <w:r>
        <w:br w:type="page"/>
      </w:r>
      <w:bookmarkStart w:id="0" w:name="_GoBack"/>
      <w:bookmarkEnd w:id="0"/>
    </w:p>
    <w:p w14:paraId="06A79540">
      <w:pPr>
        <w:spacing w:line="240" w:lineRule="auto"/>
        <w:jc w:val="center"/>
        <w:outlineLvl w:val="1"/>
      </w:pPr>
      <w:r>
        <w:rPr>
          <w:rFonts w:ascii="黑体" w:hAnsi="黑体" w:eastAsia="黑体"/>
          <w:sz w:val="32"/>
        </w:rPr>
        <w:t>第三部分 专业名词解释</w:t>
      </w:r>
    </w:p>
    <w:p w14:paraId="7D22FD3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B8DB26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80782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2C3E60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4C747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2B3DF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9BBDBB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83F4B4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0D1A4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40688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93C61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F15E2F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5300D1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F2D4B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654870">
      <w:r>
        <w:br w:type="page"/>
      </w:r>
    </w:p>
    <w:p w14:paraId="4B8DA6C2">
      <w:pPr>
        <w:spacing w:line="240" w:lineRule="auto"/>
        <w:jc w:val="center"/>
        <w:outlineLvl w:val="1"/>
      </w:pPr>
      <w:r>
        <w:rPr>
          <w:rFonts w:ascii="黑体" w:hAnsi="黑体" w:eastAsia="黑体"/>
          <w:sz w:val="32"/>
        </w:rPr>
        <w:t>第四部分 部门决算报表（见附表）</w:t>
      </w:r>
    </w:p>
    <w:p w14:paraId="46571B86">
      <w:pPr>
        <w:spacing w:line="240" w:lineRule="auto"/>
        <w:ind w:firstLine="640"/>
        <w:jc w:val="both"/>
      </w:pPr>
      <w:r>
        <w:rPr>
          <w:rFonts w:ascii="仿宋_GB2312" w:hAnsi="仿宋_GB2312" w:eastAsia="仿宋_GB2312"/>
          <w:b w:val="0"/>
          <w:sz w:val="32"/>
        </w:rPr>
        <w:t>一、《收入支出决算总表》</w:t>
      </w:r>
    </w:p>
    <w:p w14:paraId="24BEEB3A">
      <w:pPr>
        <w:spacing w:line="240" w:lineRule="auto"/>
        <w:ind w:firstLine="640"/>
        <w:jc w:val="both"/>
      </w:pPr>
      <w:r>
        <w:rPr>
          <w:rFonts w:ascii="仿宋_GB2312" w:hAnsi="仿宋_GB2312" w:eastAsia="仿宋_GB2312"/>
          <w:b w:val="0"/>
          <w:sz w:val="32"/>
        </w:rPr>
        <w:t>二、《收入决算表》</w:t>
      </w:r>
    </w:p>
    <w:p w14:paraId="2740E750">
      <w:pPr>
        <w:spacing w:line="240" w:lineRule="auto"/>
        <w:ind w:firstLine="640"/>
        <w:jc w:val="both"/>
      </w:pPr>
      <w:r>
        <w:rPr>
          <w:rFonts w:ascii="仿宋_GB2312" w:hAnsi="仿宋_GB2312" w:eastAsia="仿宋_GB2312"/>
          <w:b w:val="0"/>
          <w:sz w:val="32"/>
        </w:rPr>
        <w:t>三、《支出决算表》</w:t>
      </w:r>
    </w:p>
    <w:p w14:paraId="40995CD5">
      <w:pPr>
        <w:spacing w:line="240" w:lineRule="auto"/>
        <w:ind w:firstLine="640"/>
        <w:jc w:val="both"/>
      </w:pPr>
      <w:r>
        <w:rPr>
          <w:rFonts w:ascii="仿宋_GB2312" w:hAnsi="仿宋_GB2312" w:eastAsia="仿宋_GB2312"/>
          <w:b w:val="0"/>
          <w:sz w:val="32"/>
        </w:rPr>
        <w:t>四、《财政拨款收入支出决算总表》</w:t>
      </w:r>
    </w:p>
    <w:p w14:paraId="73468D4C">
      <w:pPr>
        <w:spacing w:line="240" w:lineRule="auto"/>
        <w:ind w:firstLine="640"/>
        <w:jc w:val="both"/>
      </w:pPr>
      <w:r>
        <w:rPr>
          <w:rFonts w:ascii="仿宋_GB2312" w:hAnsi="仿宋_GB2312" w:eastAsia="仿宋_GB2312"/>
          <w:b w:val="0"/>
          <w:sz w:val="32"/>
        </w:rPr>
        <w:t>五、《一般公共预算财政拨款支出决算表》</w:t>
      </w:r>
    </w:p>
    <w:p w14:paraId="594E5456">
      <w:pPr>
        <w:spacing w:line="240" w:lineRule="auto"/>
        <w:ind w:firstLine="640"/>
        <w:jc w:val="both"/>
      </w:pPr>
      <w:r>
        <w:rPr>
          <w:rFonts w:ascii="仿宋_GB2312" w:hAnsi="仿宋_GB2312" w:eastAsia="仿宋_GB2312"/>
          <w:b w:val="0"/>
          <w:sz w:val="32"/>
        </w:rPr>
        <w:t>六、《一般公共预算财政拨款基本支出决算表》</w:t>
      </w:r>
    </w:p>
    <w:p w14:paraId="4FDD715C">
      <w:pPr>
        <w:spacing w:line="240" w:lineRule="auto"/>
        <w:ind w:firstLine="640"/>
        <w:jc w:val="both"/>
      </w:pPr>
      <w:r>
        <w:rPr>
          <w:rFonts w:ascii="仿宋_GB2312" w:hAnsi="仿宋_GB2312" w:eastAsia="仿宋_GB2312"/>
          <w:b w:val="0"/>
          <w:sz w:val="32"/>
        </w:rPr>
        <w:t>七、《政府性基金预算财政拨款收入支出决算表》</w:t>
      </w:r>
    </w:p>
    <w:p w14:paraId="29C68747">
      <w:pPr>
        <w:spacing w:line="240" w:lineRule="auto"/>
        <w:ind w:firstLine="640"/>
        <w:jc w:val="both"/>
      </w:pPr>
      <w:r>
        <w:rPr>
          <w:rFonts w:ascii="仿宋_GB2312" w:hAnsi="仿宋_GB2312" w:eastAsia="仿宋_GB2312"/>
          <w:b w:val="0"/>
          <w:sz w:val="32"/>
        </w:rPr>
        <w:t>八、《国有资本经营预算财政拨款收入支出决算表》</w:t>
      </w:r>
    </w:p>
    <w:p w14:paraId="053022A1">
      <w:pPr>
        <w:spacing w:line="240" w:lineRule="auto"/>
        <w:ind w:firstLine="640"/>
        <w:jc w:val="both"/>
      </w:pPr>
      <w:r>
        <w:rPr>
          <w:rFonts w:ascii="仿宋_GB2312" w:hAnsi="仿宋_GB2312" w:eastAsia="仿宋_GB2312"/>
          <w:b w:val="0"/>
          <w:sz w:val="32"/>
        </w:rPr>
        <w:t>九、《财政拨款“三公”经费支出决算表》</w:t>
      </w:r>
    </w:p>
    <w:p w14:paraId="6839E414">
      <w:pPr>
        <w:spacing w:line="240" w:lineRule="auto"/>
        <w:ind w:firstLine="640"/>
        <w:jc w:val="both"/>
      </w:pPr>
    </w:p>
    <w:p w14:paraId="2B1C2238">
      <w:pPr>
        <w:spacing w:line="240" w:lineRule="auto"/>
        <w:ind w:firstLine="640"/>
        <w:jc w:val="both"/>
      </w:pPr>
    </w:p>
    <w:p w14:paraId="41597B61">
      <w:pPr>
        <w:spacing w:line="240" w:lineRule="auto"/>
        <w:ind w:firstLine="640"/>
        <w:jc w:val="both"/>
      </w:pPr>
    </w:p>
    <w:p w14:paraId="129AD361">
      <w:pPr>
        <w:spacing w:line="240" w:lineRule="auto"/>
        <w:ind w:firstLine="640"/>
        <w:jc w:val="both"/>
      </w:pPr>
    </w:p>
    <w:p w14:paraId="2408C70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F7091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7341D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4956</Words>
  <Characters>5593</Characters>
  <Lines>0</Lines>
  <Paragraphs>0</Paragraphs>
  <TotalTime>1</TotalTime>
  <ScaleCrop>false</ScaleCrop>
  <LinksUpToDate>false</LinksUpToDate>
  <CharactersWithSpaces>5603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2025-09-25T07:58:13Z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