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5B3698">
      <w:r>
        <w:br w:type="page"/>
      </w:r>
    </w:p>
    <w:p w14:paraId="69095CEF">
      <w:pPr>
        <w:spacing w:line="640" w:lineRule="exact"/>
        <w:jc w:val="center"/>
        <w:outlineLvl w:val="1"/>
      </w:pPr>
      <w:r>
        <w:rPr>
          <w:rFonts w:ascii="黑体" w:hAnsi="黑体" w:eastAsia="黑体"/>
          <w:sz w:val="32"/>
        </w:rPr>
        <w:t>第一部分 单位概况</w:t>
      </w:r>
    </w:p>
    <w:p w14:paraId="79776603">
      <w:pPr>
        <w:spacing w:line="640" w:lineRule="exact"/>
        <w:ind w:firstLine="640"/>
        <w:jc w:val="both"/>
        <w:outlineLvl w:val="2"/>
      </w:pPr>
      <w:r>
        <w:rPr>
          <w:rFonts w:ascii="黑体" w:hAnsi="黑体" w:eastAsia="黑体"/>
          <w:sz w:val="32"/>
        </w:rPr>
        <w:t>一、主要职能</w:t>
      </w:r>
    </w:p>
    <w:p w14:paraId="4E3B78AD">
      <w:pPr>
        <w:spacing w:line="580" w:lineRule="exact"/>
        <w:ind w:firstLine="640"/>
        <w:jc w:val="both"/>
      </w:pPr>
      <w:r>
        <w:rPr>
          <w:rFonts w:ascii="仿宋_GB2312" w:hAnsi="仿宋_GB2312" w:eastAsia="仿宋_GB2312"/>
          <w:sz w:val="32"/>
        </w:rPr>
        <w:t>以培训促增收，以增收促稳定，着力培养高素质劳动者和技术技能人才。对所有符合产业发展需求和有技能培训需求的农村劳动力和在校学生开展国家通用语言、政策法规、就业技能和适应技术培训。</w:t>
      </w:r>
    </w:p>
    <w:p w14:paraId="1E5645FC">
      <w:pPr>
        <w:spacing w:line="640" w:lineRule="exact"/>
        <w:ind w:firstLine="640"/>
        <w:jc w:val="both"/>
        <w:outlineLvl w:val="2"/>
      </w:pPr>
      <w:r>
        <w:rPr>
          <w:rFonts w:ascii="黑体" w:hAnsi="黑体" w:eastAsia="黑体"/>
          <w:sz w:val="32"/>
        </w:rPr>
        <w:t>二、机构设置及人员情况</w:t>
      </w:r>
    </w:p>
    <w:p w14:paraId="0A31F3D5">
      <w:pPr>
        <w:spacing w:line="580" w:lineRule="exact"/>
        <w:ind w:firstLine="640"/>
        <w:jc w:val="both"/>
      </w:pPr>
      <w:r>
        <w:rPr>
          <w:rFonts w:ascii="仿宋_GB2312" w:hAnsi="仿宋_GB2312" w:eastAsia="仿宋_GB2312"/>
          <w:sz w:val="32"/>
        </w:rPr>
        <w:t>霍城县技工学校2024年度，实有人数2人，其中：在职人员2人，增加0人；离休人员0人，增加0人；退休人员0人,增加0人。</w:t>
      </w:r>
    </w:p>
    <w:p w14:paraId="49893D7E">
      <w:pPr>
        <w:spacing w:line="580" w:lineRule="exact"/>
        <w:ind w:firstLine="640"/>
        <w:jc w:val="both"/>
      </w:pPr>
      <w:r>
        <w:rPr>
          <w:rFonts w:ascii="仿宋_GB2312" w:hAnsi="仿宋_GB2312" w:eastAsia="仿宋_GB2312"/>
          <w:sz w:val="32"/>
        </w:rPr>
        <w:t>霍城县技工学校无下属预算单位，下设8个科室，分别是：财务室、行政办、教学科、学员管理科、技训科、医务室、安保科、招生就业办公室。</w:t>
      </w:r>
    </w:p>
    <w:p w14:paraId="2BCCC52F">
      <w:r>
        <w:br w:type="page"/>
      </w:r>
    </w:p>
    <w:p w14:paraId="53BA6427">
      <w:pPr>
        <w:spacing w:line="240" w:lineRule="auto"/>
        <w:jc w:val="center"/>
        <w:outlineLvl w:val="1"/>
      </w:pPr>
      <w:r>
        <w:rPr>
          <w:rFonts w:ascii="黑体" w:hAnsi="黑体" w:eastAsia="黑体"/>
          <w:sz w:val="32"/>
        </w:rPr>
        <w:t>第二部分 部门决算情况说明</w:t>
      </w:r>
    </w:p>
    <w:p w14:paraId="4A799ECA">
      <w:pPr>
        <w:spacing w:line="640" w:lineRule="exact"/>
        <w:ind w:firstLine="640"/>
        <w:jc w:val="both"/>
        <w:outlineLvl w:val="2"/>
      </w:pPr>
      <w:r>
        <w:rPr>
          <w:rFonts w:ascii="黑体" w:hAnsi="黑体" w:eastAsia="黑体"/>
          <w:sz w:val="32"/>
        </w:rPr>
        <w:t>一、收入支出决算总体情况说明</w:t>
      </w:r>
    </w:p>
    <w:p w14:paraId="5B59ACA8">
      <w:pPr>
        <w:spacing w:line="580" w:lineRule="exact"/>
        <w:ind w:firstLine="640"/>
        <w:jc w:val="both"/>
      </w:pPr>
      <w:r>
        <w:rPr>
          <w:rFonts w:ascii="仿宋_GB2312" w:hAnsi="仿宋_GB2312" w:eastAsia="仿宋_GB2312"/>
          <w:b/>
          <w:sz w:val="32"/>
        </w:rPr>
        <w:t>2024年度收入总计539.31万元，</w:t>
      </w:r>
      <w:r>
        <w:rPr>
          <w:rFonts w:ascii="仿宋_GB2312" w:hAnsi="仿宋_GB2312" w:eastAsia="仿宋_GB2312"/>
          <w:b w:val="0"/>
          <w:sz w:val="32"/>
        </w:rPr>
        <w:t>其中：本年收入合计539.31万元，使用非财政拨款结余（含专用结余）0.00万元，年初结转和结余0.00万元。</w:t>
      </w:r>
    </w:p>
    <w:p w14:paraId="77CD3BA3">
      <w:pPr>
        <w:spacing w:line="580" w:lineRule="exact"/>
        <w:ind w:firstLine="640"/>
        <w:jc w:val="both"/>
      </w:pPr>
      <w:r>
        <w:rPr>
          <w:rFonts w:ascii="仿宋_GB2312" w:hAnsi="仿宋_GB2312" w:eastAsia="仿宋_GB2312"/>
          <w:b/>
          <w:sz w:val="32"/>
        </w:rPr>
        <w:t>2024年度支出总计539.31万元，</w:t>
      </w:r>
      <w:r>
        <w:rPr>
          <w:rFonts w:ascii="仿宋_GB2312" w:hAnsi="仿宋_GB2312" w:eastAsia="仿宋_GB2312"/>
          <w:b w:val="0"/>
          <w:sz w:val="32"/>
        </w:rPr>
        <w:t>其中：本年支出合计539.31万元，结余分配0.00万元，年末结转和结余0.00万元。</w:t>
      </w:r>
    </w:p>
    <w:p w14:paraId="46141EF5">
      <w:pPr>
        <w:spacing w:line="580" w:lineRule="exact"/>
        <w:ind w:firstLine="640"/>
        <w:jc w:val="both"/>
      </w:pPr>
      <w:r>
        <w:rPr>
          <w:rFonts w:ascii="仿宋_GB2312" w:hAnsi="仿宋_GB2312" w:eastAsia="仿宋_GB2312"/>
          <w:b w:val="0"/>
          <w:sz w:val="32"/>
        </w:rPr>
        <w:t>收入支出总体与上年相比，增加520.63万元，增长2,787.10%，主要原因是：本年在职人员工资调增，相关人员经费增加；发放人员奖金，导致经费增加；增加学校场地租赁费。</w:t>
      </w:r>
    </w:p>
    <w:p w14:paraId="4F311EA2">
      <w:pPr>
        <w:spacing w:line="640" w:lineRule="exact"/>
        <w:ind w:firstLine="640"/>
        <w:jc w:val="both"/>
        <w:outlineLvl w:val="2"/>
      </w:pPr>
      <w:r>
        <w:rPr>
          <w:rFonts w:ascii="黑体" w:hAnsi="黑体" w:eastAsia="黑体"/>
          <w:sz w:val="32"/>
        </w:rPr>
        <w:t>二、收入决算情况说明</w:t>
      </w:r>
    </w:p>
    <w:p w14:paraId="68B332B9">
      <w:pPr>
        <w:spacing w:line="580" w:lineRule="exact"/>
        <w:ind w:firstLine="640"/>
        <w:jc w:val="both"/>
      </w:pPr>
      <w:r>
        <w:rPr>
          <w:rFonts w:ascii="仿宋_GB2312" w:hAnsi="仿宋_GB2312" w:eastAsia="仿宋_GB2312"/>
          <w:b/>
          <w:sz w:val="32"/>
        </w:rPr>
        <w:t>本年收入539.31万元，</w:t>
      </w:r>
      <w:r>
        <w:rPr>
          <w:rFonts w:ascii="仿宋_GB2312" w:hAnsi="仿宋_GB2312" w:eastAsia="仿宋_GB2312"/>
          <w:b w:val="0"/>
          <w:sz w:val="32"/>
        </w:rPr>
        <w:t>其中：财政拨款收入539.31万元，占100.00%；上级补助收入0.00万元，占0.00%；事业收入0.00万元，占0.00%；经营收入0.00万元，占0.00%；附属单位上缴收入0.00万元，占0.00%；其他收入0.00万元，占0.00%。</w:t>
      </w:r>
    </w:p>
    <w:p w14:paraId="2E209068">
      <w:pPr>
        <w:spacing w:line="640" w:lineRule="exact"/>
        <w:ind w:firstLine="640"/>
        <w:jc w:val="both"/>
        <w:outlineLvl w:val="2"/>
      </w:pPr>
      <w:r>
        <w:rPr>
          <w:rFonts w:ascii="黑体" w:hAnsi="黑体" w:eastAsia="黑体"/>
          <w:sz w:val="32"/>
        </w:rPr>
        <w:t>三、支出决算情况说明</w:t>
      </w:r>
    </w:p>
    <w:p w14:paraId="7205AC24">
      <w:pPr>
        <w:spacing w:line="580" w:lineRule="exact"/>
        <w:ind w:firstLine="640"/>
        <w:jc w:val="both"/>
      </w:pPr>
      <w:r>
        <w:rPr>
          <w:rFonts w:ascii="仿宋_GB2312" w:hAnsi="仿宋_GB2312" w:eastAsia="仿宋_GB2312"/>
          <w:b/>
          <w:sz w:val="32"/>
        </w:rPr>
        <w:t>本年支出539.31万元，</w:t>
      </w:r>
      <w:r>
        <w:rPr>
          <w:rFonts w:ascii="仿宋_GB2312" w:hAnsi="仿宋_GB2312" w:eastAsia="仿宋_GB2312"/>
          <w:b w:val="0"/>
          <w:sz w:val="32"/>
        </w:rPr>
        <w:t>其中：基本支出39.31万元，占7.29%；项目支出500.00万元，占92.71%；上缴上级支出0.00万元，占0.00%；经营支出0.00万元，占0.00%；对附属单位补助支出0.00万元，占0.00%。</w:t>
      </w:r>
    </w:p>
    <w:p w14:paraId="49883BFD">
      <w:pPr>
        <w:spacing w:line="640" w:lineRule="exact"/>
        <w:ind w:firstLine="640"/>
        <w:jc w:val="both"/>
        <w:outlineLvl w:val="2"/>
      </w:pPr>
      <w:r>
        <w:rPr>
          <w:rFonts w:ascii="黑体" w:hAnsi="黑体" w:eastAsia="黑体"/>
          <w:sz w:val="32"/>
        </w:rPr>
        <w:t>四、财政拨款收入支出决算总体情况说明</w:t>
      </w:r>
    </w:p>
    <w:p w14:paraId="16DB7672">
      <w:pPr>
        <w:spacing w:line="580" w:lineRule="exact"/>
        <w:ind w:firstLine="640"/>
        <w:jc w:val="both"/>
      </w:pPr>
      <w:r>
        <w:rPr>
          <w:rFonts w:ascii="仿宋_GB2312" w:hAnsi="仿宋_GB2312" w:eastAsia="仿宋_GB2312"/>
          <w:b/>
          <w:sz w:val="32"/>
        </w:rPr>
        <w:t>2024年度财政拨款收入总计539.31万元，</w:t>
      </w:r>
      <w:r>
        <w:rPr>
          <w:rFonts w:ascii="仿宋_GB2312" w:hAnsi="仿宋_GB2312" w:eastAsia="仿宋_GB2312"/>
          <w:b w:val="0"/>
          <w:sz w:val="32"/>
        </w:rPr>
        <w:t>其中：年初财政拨款结转和结余0.00万元，本年财政拨款收入539.31万元。</w:t>
      </w:r>
      <w:r>
        <w:rPr>
          <w:rFonts w:ascii="仿宋_GB2312" w:hAnsi="仿宋_GB2312" w:eastAsia="仿宋_GB2312"/>
          <w:b/>
          <w:sz w:val="32"/>
        </w:rPr>
        <w:t>财政拨款支出总计539.31万元，</w:t>
      </w:r>
      <w:r>
        <w:rPr>
          <w:rFonts w:ascii="仿宋_GB2312" w:hAnsi="仿宋_GB2312" w:eastAsia="仿宋_GB2312"/>
          <w:b w:val="0"/>
          <w:sz w:val="32"/>
        </w:rPr>
        <w:t>其中：年末财政拨款结转和结余0.00万元，本年财政拨款支出539.31万元。</w:t>
      </w:r>
    </w:p>
    <w:p w14:paraId="2F8DF0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增加520.63万元，增长2,787.10%，主要原因是：本年在职人员工资调增，相关人员经费增加；发放人员奖金，导致经费增加；增加学校场地租赁费。</w:t>
      </w:r>
      <w:r>
        <w:rPr>
          <w:rFonts w:ascii="仿宋_GB2312" w:hAnsi="仿宋_GB2312" w:eastAsia="仿宋_GB2312"/>
          <w:b/>
          <w:sz w:val="32"/>
        </w:rPr>
        <w:t>与年初预算相比，</w:t>
      </w:r>
      <w:r>
        <w:rPr>
          <w:rFonts w:ascii="仿宋_GB2312" w:hAnsi="仿宋_GB2312" w:eastAsia="仿宋_GB2312"/>
          <w:b w:val="0"/>
          <w:sz w:val="32"/>
        </w:rPr>
        <w:t>年初预算数30.62万元，决算数539.31万元，预决算差异率1661.30%，主要原因是：年中追加人员工资、社保、公积金基数调增部分资金及学校场地租赁费，导致预决算存在差异。</w:t>
      </w:r>
    </w:p>
    <w:p w14:paraId="59641FCA">
      <w:pPr>
        <w:spacing w:line="640" w:lineRule="exact"/>
        <w:ind w:firstLine="640"/>
        <w:jc w:val="both"/>
        <w:outlineLvl w:val="2"/>
      </w:pPr>
      <w:r>
        <w:rPr>
          <w:rFonts w:ascii="黑体" w:hAnsi="黑体" w:eastAsia="黑体"/>
          <w:sz w:val="32"/>
        </w:rPr>
        <w:t>五、一般公共预算财政拨款支出决算情况说明</w:t>
      </w:r>
    </w:p>
    <w:p w14:paraId="406D7947">
      <w:pPr>
        <w:spacing w:line="640" w:lineRule="exact"/>
        <w:ind w:firstLine="640"/>
        <w:jc w:val="both"/>
        <w:outlineLvl w:val="3"/>
      </w:pPr>
      <w:r>
        <w:rPr>
          <w:rFonts w:ascii="楷体_GB2312" w:hAnsi="楷体_GB2312" w:eastAsia="楷体_GB2312"/>
          <w:b/>
          <w:sz w:val="32"/>
        </w:rPr>
        <w:t>（一）一般公共预算财政拨款支出决算总体情况</w:t>
      </w:r>
    </w:p>
    <w:p w14:paraId="0EDF55CE">
      <w:pPr>
        <w:spacing w:line="580" w:lineRule="exact"/>
        <w:ind w:firstLine="640"/>
        <w:jc w:val="both"/>
      </w:pPr>
      <w:r>
        <w:rPr>
          <w:rFonts w:ascii="仿宋_GB2312" w:hAnsi="仿宋_GB2312" w:eastAsia="仿宋_GB2312"/>
          <w:b/>
          <w:sz w:val="32"/>
        </w:rPr>
        <w:t>2024年度一般公共预算财政拨款支出539.31万元，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增加520.63万元，增长2,787.10%，主要原因是：本年在职人员工资调增，相关人员经费增加；发放人员奖金，导致经费增加；增加学校场地租赁费。</w:t>
      </w:r>
      <w:r>
        <w:rPr>
          <w:rFonts w:ascii="仿宋_GB2312" w:hAnsi="仿宋_GB2312" w:eastAsia="仿宋_GB2312"/>
          <w:b/>
          <w:sz w:val="32"/>
        </w:rPr>
        <w:t>与年初预算相比,</w:t>
      </w:r>
      <w:r>
        <w:rPr>
          <w:rFonts w:ascii="仿宋_GB2312" w:hAnsi="仿宋_GB2312" w:eastAsia="仿宋_GB2312"/>
          <w:b w:val="0"/>
          <w:sz w:val="32"/>
        </w:rPr>
        <w:t>年初预算数30.62万元，决算数539.31万元，预决算差异率1661.30%，主要原因是：年中追加人员工资、社保、公积金基数调增部分资金及学校场地租赁费，导致预决算存在差异。</w:t>
      </w:r>
    </w:p>
    <w:p w14:paraId="14EF4E90">
      <w:pPr>
        <w:spacing w:line="640" w:lineRule="exact"/>
        <w:ind w:firstLine="640"/>
        <w:jc w:val="both"/>
        <w:outlineLvl w:val="3"/>
      </w:pPr>
      <w:r>
        <w:rPr>
          <w:rFonts w:ascii="楷体_GB2312" w:hAnsi="楷体_GB2312" w:eastAsia="楷体_GB2312"/>
          <w:b/>
          <w:sz w:val="32"/>
        </w:rPr>
        <w:t>（二）一般公共预算财政拨款支出决算结构情况</w:t>
      </w:r>
    </w:p>
    <w:p w14:paraId="6749AB18">
      <w:pPr>
        <w:spacing w:line="580" w:lineRule="exact"/>
        <w:ind w:firstLine="640"/>
        <w:jc w:val="both"/>
      </w:pPr>
      <w:r>
        <w:rPr>
          <w:rFonts w:ascii="仿宋_GB2312" w:hAnsi="仿宋_GB2312" w:eastAsia="仿宋_GB2312"/>
          <w:b w:val="0"/>
          <w:sz w:val="32"/>
        </w:rPr>
        <w:t>1.教育支出(类)531.64万元,占98.58%。</w:t>
      </w:r>
    </w:p>
    <w:p w14:paraId="1498B237">
      <w:pPr>
        <w:spacing w:line="580" w:lineRule="exact"/>
        <w:ind w:firstLine="640"/>
        <w:jc w:val="both"/>
      </w:pPr>
      <w:r>
        <w:rPr>
          <w:rFonts w:ascii="仿宋_GB2312" w:hAnsi="仿宋_GB2312" w:eastAsia="仿宋_GB2312"/>
          <w:b w:val="0"/>
          <w:sz w:val="32"/>
        </w:rPr>
        <w:t>2.社会保障和就业支出(类)3.21万元,占0.60%。</w:t>
      </w:r>
    </w:p>
    <w:p w14:paraId="1BC2EEB7">
      <w:pPr>
        <w:spacing w:line="580" w:lineRule="exact"/>
        <w:ind w:firstLine="640"/>
        <w:jc w:val="both"/>
      </w:pPr>
      <w:r>
        <w:rPr>
          <w:rFonts w:ascii="仿宋_GB2312" w:hAnsi="仿宋_GB2312" w:eastAsia="仿宋_GB2312"/>
          <w:b w:val="0"/>
          <w:sz w:val="32"/>
        </w:rPr>
        <w:t>3.卫生健康支出(类)1.60万元,占0.30%。</w:t>
      </w:r>
    </w:p>
    <w:p w14:paraId="4F703B77">
      <w:pPr>
        <w:spacing w:line="580" w:lineRule="exact"/>
        <w:ind w:firstLine="640"/>
        <w:jc w:val="both"/>
      </w:pPr>
      <w:r>
        <w:rPr>
          <w:rFonts w:ascii="仿宋_GB2312" w:hAnsi="仿宋_GB2312" w:eastAsia="仿宋_GB2312"/>
          <w:b w:val="0"/>
          <w:sz w:val="32"/>
        </w:rPr>
        <w:t>4.住房保障支出(类)2.86万元,占0.53%。</w:t>
      </w:r>
    </w:p>
    <w:p w14:paraId="73C1E00A">
      <w:pPr>
        <w:spacing w:line="640" w:lineRule="exact"/>
        <w:ind w:firstLine="640"/>
        <w:jc w:val="both"/>
        <w:outlineLvl w:val="3"/>
      </w:pPr>
      <w:r>
        <w:rPr>
          <w:rFonts w:ascii="楷体_GB2312" w:hAnsi="楷体_GB2312" w:eastAsia="楷体_GB2312"/>
          <w:b/>
          <w:sz w:val="32"/>
        </w:rPr>
        <w:t>（三）一般公共预算财政拨款支出决算具体情况</w:t>
      </w:r>
    </w:p>
    <w:p w14:paraId="3DCE30ED">
      <w:pPr>
        <w:spacing w:line="580" w:lineRule="exact"/>
        <w:ind w:firstLine="640"/>
        <w:jc w:val="both"/>
      </w:pPr>
      <w:r>
        <w:rPr>
          <w:rFonts w:ascii="仿宋_GB2312" w:hAnsi="仿宋_GB2312" w:eastAsia="仿宋_GB2312"/>
          <w:b w:val="0"/>
          <w:sz w:val="32"/>
        </w:rPr>
        <w:t>1.教育支出(类)职业教育(款)技校教育(项):支出决算数为31.64万元，比上年决算增加17.66万元，增长126.32%,主要原因是：本年在职人员工资调增，相关人员经费增加；发放人员奖金，导致经费增加。</w:t>
      </w:r>
    </w:p>
    <w:p w14:paraId="39AED0F0">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2.教育支出(类)教育费附加安排的支出(款)其他教育费附加安排的支出(项):支出决算数为500.00万元，比上年决算增加500.00万元，增长100.00%,主要原因是：本年增加学校场地租赁费。</w:t>
      </w:r>
    </w:p>
    <w:p w14:paraId="1A9AD8B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3.21万元，比上年决算增加1.17万元，增长57.35%,主要原因是：本年在职人员工资基数调增，养老缴费基数上涨，相应支出增加。</w:t>
      </w:r>
    </w:p>
    <w:p w14:paraId="5012C98D">
      <w:pPr>
        <w:spacing w:line="580" w:lineRule="exact"/>
        <w:ind w:firstLine="640"/>
        <w:jc w:val="both"/>
      </w:pPr>
      <w:r>
        <w:rPr>
          <w:rFonts w:ascii="仿宋_GB2312" w:hAnsi="仿宋_GB2312" w:eastAsia="仿宋_GB2312"/>
          <w:b w:val="0"/>
          <w:sz w:val="32"/>
        </w:rPr>
        <w:t>4.卫生健康支出(类)行政事业单位医疗(款)事业单位医疗(项):支出决算数为1.60万元，比上年决算增加0.58万元，增长56.86%,主要原因是：本年在职人员工资基数调增，医疗缴费基数上涨，相应支出增加。</w:t>
      </w:r>
    </w:p>
    <w:p w14:paraId="679F1BF5">
      <w:pPr>
        <w:spacing w:line="580" w:lineRule="exact"/>
        <w:ind w:firstLine="640"/>
        <w:jc w:val="both"/>
      </w:pPr>
      <w:r>
        <w:rPr>
          <w:rFonts w:ascii="仿宋_GB2312" w:hAnsi="仿宋_GB2312" w:eastAsia="仿宋_GB2312"/>
          <w:b w:val="0"/>
          <w:sz w:val="32"/>
        </w:rPr>
        <w:t>5.住房保障支出(类)住房改革支出(款)住房公积金(项):支出决算数为2.86万元，比上年决算增加1.21万元，增长73.33%,主要原因是：本年在职人员工资基数调增，公积金缴费基数上涨，相应支出增加。</w:t>
      </w:r>
    </w:p>
    <w:p w14:paraId="1FD10339">
      <w:pPr>
        <w:spacing w:line="640" w:lineRule="exact"/>
        <w:ind w:firstLine="640"/>
        <w:jc w:val="both"/>
        <w:outlineLvl w:val="2"/>
      </w:pPr>
      <w:r>
        <w:rPr>
          <w:rFonts w:ascii="黑体" w:hAnsi="黑体" w:eastAsia="黑体"/>
          <w:sz w:val="32"/>
        </w:rPr>
        <w:t>六、一般公共预算财政拨款基本支出决算情况说明</w:t>
      </w:r>
    </w:p>
    <w:p w14:paraId="6FD97057">
      <w:pPr>
        <w:spacing w:line="580" w:lineRule="exact"/>
        <w:ind w:firstLine="640"/>
        <w:jc w:val="both"/>
      </w:pPr>
      <w:r>
        <w:rPr>
          <w:rFonts w:ascii="仿宋_GB2312" w:hAnsi="仿宋_GB2312" w:eastAsia="仿宋_GB2312"/>
          <w:b w:val="0"/>
          <w:sz w:val="32"/>
        </w:rPr>
        <w:t>2024年度一般公共预算财政拨款基本支出39.31万元，其中：</w:t>
      </w:r>
      <w:r>
        <w:rPr>
          <w:rFonts w:ascii="仿宋_GB2312" w:hAnsi="仿宋_GB2312" w:eastAsia="仿宋_GB2312"/>
          <w:b/>
          <w:sz w:val="32"/>
        </w:rPr>
        <w:t>人员经费39.30万元，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29AAF3EE">
      <w:pPr>
        <w:spacing w:line="580" w:lineRule="exact"/>
        <w:ind w:firstLine="640"/>
        <w:jc w:val="both"/>
      </w:pPr>
      <w:r>
        <w:rPr>
          <w:rFonts w:ascii="仿宋_GB2312" w:hAnsi="仿宋_GB2312" w:eastAsia="仿宋_GB2312"/>
          <w:b/>
          <w:sz w:val="32"/>
        </w:rPr>
        <w:t>公用经费0.02万元，</w:t>
      </w:r>
      <w:r>
        <w:rPr>
          <w:rFonts w:ascii="仿宋_GB2312" w:hAnsi="仿宋_GB2312" w:eastAsia="仿宋_GB2312"/>
          <w:b w:val="0"/>
          <w:sz w:val="32"/>
        </w:rPr>
        <w:t>包括：工会经费。</w:t>
      </w:r>
    </w:p>
    <w:p w14:paraId="7DCF86CB">
      <w:pPr>
        <w:spacing w:line="640" w:lineRule="exact"/>
        <w:ind w:firstLine="640"/>
        <w:jc w:val="both"/>
        <w:outlineLvl w:val="2"/>
      </w:pPr>
      <w:r>
        <w:rPr>
          <w:rFonts w:ascii="黑体" w:hAnsi="黑体" w:eastAsia="黑体"/>
          <w:sz w:val="32"/>
        </w:rPr>
        <w:t>七、政府性基金预算财政拨款收入支出决算情况说明</w:t>
      </w:r>
    </w:p>
    <w:p w14:paraId="338F25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D429EAC">
      <w:pPr>
        <w:spacing w:line="640" w:lineRule="exact"/>
        <w:ind w:firstLine="640"/>
        <w:jc w:val="both"/>
        <w:outlineLvl w:val="2"/>
      </w:pPr>
      <w:r>
        <w:rPr>
          <w:rFonts w:ascii="黑体" w:hAnsi="黑体" w:eastAsia="黑体"/>
          <w:sz w:val="32"/>
        </w:rPr>
        <w:t>八、国有资本经营预算财政拨款收入支出决算情况说明</w:t>
      </w:r>
    </w:p>
    <w:p w14:paraId="3AD9FC3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B5F0D4">
      <w:pPr>
        <w:spacing w:line="640" w:lineRule="exact"/>
        <w:ind w:firstLine="640"/>
        <w:jc w:val="both"/>
        <w:outlineLvl w:val="2"/>
      </w:pPr>
      <w:r>
        <w:rPr>
          <w:rFonts w:ascii="黑体" w:hAnsi="黑体" w:eastAsia="黑体"/>
          <w:sz w:val="32"/>
        </w:rPr>
        <w:t>九、财政拨款“三公”经费支出决算情况说明</w:t>
      </w:r>
    </w:p>
    <w:p w14:paraId="7AEBB85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FC9C641">
      <w:pPr>
        <w:spacing w:line="580" w:lineRule="exact"/>
        <w:ind w:firstLine="640"/>
        <w:jc w:val="both"/>
      </w:pPr>
      <w:r>
        <w:rPr>
          <w:rFonts w:ascii="仿宋_GB2312" w:hAnsi="仿宋_GB2312" w:eastAsia="仿宋_GB2312"/>
          <w:b/>
          <w:sz w:val="32"/>
        </w:rPr>
        <w:t>具体情况如下：</w:t>
      </w:r>
    </w:p>
    <w:p w14:paraId="1C6C587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F0C6E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F955BE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62757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5C320BE">
      <w:pPr>
        <w:spacing w:line="640" w:lineRule="exact"/>
        <w:ind w:firstLine="640"/>
        <w:jc w:val="both"/>
        <w:outlineLvl w:val="2"/>
      </w:pPr>
      <w:r>
        <w:rPr>
          <w:rFonts w:ascii="黑体" w:hAnsi="黑体" w:eastAsia="黑体"/>
          <w:sz w:val="32"/>
        </w:rPr>
        <w:t>十、其他重要事项的情况说明</w:t>
      </w:r>
    </w:p>
    <w:p w14:paraId="5D7DACD2">
      <w:pPr>
        <w:spacing w:line="640" w:lineRule="exact"/>
        <w:ind w:firstLine="640"/>
        <w:jc w:val="both"/>
        <w:outlineLvl w:val="3"/>
      </w:pPr>
      <w:r>
        <w:rPr>
          <w:rFonts w:ascii="楷体_GB2312" w:hAnsi="楷体_GB2312" w:eastAsia="楷体_GB2312"/>
          <w:b/>
          <w:sz w:val="32"/>
        </w:rPr>
        <w:t>（一）机关运行经费及公用经费支出情况</w:t>
      </w:r>
    </w:p>
    <w:p w14:paraId="361AF733">
      <w:pPr>
        <w:spacing w:line="580" w:lineRule="exact"/>
        <w:ind w:firstLine="640"/>
        <w:jc w:val="both"/>
      </w:pPr>
      <w:r>
        <w:rPr>
          <w:rFonts w:ascii="仿宋_GB2312" w:hAnsi="仿宋_GB2312" w:eastAsia="仿宋_GB2312"/>
          <w:b w:val="0"/>
          <w:sz w:val="32"/>
        </w:rPr>
        <w:t>2024年度霍城县技工学校（事业单位）公用经费支出0.02万元，比上年增加0.02万元，增长100.00%，主要原因是：本年增加工会经费，导致公用经费增加。</w:t>
      </w:r>
    </w:p>
    <w:p w14:paraId="5B75A1EC">
      <w:pPr>
        <w:spacing w:line="640" w:lineRule="exact"/>
        <w:ind w:firstLine="640"/>
        <w:jc w:val="both"/>
        <w:outlineLvl w:val="3"/>
      </w:pPr>
      <w:r>
        <w:rPr>
          <w:rFonts w:ascii="楷体_GB2312" w:hAnsi="楷体_GB2312" w:eastAsia="楷体_GB2312"/>
          <w:b/>
          <w:sz w:val="32"/>
        </w:rPr>
        <w:t>（二）政府采购情况</w:t>
      </w:r>
    </w:p>
    <w:p w14:paraId="696475A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CD906A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E51B02E">
      <w:pPr>
        <w:spacing w:line="640" w:lineRule="exact"/>
        <w:ind w:firstLine="640"/>
        <w:jc w:val="both"/>
        <w:outlineLvl w:val="3"/>
      </w:pPr>
      <w:r>
        <w:rPr>
          <w:rFonts w:ascii="楷体_GB2312" w:hAnsi="楷体_GB2312" w:eastAsia="楷体_GB2312"/>
          <w:b/>
          <w:sz w:val="32"/>
        </w:rPr>
        <w:t>（三）国有资产占用情况说明</w:t>
      </w:r>
    </w:p>
    <w:p w14:paraId="79A06927">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CF428FA">
      <w:pPr>
        <w:spacing w:line="640" w:lineRule="exact"/>
        <w:ind w:firstLine="640"/>
        <w:jc w:val="both"/>
        <w:outlineLvl w:val="2"/>
      </w:pPr>
      <w:r>
        <w:rPr>
          <w:rFonts w:ascii="黑体" w:hAnsi="黑体" w:eastAsia="黑体"/>
          <w:sz w:val="32"/>
        </w:rPr>
        <w:t>十一、预算绩效的情况说明</w:t>
      </w:r>
    </w:p>
    <w:p w14:paraId="64B107B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539.31万元，实际执行总额539.31万元；预算绩效评价项目1个，全年预算数79.57万元，全年执行数79.57万元。预算绩效管理取得的成效：一是绩效目标成为预算编制的重要依据，实现了“目标与预算”的联动，确保预算安排更贴合政策意图和实际需求。二是绩效监控贯穿预算执行全过程，能够及时发现资金使用中的问题并纠偏，减少了挪用、闲置等违规现象。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下一步改进措施：一是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具体附整体支出绩效自评表，项目支出绩效自评表和评价报告。</w:t>
      </w:r>
    </w:p>
    <w:p w14:paraId="51C0B0FE">
      <w:r>
        <w:br w:type="page"/>
      </w:r>
    </w:p>
    <w:tbl>
      <w:tblPr>
        <w:tblStyle w:val="9"/>
        <w:tblW w:w="0" w:type="auto"/>
        <w:tblInd w:w="0" w:type="dxa"/>
        <w:tblLayout w:type="autofit"/>
        <w:tblCellMar>
          <w:top w:w="0" w:type="dxa"/>
          <w:left w:w="108" w:type="dxa"/>
          <w:bottom w:w="0" w:type="dxa"/>
          <w:right w:w="108" w:type="dxa"/>
        </w:tblCellMar>
      </w:tblPr>
      <w:tblGrid>
        <w:gridCol w:w="1060"/>
        <w:gridCol w:w="1060"/>
        <w:gridCol w:w="1060"/>
        <w:gridCol w:w="1060"/>
        <w:gridCol w:w="1060"/>
        <w:gridCol w:w="1060"/>
        <w:gridCol w:w="1060"/>
        <w:gridCol w:w="1060"/>
      </w:tblGrid>
      <w:tr w14:paraId="489F8858">
        <w:tblPrEx>
          <w:tblCellMar>
            <w:top w:w="0" w:type="dxa"/>
            <w:left w:w="108" w:type="dxa"/>
            <w:bottom w:w="0" w:type="dxa"/>
            <w:right w:w="108" w:type="dxa"/>
          </w:tblCellMar>
        </w:tblPrEx>
        <w:trPr>
          <w:trHeight w:val="400" w:hRule="atLeast"/>
        </w:trPr>
        <w:tc>
          <w:tcPr>
            <w:tcW w:w="8480" w:type="dxa"/>
            <w:gridSpan w:val="8"/>
            <w:vAlign w:val="center"/>
          </w:tcPr>
          <w:p w14:paraId="44F8C6E3">
            <w:pPr>
              <w:jc w:val="center"/>
            </w:pPr>
            <w:r>
              <w:rPr>
                <w:rFonts w:ascii="宋体" w:hAnsi="宋体" w:eastAsia="宋体"/>
                <w:sz w:val="24"/>
              </w:rPr>
              <w:t>单位整体支出绩效自评表</w:t>
            </w:r>
          </w:p>
        </w:tc>
      </w:tr>
      <w:tr w14:paraId="62D378C3">
        <w:tblPrEx>
          <w:tblCellMar>
            <w:top w:w="0" w:type="dxa"/>
            <w:left w:w="108" w:type="dxa"/>
            <w:bottom w:w="0" w:type="dxa"/>
            <w:right w:w="108" w:type="dxa"/>
          </w:tblCellMar>
        </w:tblPrEx>
        <w:trPr>
          <w:trHeight w:val="400" w:hRule="atLeast"/>
        </w:trPr>
        <w:tc>
          <w:tcPr>
            <w:tcW w:w="8480" w:type="dxa"/>
            <w:gridSpan w:val="8"/>
            <w:vAlign w:val="center"/>
          </w:tcPr>
          <w:p w14:paraId="1D8F846B">
            <w:pPr>
              <w:jc w:val="center"/>
            </w:pPr>
            <w:r>
              <w:rPr>
                <w:rFonts w:ascii="宋体" w:hAnsi="宋体" w:eastAsia="宋体"/>
                <w:sz w:val="24"/>
              </w:rPr>
              <w:t>（2024年度）</w:t>
            </w:r>
          </w:p>
        </w:tc>
      </w:tr>
      <w:tr w14:paraId="08D590AC">
        <w:tblPrEx>
          <w:tblCellMar>
            <w:top w:w="0" w:type="dxa"/>
            <w:left w:w="108" w:type="dxa"/>
            <w:bottom w:w="0" w:type="dxa"/>
            <w:right w:w="108" w:type="dxa"/>
          </w:tblCellMar>
        </w:tblPrEx>
        <w:trPr>
          <w:trHeight w:val="432" w:hRule="atLeast"/>
        </w:trPr>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3763FFE2">
            <w:pPr>
              <w:jc w:val="center"/>
            </w:pPr>
            <w:r>
              <w:rPr>
                <w:rFonts w:ascii="宋体" w:hAnsi="宋体" w:eastAsia="宋体"/>
                <w:sz w:val="16"/>
              </w:rPr>
              <w:t>单位名称</w:t>
            </w:r>
          </w:p>
        </w:tc>
        <w:tc>
          <w:tcPr>
            <w:tcW w:w="7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52AED">
            <w:pPr>
              <w:jc w:val="center"/>
            </w:pPr>
            <w:r>
              <w:rPr>
                <w:rFonts w:ascii="宋体" w:hAnsi="宋体" w:eastAsia="宋体"/>
                <w:sz w:val="16"/>
              </w:rPr>
              <w:t>霍城县技工学校</w:t>
            </w:r>
          </w:p>
        </w:tc>
      </w:tr>
      <w:tr w14:paraId="5C7DA3FA">
        <w:tblPrEx>
          <w:tblCellMar>
            <w:top w:w="0" w:type="dxa"/>
            <w:left w:w="108" w:type="dxa"/>
            <w:bottom w:w="0" w:type="dxa"/>
            <w:right w:w="108" w:type="dxa"/>
          </w:tblCellMar>
        </w:tblPrEx>
        <w:trPr>
          <w:trHeight w:val="432" w:hRule="atLeast"/>
        </w:trPr>
        <w:tc>
          <w:tcPr>
            <w:tcW w:w="10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90828">
            <w:pPr>
              <w:jc w:val="center"/>
            </w:pPr>
            <w:r>
              <w:rPr>
                <w:rFonts w:ascii="宋体" w:hAnsi="宋体" w:eastAsia="宋体"/>
                <w:sz w:val="16"/>
              </w:rPr>
              <w:t>部门资金（万元）</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CB7DA7A">
            <w:pPr>
              <w:jc w:val="center"/>
            </w:pPr>
            <w:r>
              <w:rPr>
                <w:rFonts w:ascii="宋体" w:hAnsi="宋体" w:eastAsia="宋体"/>
                <w:sz w:val="16"/>
              </w:rPr>
              <w:t>资金来源</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3175A557">
            <w:pPr>
              <w:jc w:val="center"/>
            </w:pPr>
            <w:r>
              <w:rPr>
                <w:rFonts w:ascii="宋体" w:hAnsi="宋体" w:eastAsia="宋体"/>
                <w:sz w:val="16"/>
              </w:rPr>
              <w:t>年初预算数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13EFAC9">
            <w:pPr>
              <w:jc w:val="center"/>
            </w:pPr>
            <w:r>
              <w:rPr>
                <w:rFonts w:ascii="宋体" w:hAnsi="宋体" w:eastAsia="宋体"/>
                <w:sz w:val="16"/>
              </w:rPr>
              <w:t>全年预算数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0C7A46A">
            <w:pPr>
              <w:jc w:val="center"/>
            </w:pPr>
            <w:r>
              <w:rPr>
                <w:rFonts w:ascii="宋体" w:hAnsi="宋体" w:eastAsia="宋体"/>
                <w:sz w:val="16"/>
              </w:rPr>
              <w:t>全年执行数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A205475">
            <w:pPr>
              <w:jc w:val="center"/>
            </w:pPr>
            <w:r>
              <w:rPr>
                <w:rFonts w:ascii="宋体" w:hAnsi="宋体" w:eastAsia="宋体"/>
                <w:sz w:val="16"/>
              </w:rPr>
              <w:t>分值权重</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7EAC8D4">
            <w:pPr>
              <w:jc w:val="center"/>
            </w:pPr>
            <w:r>
              <w:rPr>
                <w:rFonts w:ascii="宋体" w:hAnsi="宋体" w:eastAsia="宋体"/>
                <w:sz w:val="16"/>
              </w:rPr>
              <w:t>执行率</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426C593">
            <w:pPr>
              <w:jc w:val="center"/>
            </w:pPr>
            <w:r>
              <w:rPr>
                <w:rFonts w:ascii="宋体" w:hAnsi="宋体" w:eastAsia="宋体"/>
                <w:sz w:val="16"/>
              </w:rPr>
              <w:t>得分</w:t>
            </w:r>
          </w:p>
        </w:tc>
      </w:tr>
      <w:tr w14:paraId="277C1185">
        <w:tblPrEx>
          <w:tblCellMar>
            <w:top w:w="0" w:type="dxa"/>
            <w:left w:w="108" w:type="dxa"/>
            <w:bottom w:w="0" w:type="dxa"/>
            <w:right w:w="108" w:type="dxa"/>
          </w:tblCellMar>
        </w:tblPrEx>
        <w:trPr>
          <w:trHeight w:val="432"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444119B2"/>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C9FDB0F">
            <w:pPr>
              <w:jc w:val="center"/>
            </w:pPr>
            <w:r>
              <w:rPr>
                <w:rFonts w:ascii="宋体" w:hAnsi="宋体" w:eastAsia="宋体"/>
                <w:sz w:val="16"/>
              </w:rPr>
              <w:t>年度总资金</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C9846FC">
            <w:pPr>
              <w:jc w:val="center"/>
            </w:pPr>
            <w:r>
              <w:rPr>
                <w:rFonts w:ascii="宋体" w:hAnsi="宋体" w:eastAsia="宋体"/>
                <w:sz w:val="16"/>
              </w:rPr>
              <w:t>30.62</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BA64560">
            <w:pPr>
              <w:jc w:val="center"/>
            </w:pPr>
            <w:r>
              <w:rPr>
                <w:rFonts w:ascii="宋体" w:hAnsi="宋体" w:eastAsia="宋体"/>
                <w:sz w:val="16"/>
              </w:rPr>
              <w:t>539.31</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5E46A64">
            <w:pPr>
              <w:jc w:val="center"/>
            </w:pPr>
            <w:r>
              <w:rPr>
                <w:rFonts w:ascii="宋体" w:hAnsi="宋体" w:eastAsia="宋体"/>
                <w:sz w:val="16"/>
              </w:rPr>
              <w:t>539.31</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42E313E">
            <w:pPr>
              <w:jc w:val="center"/>
            </w:pPr>
            <w:r>
              <w:rPr>
                <w:rFonts w:ascii="宋体" w:hAnsi="宋体" w:eastAsia="宋体"/>
                <w:sz w:val="16"/>
              </w:rPr>
              <w:t>10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6F1CA18">
            <w:pPr>
              <w:jc w:val="center"/>
            </w:pPr>
            <w:r>
              <w:rPr>
                <w:rFonts w:ascii="宋体" w:hAnsi="宋体" w:eastAsia="宋体"/>
                <w:sz w:val="16"/>
              </w:rPr>
              <w:t>100%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B54ABDE">
            <w:pPr>
              <w:jc w:val="center"/>
            </w:pPr>
            <w:r>
              <w:rPr>
                <w:rFonts w:ascii="宋体" w:hAnsi="宋体" w:eastAsia="宋体"/>
                <w:sz w:val="16"/>
              </w:rPr>
              <w:t>10</w:t>
            </w:r>
          </w:p>
        </w:tc>
      </w:tr>
      <w:tr w14:paraId="3B4845F2">
        <w:tblPrEx>
          <w:tblCellMar>
            <w:top w:w="0" w:type="dxa"/>
            <w:left w:w="108" w:type="dxa"/>
            <w:bottom w:w="0" w:type="dxa"/>
            <w:right w:w="108" w:type="dxa"/>
          </w:tblCellMar>
        </w:tblPrEx>
        <w:trPr>
          <w:trHeight w:val="432"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15F67FCE"/>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D3D6B8C">
            <w:pPr>
              <w:jc w:val="center"/>
            </w:pPr>
            <w:r>
              <w:rPr>
                <w:rFonts w:ascii="宋体" w:hAnsi="宋体" w:eastAsia="宋体"/>
                <w:sz w:val="16"/>
              </w:rPr>
              <w:t>上级资金：</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E92675C">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B1668BC">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0149D55">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409704D">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C8A286E">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ADF400C">
            <w:pPr>
              <w:jc w:val="center"/>
            </w:pPr>
            <w:r>
              <w:rPr>
                <w:rFonts w:ascii="宋体" w:hAnsi="宋体" w:eastAsia="宋体"/>
                <w:sz w:val="16"/>
              </w:rPr>
              <w:t>-</w:t>
            </w:r>
          </w:p>
        </w:tc>
      </w:tr>
      <w:tr w14:paraId="74A2F2F9">
        <w:tblPrEx>
          <w:tblCellMar>
            <w:top w:w="0" w:type="dxa"/>
            <w:left w:w="108" w:type="dxa"/>
            <w:bottom w:w="0" w:type="dxa"/>
            <w:right w:w="108" w:type="dxa"/>
          </w:tblCellMar>
        </w:tblPrEx>
        <w:trPr>
          <w:trHeight w:val="432"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1566BDC7"/>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305F3C13">
            <w:pPr>
              <w:jc w:val="center"/>
            </w:pPr>
            <w:r>
              <w:rPr>
                <w:rFonts w:ascii="宋体" w:hAnsi="宋体" w:eastAsia="宋体"/>
                <w:sz w:val="16"/>
              </w:rPr>
              <w:t>本级资金：</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CB78492">
            <w:pPr>
              <w:jc w:val="center"/>
            </w:pPr>
            <w:r>
              <w:rPr>
                <w:rFonts w:ascii="宋体" w:hAnsi="宋体" w:eastAsia="宋体"/>
                <w:sz w:val="16"/>
              </w:rPr>
              <w:t>30.62</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FC3E318">
            <w:pPr>
              <w:jc w:val="center"/>
            </w:pPr>
            <w:r>
              <w:rPr>
                <w:rFonts w:ascii="宋体" w:hAnsi="宋体" w:eastAsia="宋体"/>
                <w:sz w:val="16"/>
              </w:rPr>
              <w:t>539.31</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69C0091">
            <w:pPr>
              <w:jc w:val="center"/>
            </w:pPr>
            <w:r>
              <w:rPr>
                <w:rFonts w:ascii="宋体" w:hAnsi="宋体" w:eastAsia="宋体"/>
                <w:sz w:val="16"/>
              </w:rPr>
              <w:t>539.31</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2E8C4DE">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36DBCF4">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D85937A">
            <w:pPr>
              <w:jc w:val="center"/>
            </w:pPr>
            <w:r>
              <w:rPr>
                <w:rFonts w:ascii="宋体" w:hAnsi="宋体" w:eastAsia="宋体"/>
                <w:sz w:val="16"/>
              </w:rPr>
              <w:t>-</w:t>
            </w:r>
          </w:p>
        </w:tc>
      </w:tr>
      <w:tr w14:paraId="7FF37006">
        <w:tblPrEx>
          <w:tblCellMar>
            <w:top w:w="0" w:type="dxa"/>
            <w:left w:w="108" w:type="dxa"/>
            <w:bottom w:w="0" w:type="dxa"/>
            <w:right w:w="108" w:type="dxa"/>
          </w:tblCellMar>
        </w:tblPrEx>
        <w:trPr>
          <w:trHeight w:val="432"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57781BCA"/>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885A954">
            <w:pPr>
              <w:jc w:val="center"/>
            </w:pPr>
            <w:r>
              <w:rPr>
                <w:rFonts w:ascii="宋体" w:hAnsi="宋体" w:eastAsia="宋体"/>
                <w:sz w:val="16"/>
              </w:rPr>
              <w:t>其他资金：</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69C40BB">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4C91309">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FAC6A39">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A39EEF6">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10FD60A">
            <w:pPr>
              <w:jc w:val="center"/>
            </w:pPr>
            <w:r>
              <w:rPr>
                <w:rFonts w:ascii="宋体" w:hAnsi="宋体" w:eastAsia="宋体"/>
                <w:sz w:val="16"/>
              </w:rPr>
              <w:t>-</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D3B4F7D">
            <w:pPr>
              <w:jc w:val="center"/>
            </w:pPr>
            <w:r>
              <w:rPr>
                <w:rFonts w:ascii="宋体" w:hAnsi="宋体" w:eastAsia="宋体"/>
                <w:sz w:val="16"/>
              </w:rPr>
              <w:t>-</w:t>
            </w:r>
          </w:p>
        </w:tc>
      </w:tr>
      <w:tr w14:paraId="00683E57">
        <w:tblPrEx>
          <w:tblCellMar>
            <w:top w:w="0" w:type="dxa"/>
            <w:left w:w="108" w:type="dxa"/>
            <w:bottom w:w="0" w:type="dxa"/>
            <w:right w:w="108" w:type="dxa"/>
          </w:tblCellMar>
        </w:tblPrEx>
        <w:trPr>
          <w:trHeight w:val="432" w:hRule="atLeast"/>
        </w:trPr>
        <w:tc>
          <w:tcPr>
            <w:tcW w:w="10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8433D">
            <w:pPr>
              <w:jc w:val="center"/>
            </w:pPr>
            <w:r>
              <w:rPr>
                <w:rFonts w:ascii="宋体" w:hAnsi="宋体" w:eastAsia="宋体"/>
                <w:sz w:val="16"/>
              </w:rPr>
              <w:t>年度总体目标</w:t>
            </w:r>
          </w:p>
        </w:tc>
        <w:tc>
          <w:tcPr>
            <w:tcW w:w="31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297DE7">
            <w:pPr>
              <w:jc w:val="center"/>
            </w:pPr>
            <w:r>
              <w:rPr>
                <w:rFonts w:ascii="宋体" w:hAnsi="宋体" w:eastAsia="宋体"/>
                <w:sz w:val="16"/>
              </w:rPr>
              <w:t>预期目标</w:t>
            </w:r>
          </w:p>
        </w:tc>
        <w:tc>
          <w:tcPr>
            <w:tcW w:w="42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1A8788">
            <w:pPr>
              <w:jc w:val="center"/>
            </w:pPr>
            <w:r>
              <w:rPr>
                <w:rFonts w:ascii="宋体" w:hAnsi="宋体" w:eastAsia="宋体"/>
                <w:sz w:val="16"/>
              </w:rPr>
              <w:t>实际完成情况</w:t>
            </w:r>
          </w:p>
        </w:tc>
      </w:tr>
      <w:tr w14:paraId="57E4081E">
        <w:tblPrEx>
          <w:tblCellMar>
            <w:top w:w="0" w:type="dxa"/>
            <w:left w:w="108" w:type="dxa"/>
            <w:bottom w:w="0" w:type="dxa"/>
            <w:right w:w="108" w:type="dxa"/>
          </w:tblCellMar>
        </w:tblPrEx>
        <w:trPr>
          <w:trHeight w:val="3634"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5774E305"/>
        </w:tc>
        <w:tc>
          <w:tcPr>
            <w:tcW w:w="31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2E2D94">
            <w:pPr>
              <w:jc w:val="both"/>
            </w:pPr>
            <w:r>
              <w:rPr>
                <w:rFonts w:ascii="宋体" w:hAnsi="宋体" w:eastAsia="宋体"/>
                <w:sz w:val="16"/>
              </w:rPr>
              <w:t>根据《</w:t>
            </w:r>
            <w:r>
              <w:rPr>
                <w:rFonts w:hint="eastAsia" w:ascii="宋体" w:hAnsi="宋体"/>
                <w:sz w:val="16"/>
                <w:lang w:eastAsia="zh-CN"/>
              </w:rPr>
              <w:t>中华人民共和国职业教育法</w:t>
            </w:r>
            <w:r>
              <w:rPr>
                <w:rFonts w:ascii="宋体" w:hAnsi="宋体" w:eastAsia="宋体"/>
                <w:sz w:val="16"/>
              </w:rPr>
              <w:t>》等规定和国务院现行的“三定”方案，以培训促增收，以增收促稳定，着力培养高素质劳动者和技术技能人才。对所有符合产业发展需求和有技能培训需求的农村劳动力和在校学生开展国家通用语言、政策法规、就业技能和实用技术培训,产生的办公费、水费、电费、邮电费、网络费、暖气费、维修费、垃圾清运费等,餐厅聘用人员工资。</w:t>
            </w:r>
          </w:p>
        </w:tc>
        <w:tc>
          <w:tcPr>
            <w:tcW w:w="42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B2242A">
            <w:pPr>
              <w:jc w:val="both"/>
            </w:pPr>
            <w:r>
              <w:rPr>
                <w:rFonts w:ascii="宋体" w:hAnsi="宋体" w:eastAsia="宋体"/>
                <w:sz w:val="16"/>
              </w:rPr>
              <w:t>现有设备及师资力量，学校设立各种技术培训班、并鼓励他们中技能水平高的人员参加上级组织的各类技能竞赛，争创佳绩，争取获取更高等级的职业资格证书。</w:t>
            </w:r>
          </w:p>
        </w:tc>
      </w:tr>
      <w:tr w14:paraId="3C96E7A1">
        <w:tblPrEx>
          <w:tblCellMar>
            <w:top w:w="0" w:type="dxa"/>
            <w:left w:w="108" w:type="dxa"/>
            <w:bottom w:w="0" w:type="dxa"/>
            <w:right w:w="108" w:type="dxa"/>
          </w:tblCellMar>
        </w:tblPrEx>
        <w:trPr>
          <w:trHeight w:val="832" w:hRule="atLeast"/>
        </w:trPr>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0DB3EF1">
            <w:pPr>
              <w:jc w:val="center"/>
            </w:pPr>
            <w:r>
              <w:rPr>
                <w:rFonts w:ascii="宋体" w:hAnsi="宋体" w:eastAsia="宋体"/>
                <w:sz w:val="16"/>
              </w:rPr>
              <w:t>一级指标</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7E201D6">
            <w:pPr>
              <w:jc w:val="center"/>
            </w:pPr>
            <w:r>
              <w:rPr>
                <w:rFonts w:ascii="宋体" w:hAnsi="宋体" w:eastAsia="宋体"/>
                <w:sz w:val="16"/>
              </w:rPr>
              <w:t>二级指标</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8E47272">
            <w:pPr>
              <w:jc w:val="center"/>
            </w:pPr>
            <w:r>
              <w:rPr>
                <w:rFonts w:ascii="宋体" w:hAnsi="宋体" w:eastAsia="宋体"/>
                <w:sz w:val="16"/>
              </w:rPr>
              <w:t>三级指标</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B7D2B89">
            <w:pPr>
              <w:jc w:val="center"/>
            </w:pPr>
            <w:r>
              <w:rPr>
                <w:rFonts w:ascii="宋体" w:hAnsi="宋体" w:eastAsia="宋体"/>
                <w:sz w:val="16"/>
              </w:rPr>
              <w:t>预期指标值</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4B38EFB">
            <w:pPr>
              <w:jc w:val="center"/>
            </w:pPr>
            <w:r>
              <w:rPr>
                <w:rFonts w:ascii="宋体" w:hAnsi="宋体" w:eastAsia="宋体"/>
                <w:sz w:val="16"/>
              </w:rPr>
              <w:t>指标值设定依据</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FB0E4B4">
            <w:pPr>
              <w:jc w:val="center"/>
            </w:pPr>
            <w:r>
              <w:rPr>
                <w:rFonts w:ascii="宋体" w:hAnsi="宋体" w:eastAsia="宋体"/>
                <w:sz w:val="16"/>
              </w:rPr>
              <w:t>分值权重</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9B5BE92">
            <w:pPr>
              <w:jc w:val="center"/>
            </w:pPr>
            <w:r>
              <w:rPr>
                <w:rFonts w:ascii="宋体" w:hAnsi="宋体" w:eastAsia="宋体"/>
                <w:sz w:val="16"/>
              </w:rPr>
              <w:t>实际完成指标值</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580BF0A">
            <w:pPr>
              <w:jc w:val="center"/>
            </w:pPr>
            <w:r>
              <w:rPr>
                <w:rFonts w:ascii="宋体" w:hAnsi="宋体" w:eastAsia="宋体"/>
                <w:sz w:val="16"/>
              </w:rPr>
              <w:t>得分</w:t>
            </w:r>
          </w:p>
        </w:tc>
      </w:tr>
      <w:tr w14:paraId="41C0FEBE">
        <w:tblPrEx>
          <w:tblCellMar>
            <w:top w:w="0" w:type="dxa"/>
            <w:left w:w="108" w:type="dxa"/>
            <w:bottom w:w="0" w:type="dxa"/>
            <w:right w:w="108" w:type="dxa"/>
          </w:tblCellMar>
        </w:tblPrEx>
        <w:trPr>
          <w:trHeight w:val="832" w:hRule="atLeast"/>
        </w:trPr>
        <w:tc>
          <w:tcPr>
            <w:tcW w:w="10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8EC06">
            <w:pPr>
              <w:jc w:val="center"/>
            </w:pPr>
            <w:r>
              <w:rPr>
                <w:rFonts w:ascii="宋体" w:hAnsi="宋体" w:eastAsia="宋体"/>
                <w:sz w:val="16"/>
              </w:rPr>
              <w:t>履职效能</w:t>
            </w:r>
          </w:p>
        </w:tc>
        <w:tc>
          <w:tcPr>
            <w:tcW w:w="10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956CC">
            <w:pPr>
              <w:jc w:val="center"/>
            </w:pPr>
            <w:r>
              <w:rPr>
                <w:rFonts w:ascii="宋体" w:hAnsi="宋体" w:eastAsia="宋体"/>
                <w:sz w:val="16"/>
              </w:rPr>
              <w:t>质量指标</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5479F6B">
            <w:pPr>
              <w:jc w:val="center"/>
            </w:pPr>
            <w:r>
              <w:rPr>
                <w:rFonts w:ascii="宋体" w:hAnsi="宋体" w:eastAsia="宋体"/>
                <w:sz w:val="16"/>
              </w:rPr>
              <w:t>冬季培训期数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AB0D25B">
            <w:pPr>
              <w:jc w:val="center"/>
            </w:pPr>
            <w:r>
              <w:rPr>
                <w:rFonts w:ascii="宋体" w:hAnsi="宋体" w:eastAsia="宋体"/>
                <w:sz w:val="16"/>
              </w:rPr>
              <w:t>=1次</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C197361">
            <w:pPr>
              <w:jc w:val="center"/>
            </w:pPr>
            <w:r>
              <w:rPr>
                <w:rFonts w:ascii="宋体" w:hAnsi="宋体" w:eastAsia="宋体"/>
                <w:sz w:val="16"/>
              </w:rPr>
              <w:t>2024年学校工作计划</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9FA51EF">
            <w:pPr>
              <w:jc w:val="center"/>
            </w:pPr>
            <w:r>
              <w:rPr>
                <w:rFonts w:ascii="宋体" w:hAnsi="宋体" w:eastAsia="宋体"/>
                <w:sz w:val="16"/>
              </w:rPr>
              <w:t>30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EE4F0A2">
            <w:pPr>
              <w:jc w:val="center"/>
            </w:pPr>
            <w:r>
              <w:rPr>
                <w:rFonts w:ascii="宋体" w:hAnsi="宋体" w:eastAsia="宋体"/>
                <w:sz w:val="16"/>
              </w:rPr>
              <w:t>1次</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FC5A4AB">
            <w:pPr>
              <w:jc w:val="center"/>
            </w:pPr>
            <w:r>
              <w:rPr>
                <w:rFonts w:ascii="宋体" w:hAnsi="宋体" w:eastAsia="宋体"/>
                <w:sz w:val="16"/>
              </w:rPr>
              <w:t>30</w:t>
            </w:r>
          </w:p>
        </w:tc>
      </w:tr>
      <w:tr w14:paraId="5FF8858B">
        <w:tblPrEx>
          <w:tblCellMar>
            <w:top w:w="0" w:type="dxa"/>
            <w:left w:w="108" w:type="dxa"/>
            <w:bottom w:w="0" w:type="dxa"/>
            <w:right w:w="108" w:type="dxa"/>
          </w:tblCellMar>
        </w:tblPrEx>
        <w:trPr>
          <w:trHeight w:val="832"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5570E19F"/>
        </w:tc>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2D0AE2FA"/>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DE8BC4D">
            <w:pPr>
              <w:jc w:val="center"/>
            </w:pPr>
            <w:r>
              <w:rPr>
                <w:rFonts w:ascii="宋体" w:hAnsi="宋体" w:eastAsia="宋体"/>
                <w:sz w:val="16"/>
              </w:rPr>
              <w:t>冬季培训种类</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77E1F93">
            <w:pPr>
              <w:jc w:val="center"/>
            </w:pPr>
            <w:r>
              <w:rPr>
                <w:rFonts w:ascii="宋体" w:hAnsi="宋体" w:eastAsia="宋体"/>
                <w:sz w:val="16"/>
              </w:rPr>
              <w:t>=4次</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E3D85AB">
            <w:pPr>
              <w:jc w:val="center"/>
            </w:pPr>
            <w:r>
              <w:rPr>
                <w:rFonts w:ascii="宋体" w:hAnsi="宋体" w:eastAsia="宋体"/>
                <w:sz w:val="16"/>
              </w:rPr>
              <w:t>2024年学校工作计划</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5B392C3">
            <w:pPr>
              <w:jc w:val="center"/>
            </w:pPr>
            <w:r>
              <w:rPr>
                <w:rFonts w:ascii="宋体" w:hAnsi="宋体" w:eastAsia="宋体"/>
                <w:sz w:val="16"/>
              </w:rPr>
              <w:t>30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6DCC1EF">
            <w:pPr>
              <w:jc w:val="center"/>
            </w:pPr>
            <w:r>
              <w:rPr>
                <w:rFonts w:ascii="宋体" w:hAnsi="宋体" w:eastAsia="宋体"/>
                <w:sz w:val="16"/>
              </w:rPr>
              <w:t>4种</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643337F">
            <w:pPr>
              <w:jc w:val="center"/>
            </w:pPr>
            <w:r>
              <w:rPr>
                <w:rFonts w:ascii="宋体" w:hAnsi="宋体" w:eastAsia="宋体"/>
                <w:sz w:val="16"/>
              </w:rPr>
              <w:t>30</w:t>
            </w:r>
          </w:p>
        </w:tc>
      </w:tr>
      <w:tr w14:paraId="09EEB86A">
        <w:tblPrEx>
          <w:tblCellMar>
            <w:top w:w="0" w:type="dxa"/>
            <w:left w:w="108" w:type="dxa"/>
            <w:bottom w:w="0" w:type="dxa"/>
            <w:right w:w="108" w:type="dxa"/>
          </w:tblCellMar>
        </w:tblPrEx>
        <w:trPr>
          <w:trHeight w:val="864" w:hRule="atLeast"/>
        </w:trPr>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1B2E13AA"/>
        </w:tc>
        <w:tc>
          <w:tcPr>
            <w:tcW w:w="1060" w:type="dxa"/>
            <w:vMerge w:val="continue"/>
            <w:tcBorders>
              <w:top w:val="single" w:color="auto" w:sz="10" w:space="0"/>
              <w:left w:val="single" w:color="auto" w:sz="10" w:space="0"/>
              <w:bottom w:val="single" w:color="auto" w:sz="10" w:space="0"/>
              <w:right w:val="single" w:color="auto" w:sz="10" w:space="0"/>
              <w:insideV w:val="single" w:sz="10" w:space="0"/>
            </w:tcBorders>
          </w:tcPr>
          <w:p w14:paraId="5CE85649"/>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8982587">
            <w:pPr>
              <w:jc w:val="center"/>
            </w:pPr>
            <w:r>
              <w:rPr>
                <w:rFonts w:ascii="宋体" w:hAnsi="宋体" w:eastAsia="宋体"/>
                <w:sz w:val="16"/>
              </w:rPr>
              <w:t>冬季培训人数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CEC5A1D">
            <w:pPr>
              <w:jc w:val="center"/>
            </w:pPr>
            <w:r>
              <w:rPr>
                <w:rFonts w:ascii="宋体" w:hAnsi="宋体" w:eastAsia="宋体"/>
                <w:sz w:val="16"/>
              </w:rPr>
              <w:t>&lt;=30人</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73FCC95">
            <w:pPr>
              <w:jc w:val="center"/>
            </w:pPr>
            <w:r>
              <w:rPr>
                <w:rFonts w:ascii="宋体" w:hAnsi="宋体" w:eastAsia="宋体"/>
                <w:sz w:val="16"/>
              </w:rPr>
              <w:t>2024年学校工作计划</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88E74A5">
            <w:pPr>
              <w:jc w:val="center"/>
            </w:pPr>
            <w:r>
              <w:rPr>
                <w:rFonts w:ascii="宋体" w:hAnsi="宋体" w:eastAsia="宋体"/>
                <w:sz w:val="16"/>
              </w:rPr>
              <w:t>30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3C268B35">
            <w:pPr>
              <w:jc w:val="center"/>
            </w:pPr>
            <w:r>
              <w:rPr>
                <w:rFonts w:ascii="宋体" w:hAnsi="宋体" w:eastAsia="宋体"/>
                <w:sz w:val="16"/>
              </w:rPr>
              <w:t>176</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9D7B429">
            <w:pPr>
              <w:jc w:val="center"/>
            </w:pPr>
            <w:r>
              <w:rPr>
                <w:rFonts w:ascii="宋体" w:hAnsi="宋体" w:eastAsia="宋体"/>
                <w:sz w:val="16"/>
              </w:rPr>
              <w:t>30</w:t>
            </w:r>
            <w:bookmarkStart w:id="0" w:name="_GoBack"/>
            <w:bookmarkEnd w:id="0"/>
          </w:p>
        </w:tc>
      </w:tr>
    </w:tbl>
    <w:p w14:paraId="07A81F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04E690C8">
        <w:tblPrEx>
          <w:tblCellMar>
            <w:top w:w="0" w:type="dxa"/>
            <w:left w:w="108" w:type="dxa"/>
            <w:bottom w:w="0" w:type="dxa"/>
            <w:right w:w="108" w:type="dxa"/>
          </w:tblCellMar>
        </w:tblPrEx>
        <w:tc>
          <w:tcPr>
            <w:tcW w:w="8848" w:type="dxa"/>
            <w:gridSpan w:val="14"/>
            <w:vAlign w:val="center"/>
          </w:tcPr>
          <w:p w14:paraId="5D2340FF">
            <w:pPr>
              <w:jc w:val="center"/>
            </w:pPr>
            <w:r>
              <w:rPr>
                <w:rFonts w:ascii="宋体" w:hAnsi="宋体" w:eastAsia="宋体"/>
                <w:sz w:val="24"/>
              </w:rPr>
              <w:t>项目支出绩效自评表</w:t>
            </w:r>
          </w:p>
        </w:tc>
      </w:tr>
      <w:tr w14:paraId="46C8FBB2">
        <w:tblPrEx>
          <w:tblCellMar>
            <w:top w:w="0" w:type="dxa"/>
            <w:left w:w="108" w:type="dxa"/>
            <w:bottom w:w="0" w:type="dxa"/>
            <w:right w:w="108" w:type="dxa"/>
          </w:tblCellMar>
        </w:tblPrEx>
        <w:tc>
          <w:tcPr>
            <w:tcW w:w="8848" w:type="dxa"/>
            <w:gridSpan w:val="14"/>
            <w:vAlign w:val="center"/>
          </w:tcPr>
          <w:p w14:paraId="337B3171">
            <w:pPr>
              <w:jc w:val="center"/>
            </w:pPr>
            <w:r>
              <w:rPr>
                <w:rFonts w:ascii="宋体" w:hAnsi="宋体" w:eastAsia="宋体"/>
                <w:sz w:val="24"/>
              </w:rPr>
              <w:t>(2024年度)</w:t>
            </w:r>
          </w:p>
        </w:tc>
      </w:tr>
      <w:tr w14:paraId="03D370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9E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BA33C4">
            <w:pPr>
              <w:jc w:val="center"/>
            </w:pPr>
            <w:r>
              <w:rPr>
                <w:rFonts w:ascii="宋体" w:hAnsi="宋体" w:eastAsia="宋体"/>
                <w:sz w:val="16"/>
              </w:rPr>
              <w:t>霍城县技工学校机电实训基地项目（自有资金）</w:t>
            </w:r>
          </w:p>
        </w:tc>
      </w:tr>
      <w:tr w14:paraId="7B83BA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8B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3DAAF">
            <w:pPr>
              <w:jc w:val="center"/>
            </w:pPr>
            <w:r>
              <w:rPr>
                <w:rFonts w:ascii="宋体" w:hAnsi="宋体" w:eastAsia="宋体"/>
                <w:sz w:val="16"/>
              </w:rPr>
              <w:t>霍城县技工学校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41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B4371">
            <w:pPr>
              <w:jc w:val="center"/>
            </w:pPr>
            <w:r>
              <w:rPr>
                <w:rFonts w:ascii="宋体" w:hAnsi="宋体" w:eastAsia="宋体"/>
                <w:sz w:val="16"/>
              </w:rPr>
              <w:t>霍城县技工学校</w:t>
            </w:r>
          </w:p>
        </w:tc>
      </w:tr>
      <w:tr w14:paraId="575509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5453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C4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63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93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9F7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CAE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ED6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6308">
            <w:pPr>
              <w:jc w:val="center"/>
            </w:pPr>
            <w:r>
              <w:rPr>
                <w:rFonts w:ascii="宋体" w:hAnsi="宋体" w:eastAsia="宋体"/>
                <w:sz w:val="16"/>
              </w:rPr>
              <w:t>得分</w:t>
            </w:r>
          </w:p>
        </w:tc>
      </w:tr>
      <w:tr w14:paraId="776CF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AA1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C5F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11E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2087D">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B2AD">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E0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287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57E6">
            <w:pPr>
              <w:jc w:val="center"/>
            </w:pPr>
            <w:r>
              <w:rPr>
                <w:rFonts w:ascii="宋体" w:hAnsi="宋体" w:eastAsia="宋体"/>
                <w:sz w:val="16"/>
              </w:rPr>
              <w:t>10.00</w:t>
            </w:r>
          </w:p>
        </w:tc>
      </w:tr>
      <w:tr w14:paraId="60A78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CE2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B68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C0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E7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50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27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07F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084D">
            <w:pPr>
              <w:jc w:val="center"/>
            </w:pPr>
            <w:r>
              <w:rPr>
                <w:rFonts w:ascii="宋体" w:hAnsi="宋体" w:eastAsia="宋体"/>
                <w:sz w:val="16"/>
              </w:rPr>
              <w:t>—</w:t>
            </w:r>
          </w:p>
        </w:tc>
      </w:tr>
      <w:tr w14:paraId="1A50D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325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F2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E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4A98C">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7A95">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EA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C6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F3BB">
            <w:pPr>
              <w:jc w:val="center"/>
            </w:pPr>
            <w:r>
              <w:rPr>
                <w:rFonts w:ascii="宋体" w:hAnsi="宋体" w:eastAsia="宋体"/>
                <w:sz w:val="16"/>
              </w:rPr>
              <w:t>—</w:t>
            </w:r>
          </w:p>
        </w:tc>
      </w:tr>
      <w:tr w14:paraId="198CF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F5B6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EA3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95A9E3">
            <w:pPr>
              <w:jc w:val="center"/>
            </w:pPr>
            <w:r>
              <w:rPr>
                <w:rFonts w:ascii="宋体" w:hAnsi="宋体" w:eastAsia="宋体"/>
                <w:sz w:val="16"/>
              </w:rPr>
              <w:t>实际完成情况</w:t>
            </w:r>
          </w:p>
        </w:tc>
      </w:tr>
      <w:tr w14:paraId="67FA6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4F7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9F2F2">
            <w:pPr>
              <w:jc w:val="both"/>
            </w:pPr>
            <w:r>
              <w:rPr>
                <w:rFonts w:ascii="宋体" w:hAnsi="宋体" w:eastAsia="宋体"/>
                <w:sz w:val="16"/>
              </w:rPr>
              <w:t>一、作为一所发展中的技工学校，能够结合新时期当地产业结构调整对高素质技能人才的需求，认真贯彻落实职业教育与技能培训“统筹规划、资源共享、集中投入、共同建设”的指导思路；二、优化专业结构，充实师资队伍，提高师资队伍水平；三、积极创造实训条件，突出该项目依托的专业优势，打牢办学核心基础，根据产业发展和区域经济发展要求，保持人才培养目标定位，改善专业教学实训条件，丰富专业建设内涵，增强产业服务能力，提高人才培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2F960">
            <w:pPr>
              <w:jc w:val="both"/>
            </w:pPr>
            <w:r>
              <w:rPr>
                <w:rFonts w:ascii="宋体" w:hAnsi="宋体" w:eastAsia="宋体"/>
                <w:sz w:val="16"/>
              </w:rPr>
              <w:t>新建了机电技术应用实训基地，机电技术应用实训是技工学校目前开设的机电技术应用和汽车运用与维修两个专业的重要教学形式。包含基础钳工实验室、装配与测绘实训室、设备装调实训室、电工电子实训室和切削加工见习实训室以及教师办公室、工量具及耗材仓库；实训基地能满足学校机电、汽修专业的中等技能的实习训练要求，基础钳工实训室还能承担钳工四级考工任务，电工电子实训室可以承担维修电工四级考工任务，测绘实训室可以满足机电机械、计算机等专业的机械零部件</w:t>
            </w:r>
            <w:r>
              <w:rPr>
                <w:rFonts w:hint="eastAsia" w:ascii="宋体" w:hAnsi="宋体"/>
                <w:sz w:val="16"/>
                <w:lang w:eastAsia="zh-CN"/>
              </w:rPr>
              <w:t>测绘</w:t>
            </w:r>
            <w:r>
              <w:rPr>
                <w:rFonts w:ascii="宋体" w:hAnsi="宋体" w:eastAsia="宋体"/>
                <w:sz w:val="16"/>
              </w:rPr>
              <w:t>与 CAD 成图技术的实训，还能担任平面设计与视频制作培训任务，目前项目已实施完成。</w:t>
            </w:r>
          </w:p>
        </w:tc>
      </w:tr>
      <w:tr w14:paraId="7CFED7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A07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2E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F9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E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87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C64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95C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E0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E7F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9F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E3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9B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29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EC3E">
            <w:pPr>
              <w:jc w:val="center"/>
            </w:pPr>
            <w:r>
              <w:rPr>
                <w:rFonts w:ascii="宋体" w:hAnsi="宋体" w:eastAsia="宋体"/>
                <w:sz w:val="16"/>
              </w:rPr>
              <w:t>偏差原因分析及改进措施</w:t>
            </w:r>
          </w:p>
        </w:tc>
      </w:tr>
      <w:tr w14:paraId="36FCD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92C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6A0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0F6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AADD">
            <w:pPr>
              <w:jc w:val="center"/>
            </w:pPr>
            <w:r>
              <w:rPr>
                <w:rFonts w:ascii="宋体" w:hAnsi="宋体" w:eastAsia="宋体"/>
                <w:sz w:val="16"/>
              </w:rPr>
              <w:t>购置设备安装房间数量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84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97D8">
            <w:pPr>
              <w:jc w:val="center"/>
            </w:pPr>
            <w:r>
              <w:rPr>
                <w:rFonts w:ascii="宋体" w:hAnsi="宋体" w:eastAsia="宋体"/>
                <w:sz w:val="16"/>
              </w:rPr>
              <w:t>=6间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2222">
            <w:pPr>
              <w:jc w:val="center"/>
            </w:pPr>
            <w:r>
              <w:rPr>
                <w:rFonts w:ascii="宋体" w:hAnsi="宋体" w:eastAsia="宋体"/>
                <w:sz w:val="16"/>
              </w:rPr>
              <w:t>6间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8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96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2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F1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7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A2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EADB">
            <w:pPr>
              <w:jc w:val="center"/>
            </w:pPr>
          </w:p>
        </w:tc>
      </w:tr>
      <w:tr w14:paraId="57820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A4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99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3C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9ED3">
            <w:pPr>
              <w:jc w:val="center"/>
            </w:pPr>
            <w:r>
              <w:rPr>
                <w:rFonts w:ascii="宋体" w:hAnsi="宋体" w:eastAsia="宋体"/>
                <w:sz w:val="16"/>
              </w:rPr>
              <w:t>配套</w:t>
            </w:r>
            <w:r>
              <w:rPr>
                <w:rFonts w:hint="eastAsia" w:ascii="宋体" w:hAnsi="宋体"/>
                <w:sz w:val="16"/>
                <w:lang w:eastAsia="zh-CN"/>
              </w:rPr>
              <w:t>施教</w:t>
            </w:r>
            <w:r>
              <w:rPr>
                <w:rFonts w:ascii="宋体" w:hAnsi="宋体" w:eastAsia="宋体"/>
                <w:sz w:val="16"/>
              </w:rPr>
              <w:t>设备及安装材料批次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97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1C5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E2A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0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4A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2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AB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8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C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1D9B">
            <w:pPr>
              <w:jc w:val="center"/>
            </w:pPr>
          </w:p>
        </w:tc>
      </w:tr>
      <w:tr w14:paraId="586CA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38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CC3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DAF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24AA">
            <w:pPr>
              <w:jc w:val="center"/>
            </w:pPr>
            <w:r>
              <w:rPr>
                <w:rFonts w:ascii="宋体" w:hAnsi="宋体" w:eastAsia="宋体"/>
                <w:sz w:val="16"/>
              </w:rPr>
              <w:t>购置设备质量合格率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3B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3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5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2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4D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80A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44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FB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07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4D19">
            <w:pPr>
              <w:jc w:val="center"/>
            </w:pPr>
          </w:p>
        </w:tc>
      </w:tr>
      <w:tr w14:paraId="77979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92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34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F6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82D3">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DD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F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5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8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6F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4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6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C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0E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9C16">
            <w:pPr>
              <w:jc w:val="center"/>
            </w:pPr>
          </w:p>
        </w:tc>
      </w:tr>
      <w:tr w14:paraId="399CF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49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F1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21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4BCA">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27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3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5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B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79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C8A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E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4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AD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5FA7">
            <w:pPr>
              <w:jc w:val="center"/>
            </w:pPr>
          </w:p>
        </w:tc>
      </w:tr>
      <w:tr w14:paraId="3D2E3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7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7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A3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9CF5">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E7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1A95">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89E1">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91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43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4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7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CD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98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DADB">
            <w:pPr>
              <w:jc w:val="center"/>
            </w:pPr>
          </w:p>
        </w:tc>
      </w:tr>
      <w:tr w14:paraId="2481C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512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32D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97B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2FD2">
            <w:pPr>
              <w:jc w:val="center"/>
            </w:pPr>
            <w:r>
              <w:rPr>
                <w:rFonts w:ascii="宋体" w:hAnsi="宋体" w:eastAsia="宋体"/>
                <w:sz w:val="16"/>
              </w:rPr>
              <w:t>设备购置及安装成本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7E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9256">
            <w:pPr>
              <w:jc w:val="center"/>
            </w:pPr>
            <w:r>
              <w:rPr>
                <w:rFonts w:ascii="宋体" w:hAnsi="宋体" w:eastAsia="宋体"/>
                <w:sz w:val="16"/>
              </w:rPr>
              <w:t>&lt;=74.17万元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396D">
            <w:pPr>
              <w:jc w:val="center"/>
            </w:pPr>
            <w:r>
              <w:rPr>
                <w:rFonts w:ascii="宋体" w:hAnsi="宋体" w:eastAsia="宋体"/>
                <w:sz w:val="16"/>
              </w:rPr>
              <w:t>74.17万元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5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4B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E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3C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2E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CB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72CE">
            <w:pPr>
              <w:jc w:val="center"/>
            </w:pPr>
          </w:p>
        </w:tc>
      </w:tr>
      <w:tr w14:paraId="65BA1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1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18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38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801F">
            <w:pPr>
              <w:jc w:val="center"/>
            </w:pPr>
            <w:r>
              <w:rPr>
                <w:rFonts w:ascii="宋体" w:hAnsi="宋体" w:eastAsia="宋体"/>
                <w:sz w:val="16"/>
              </w:rPr>
              <w:t>视教设备安装及材料成本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0B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8B92">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FA11">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E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2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7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A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4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61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88B0">
            <w:pPr>
              <w:jc w:val="center"/>
            </w:pPr>
          </w:p>
        </w:tc>
      </w:tr>
      <w:tr w14:paraId="372E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4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CD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20D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B42A">
            <w:pPr>
              <w:jc w:val="center"/>
            </w:pPr>
            <w:r>
              <w:rPr>
                <w:rFonts w:ascii="宋体" w:hAnsi="宋体" w:eastAsia="宋体"/>
                <w:sz w:val="16"/>
              </w:rPr>
              <w:t>技工学校教师队伍建设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5F8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84D9">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D21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B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3E0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CE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43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13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7C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33EF">
            <w:pPr>
              <w:jc w:val="center"/>
            </w:pPr>
          </w:p>
        </w:tc>
      </w:tr>
      <w:tr w14:paraId="177D147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4306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4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1B9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7219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7D1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EF3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0F8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79D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1B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29B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52779"/>
        </w:tc>
      </w:tr>
    </w:tbl>
    <w:p w14:paraId="58A7E3C8">
      <w:r>
        <w:br w:type="page"/>
      </w:r>
    </w:p>
    <w:p w14:paraId="4101DFE9">
      <w:pPr>
        <w:spacing w:line="640" w:lineRule="exact"/>
        <w:ind w:firstLine="640"/>
        <w:jc w:val="both"/>
        <w:outlineLvl w:val="2"/>
      </w:pPr>
      <w:r>
        <w:rPr>
          <w:rFonts w:ascii="黑体" w:hAnsi="黑体" w:eastAsia="黑体"/>
          <w:sz w:val="32"/>
        </w:rPr>
        <w:t>十二、其他需说明的事项</w:t>
      </w:r>
    </w:p>
    <w:p w14:paraId="6AC1351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31DE27E">
      <w:r>
        <w:br w:type="page"/>
      </w:r>
    </w:p>
    <w:p w14:paraId="501DB706">
      <w:pPr>
        <w:spacing w:line="240" w:lineRule="auto"/>
        <w:jc w:val="center"/>
        <w:outlineLvl w:val="1"/>
      </w:pPr>
      <w:r>
        <w:rPr>
          <w:rFonts w:ascii="黑体" w:hAnsi="黑体" w:eastAsia="黑体"/>
          <w:sz w:val="32"/>
        </w:rPr>
        <w:t>第三部分 专业名词解释</w:t>
      </w:r>
    </w:p>
    <w:p w14:paraId="2CA0869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6B1B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F376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7BAE86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571D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D229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6AE25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2A40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FC358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0FC74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6438C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888E9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D2ED6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CBDCC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ADA2F52">
      <w:r>
        <w:br w:type="page"/>
      </w:r>
    </w:p>
    <w:p w14:paraId="263296EF">
      <w:pPr>
        <w:spacing w:line="240" w:lineRule="auto"/>
        <w:jc w:val="center"/>
        <w:outlineLvl w:val="1"/>
      </w:pPr>
      <w:r>
        <w:rPr>
          <w:rFonts w:ascii="黑体" w:hAnsi="黑体" w:eastAsia="黑体"/>
          <w:sz w:val="32"/>
        </w:rPr>
        <w:t>第四部分 部门决算报表（见附表）</w:t>
      </w:r>
    </w:p>
    <w:p w14:paraId="07AF8145">
      <w:pPr>
        <w:spacing w:line="240" w:lineRule="auto"/>
        <w:ind w:firstLine="640"/>
        <w:jc w:val="both"/>
      </w:pPr>
      <w:r>
        <w:rPr>
          <w:rFonts w:ascii="仿宋_GB2312" w:hAnsi="仿宋_GB2312" w:eastAsia="仿宋_GB2312"/>
          <w:b w:val="0"/>
          <w:sz w:val="32"/>
        </w:rPr>
        <w:t>一、《收入支出决算总表》</w:t>
      </w:r>
    </w:p>
    <w:p w14:paraId="32133397">
      <w:pPr>
        <w:spacing w:line="240" w:lineRule="auto"/>
        <w:ind w:firstLine="640"/>
        <w:jc w:val="both"/>
      </w:pPr>
      <w:r>
        <w:rPr>
          <w:rFonts w:ascii="仿宋_GB2312" w:hAnsi="仿宋_GB2312" w:eastAsia="仿宋_GB2312"/>
          <w:b w:val="0"/>
          <w:sz w:val="32"/>
        </w:rPr>
        <w:t>二、《收入决算表》</w:t>
      </w:r>
    </w:p>
    <w:p w14:paraId="61994478">
      <w:pPr>
        <w:spacing w:line="240" w:lineRule="auto"/>
        <w:ind w:firstLine="640"/>
        <w:jc w:val="both"/>
      </w:pPr>
      <w:r>
        <w:rPr>
          <w:rFonts w:ascii="仿宋_GB2312" w:hAnsi="仿宋_GB2312" w:eastAsia="仿宋_GB2312"/>
          <w:b w:val="0"/>
          <w:sz w:val="32"/>
        </w:rPr>
        <w:t>三、《支出决算表》</w:t>
      </w:r>
    </w:p>
    <w:p w14:paraId="5C3B4BD7">
      <w:pPr>
        <w:spacing w:line="240" w:lineRule="auto"/>
        <w:ind w:firstLine="640"/>
        <w:jc w:val="both"/>
      </w:pPr>
      <w:r>
        <w:rPr>
          <w:rFonts w:ascii="仿宋_GB2312" w:hAnsi="仿宋_GB2312" w:eastAsia="仿宋_GB2312"/>
          <w:b w:val="0"/>
          <w:sz w:val="32"/>
        </w:rPr>
        <w:t>四、《财政拨款收入支出决算总表》</w:t>
      </w:r>
    </w:p>
    <w:p w14:paraId="0814CDCC">
      <w:pPr>
        <w:spacing w:line="240" w:lineRule="auto"/>
        <w:ind w:firstLine="640"/>
        <w:jc w:val="both"/>
      </w:pPr>
      <w:r>
        <w:rPr>
          <w:rFonts w:ascii="仿宋_GB2312" w:hAnsi="仿宋_GB2312" w:eastAsia="仿宋_GB2312"/>
          <w:b w:val="0"/>
          <w:sz w:val="32"/>
        </w:rPr>
        <w:t>五、《一般公共预算财政拨款支出决算表》</w:t>
      </w:r>
    </w:p>
    <w:p w14:paraId="23610807">
      <w:pPr>
        <w:spacing w:line="240" w:lineRule="auto"/>
        <w:ind w:firstLine="640"/>
        <w:jc w:val="both"/>
      </w:pPr>
      <w:r>
        <w:rPr>
          <w:rFonts w:ascii="仿宋_GB2312" w:hAnsi="仿宋_GB2312" w:eastAsia="仿宋_GB2312"/>
          <w:b w:val="0"/>
          <w:sz w:val="32"/>
        </w:rPr>
        <w:t>六、《一般公共预算财政拨款基本支出决算表》</w:t>
      </w:r>
    </w:p>
    <w:p w14:paraId="3EEE20B1">
      <w:pPr>
        <w:spacing w:line="240" w:lineRule="auto"/>
        <w:ind w:firstLine="640"/>
        <w:jc w:val="both"/>
      </w:pPr>
      <w:r>
        <w:rPr>
          <w:rFonts w:ascii="仿宋_GB2312" w:hAnsi="仿宋_GB2312" w:eastAsia="仿宋_GB2312"/>
          <w:b w:val="0"/>
          <w:sz w:val="32"/>
        </w:rPr>
        <w:t>七、《政府性基金预算财政拨款收入支出决算表》</w:t>
      </w:r>
    </w:p>
    <w:p w14:paraId="111C44D3">
      <w:pPr>
        <w:spacing w:line="240" w:lineRule="auto"/>
        <w:ind w:firstLine="640"/>
        <w:jc w:val="both"/>
      </w:pPr>
      <w:r>
        <w:rPr>
          <w:rFonts w:ascii="仿宋_GB2312" w:hAnsi="仿宋_GB2312" w:eastAsia="仿宋_GB2312"/>
          <w:b w:val="0"/>
          <w:sz w:val="32"/>
        </w:rPr>
        <w:t>八、《国有资本经营预算财政拨款收入支出决算表》</w:t>
      </w:r>
    </w:p>
    <w:p w14:paraId="7B83E0FD">
      <w:pPr>
        <w:spacing w:line="240" w:lineRule="auto"/>
        <w:ind w:firstLine="640"/>
        <w:jc w:val="both"/>
      </w:pPr>
      <w:r>
        <w:rPr>
          <w:rFonts w:ascii="仿宋_GB2312" w:hAnsi="仿宋_GB2312" w:eastAsia="仿宋_GB2312"/>
          <w:b w:val="0"/>
          <w:sz w:val="32"/>
        </w:rPr>
        <w:t>九、《财政拨款“三公”经费支出决算表》</w:t>
      </w:r>
    </w:p>
    <w:p w14:paraId="63A369E6">
      <w:pPr>
        <w:spacing w:line="240" w:lineRule="auto"/>
        <w:ind w:firstLine="640"/>
        <w:jc w:val="both"/>
      </w:pPr>
    </w:p>
    <w:p w14:paraId="160C2440">
      <w:pPr>
        <w:spacing w:line="240" w:lineRule="auto"/>
        <w:ind w:firstLine="640"/>
        <w:jc w:val="both"/>
      </w:pPr>
    </w:p>
    <w:p w14:paraId="24A41669">
      <w:pPr>
        <w:spacing w:line="240" w:lineRule="auto"/>
        <w:ind w:firstLine="640"/>
        <w:jc w:val="both"/>
      </w:pPr>
    </w:p>
    <w:p w14:paraId="3B7C9501">
      <w:pPr>
        <w:spacing w:line="240" w:lineRule="auto"/>
        <w:ind w:firstLine="640"/>
        <w:jc w:val="both"/>
      </w:pPr>
    </w:p>
    <w:p w14:paraId="6F1AD5B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4238E0-47A1-4D50-8CCF-46C1B3F91F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C11EF5EF-28DD-4DB9-A6E4-4EAE9F2DECA2}"/>
  </w:font>
  <w:font w:name="楷体_GB2312">
    <w:panose1 w:val="02010609030101010101"/>
    <w:charset w:val="86"/>
    <w:family w:val="auto"/>
    <w:pitch w:val="default"/>
    <w:sig w:usb0="00000001" w:usb1="080E0000" w:usb2="00000000" w:usb3="00000000" w:csb0="00040000" w:csb1="00000000"/>
    <w:embedRegular r:id="rId3" w:fontKey="{3FC358D7-B90C-472D-87DC-02A9A424A7EF}"/>
  </w:font>
  <w:font w:name="方正小标宋_GBK">
    <w:panose1 w:val="02000000000000000000"/>
    <w:charset w:val="86"/>
    <w:family w:val="script"/>
    <w:pitch w:val="default"/>
    <w:sig w:usb0="A00002BF" w:usb1="38CF7CFA" w:usb2="00082016" w:usb3="00000000" w:csb0="00040001" w:csb1="00000000"/>
    <w:embedRegular r:id="rId4" w:fontKey="{F3F2C5E7-7429-4372-83C2-FF2EA18A6A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A70605"/>
    <w:rsid w:val="62DD7D21"/>
    <w:rsid w:val="65C3108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4591</Words>
  <Characters>5280</Characters>
  <Lines>0</Lines>
  <Paragraphs>0</Paragraphs>
  <TotalTime>6</TotalTime>
  <ScaleCrop>false</ScaleCrop>
  <LinksUpToDate>false</LinksUpToDate>
  <CharactersWithSpaces>5288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