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82B787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霍城县惠远镇则徐中心学校2024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863603">
      <w:r>
        <w:br w:type="page"/>
      </w:r>
    </w:p>
    <w:p w14:paraId="66B52B7B">
      <w:pPr>
        <w:spacing w:line="640" w:lineRule="exact"/>
        <w:jc w:val="center"/>
        <w:outlineLvl w:val="1"/>
      </w:pPr>
      <w:r>
        <w:rPr>
          <w:rFonts w:ascii="黑体" w:hAnsi="黑体" w:eastAsia="黑体"/>
          <w:sz w:val="32"/>
        </w:rPr>
        <w:t>第一部分 单位概况</w:t>
      </w:r>
    </w:p>
    <w:p w14:paraId="5A45C109">
      <w:pPr>
        <w:spacing w:line="640" w:lineRule="exact"/>
        <w:ind w:firstLine="640"/>
        <w:jc w:val="both"/>
        <w:outlineLvl w:val="2"/>
      </w:pPr>
      <w:r>
        <w:rPr>
          <w:rFonts w:ascii="黑体" w:hAnsi="黑体" w:eastAsia="黑体"/>
          <w:sz w:val="32"/>
        </w:rPr>
        <w:t>一、主要职能</w:t>
      </w:r>
    </w:p>
    <w:p w14:paraId="148BFBC3">
      <w:pPr>
        <w:spacing w:line="580" w:lineRule="exact"/>
        <w:ind w:firstLine="640"/>
        <w:jc w:val="both"/>
      </w:pPr>
      <w:r>
        <w:rPr>
          <w:rFonts w:ascii="仿宋_GB2312" w:hAnsi="仿宋_GB2312" w:eastAsia="仿宋_GB2312"/>
          <w:sz w:val="32"/>
        </w:rPr>
        <w:t>(1)宣传贯彻执行党和国家的教育方针、政策、法律法规等，坚持依法治教、依法治学，贯彻执行霍城县教育局的行政规章制度。</w:t>
      </w:r>
    </w:p>
    <w:p w14:paraId="1EE4AF56">
      <w:pPr>
        <w:spacing w:line="580" w:lineRule="exact"/>
        <w:ind w:firstLine="640"/>
        <w:jc w:val="both"/>
      </w:pPr>
      <w:r>
        <w:rPr>
          <w:rFonts w:ascii="仿宋_GB2312" w:hAnsi="仿宋_GB2312" w:eastAsia="仿宋_GB2312"/>
          <w:sz w:val="32"/>
        </w:rPr>
        <w:t>(2)组织开展本学区的教育教学科研和教育教学改革，科研兴教，科研兴校。负责对本学区教育教学业务的具体管理，负责教育教学管理及教研教改工作，全力推进素质教育实施。</w:t>
      </w:r>
    </w:p>
    <w:p w14:paraId="194B61D3">
      <w:pPr>
        <w:spacing w:line="580" w:lineRule="exact"/>
        <w:ind w:firstLine="640"/>
        <w:jc w:val="both"/>
      </w:pPr>
      <w:r>
        <w:rPr>
          <w:rFonts w:ascii="仿宋_GB2312" w:hAnsi="仿宋_GB2312" w:eastAsia="仿宋_GB2312"/>
          <w:sz w:val="32"/>
        </w:rPr>
        <w:t>(3)按照教师的职数、编制和管理权限，制定切实可行的学校工作规章制度，以提高教育教学质量为目的，负责本学区教师人事管理、继续教育、考核考评等工作。</w:t>
      </w:r>
    </w:p>
    <w:p w14:paraId="11266CA7">
      <w:pPr>
        <w:spacing w:line="580" w:lineRule="exact"/>
        <w:ind w:firstLine="640"/>
        <w:jc w:val="both"/>
      </w:pPr>
      <w:r>
        <w:rPr>
          <w:rFonts w:ascii="仿宋_GB2312" w:hAnsi="仿宋_GB2312" w:eastAsia="仿宋_GB2312"/>
          <w:sz w:val="32"/>
        </w:rPr>
        <w:t>(4)负责本学区财务管理，改善办学条件等工作，为师生提供优美和谐的学习和工作环境;核算和发放教职工工资，维护教职工利益，保障教职工合法权益。</w:t>
      </w:r>
    </w:p>
    <w:p w14:paraId="7750D2B3">
      <w:pPr>
        <w:spacing w:line="580" w:lineRule="exact"/>
        <w:ind w:firstLine="640"/>
        <w:jc w:val="both"/>
      </w:pPr>
      <w:r>
        <w:rPr>
          <w:rFonts w:ascii="仿宋_GB2312" w:hAnsi="仿宋_GB2312" w:eastAsia="仿宋_GB2312"/>
          <w:sz w:val="32"/>
        </w:rPr>
        <w:t>(5)建立健全学生学籍管理制度，按教育部颁布的规定管理学生学籍，建立学生档案。</w:t>
      </w:r>
    </w:p>
    <w:p w14:paraId="33E2B76D">
      <w:pPr>
        <w:spacing w:line="640" w:lineRule="exact"/>
        <w:ind w:firstLine="640"/>
        <w:jc w:val="both"/>
        <w:outlineLvl w:val="2"/>
      </w:pPr>
      <w:r>
        <w:rPr>
          <w:rFonts w:ascii="黑体" w:hAnsi="黑体" w:eastAsia="黑体"/>
          <w:sz w:val="32"/>
        </w:rPr>
        <w:t>二、机构设置及人员情况</w:t>
      </w:r>
    </w:p>
    <w:p w14:paraId="0D131835">
      <w:pPr>
        <w:spacing w:line="580" w:lineRule="exact"/>
        <w:ind w:firstLine="640"/>
        <w:jc w:val="both"/>
      </w:pPr>
      <w:r>
        <w:rPr>
          <w:rFonts w:ascii="仿宋_GB2312" w:hAnsi="仿宋_GB2312" w:eastAsia="仿宋_GB2312"/>
          <w:sz w:val="32"/>
        </w:rPr>
        <w:t>霍城县惠远镇则徐中心学校2024年度，实有人数373人，其中：在职人员242人，减少65人；离休人员0人，增加0人；退休人员131人,增加5人。</w:t>
      </w:r>
    </w:p>
    <w:p w14:paraId="42AFF1DC">
      <w:pPr>
        <w:spacing w:line="580" w:lineRule="exact"/>
        <w:ind w:firstLine="640"/>
        <w:jc w:val="both"/>
      </w:pPr>
      <w:r>
        <w:rPr>
          <w:rFonts w:ascii="仿宋_GB2312" w:hAnsi="仿宋_GB2312" w:eastAsia="仿宋_GB2312"/>
          <w:sz w:val="32"/>
        </w:rPr>
        <w:t>霍城县惠远镇则徐中心学校无下属预算单位，下设9个科室，分别是：党政办公室、教务处、政教处、平安办、总务处、财务室、1和2年级组、3和4年级组、5和6年级组。</w:t>
      </w:r>
    </w:p>
    <w:p w14:paraId="4A55B686">
      <w:r>
        <w:br w:type="page"/>
      </w:r>
    </w:p>
    <w:p w14:paraId="30917800">
      <w:pPr>
        <w:spacing w:line="240" w:lineRule="auto"/>
        <w:jc w:val="center"/>
        <w:outlineLvl w:val="1"/>
      </w:pPr>
      <w:r>
        <w:rPr>
          <w:rFonts w:ascii="黑体" w:hAnsi="黑体" w:eastAsia="黑体"/>
          <w:sz w:val="32"/>
        </w:rPr>
        <w:t>第二部分 部门决算情况说明</w:t>
      </w:r>
    </w:p>
    <w:p w14:paraId="564F2D40">
      <w:pPr>
        <w:spacing w:line="640" w:lineRule="exact"/>
        <w:ind w:firstLine="640"/>
        <w:jc w:val="both"/>
        <w:outlineLvl w:val="2"/>
      </w:pPr>
      <w:r>
        <w:rPr>
          <w:rFonts w:ascii="黑体" w:hAnsi="黑体" w:eastAsia="黑体"/>
          <w:sz w:val="32"/>
        </w:rPr>
        <w:t>一、收入支出决算总体情况说明</w:t>
      </w:r>
    </w:p>
    <w:p w14:paraId="4437C3C7">
      <w:pPr>
        <w:spacing w:line="580" w:lineRule="exact"/>
        <w:ind w:firstLine="640"/>
        <w:jc w:val="both"/>
      </w:pPr>
      <w:r>
        <w:rPr>
          <w:rFonts w:ascii="仿宋_GB2312" w:hAnsi="仿宋_GB2312" w:eastAsia="仿宋_GB2312"/>
          <w:b/>
          <w:sz w:val="32"/>
        </w:rPr>
        <w:t>2024年度收入总计4,988.44万元，</w:t>
      </w:r>
      <w:r>
        <w:rPr>
          <w:rFonts w:ascii="仿宋_GB2312" w:hAnsi="仿宋_GB2312" w:eastAsia="仿宋_GB2312"/>
          <w:b w:val="0"/>
          <w:sz w:val="32"/>
        </w:rPr>
        <w:t>其中：本年收入合计4,988.44万元，使用非财政拨款结余（含专用结余）0.00万元，年初结转和结余0.00万元。</w:t>
      </w:r>
    </w:p>
    <w:p w14:paraId="7A007139">
      <w:pPr>
        <w:spacing w:line="580" w:lineRule="exact"/>
        <w:ind w:firstLine="640"/>
        <w:jc w:val="both"/>
      </w:pPr>
      <w:r>
        <w:rPr>
          <w:rFonts w:ascii="仿宋_GB2312" w:hAnsi="仿宋_GB2312" w:eastAsia="仿宋_GB2312"/>
          <w:b/>
          <w:sz w:val="32"/>
        </w:rPr>
        <w:t>2024年度支出总计4,988.44万元，</w:t>
      </w:r>
      <w:r>
        <w:rPr>
          <w:rFonts w:ascii="仿宋_GB2312" w:hAnsi="仿宋_GB2312" w:eastAsia="仿宋_GB2312"/>
          <w:b w:val="0"/>
          <w:sz w:val="32"/>
        </w:rPr>
        <w:t>其中：本年支出合计4,988.44万元，结余分配0.00万元，年末结转和结余0.00万元。</w:t>
      </w:r>
    </w:p>
    <w:p w14:paraId="72E15BB6">
      <w:pPr>
        <w:spacing w:line="580" w:lineRule="exact"/>
        <w:ind w:firstLine="640"/>
        <w:jc w:val="both"/>
      </w:pPr>
      <w:r>
        <w:rPr>
          <w:rFonts w:ascii="仿宋_GB2312" w:hAnsi="仿宋_GB2312" w:eastAsia="仿宋_GB2312"/>
          <w:b w:val="0"/>
          <w:sz w:val="32"/>
        </w:rPr>
        <w:t>收入支出总体与上年相比，减少997.87万元，下降16.67%，主要原因是：根据教育资源教师结构调整，2024年初调整55名教师到其他学校任教，在职人员减少，相应支出减少；本年度未安排继续教育支出和国有企业职教幼教待遇补助支出、圆舍维修项目。</w:t>
      </w:r>
    </w:p>
    <w:p w14:paraId="5AC081FE">
      <w:pPr>
        <w:spacing w:line="640" w:lineRule="exact"/>
        <w:ind w:firstLine="640"/>
        <w:jc w:val="both"/>
        <w:outlineLvl w:val="2"/>
      </w:pPr>
      <w:r>
        <w:rPr>
          <w:rFonts w:ascii="黑体" w:hAnsi="黑体" w:eastAsia="黑体"/>
          <w:sz w:val="32"/>
        </w:rPr>
        <w:t>二、收入决算情况说明</w:t>
      </w:r>
    </w:p>
    <w:p w14:paraId="548F9A1C">
      <w:pPr>
        <w:spacing w:line="580" w:lineRule="exact"/>
        <w:ind w:firstLine="640"/>
        <w:jc w:val="both"/>
      </w:pPr>
      <w:r>
        <w:rPr>
          <w:rFonts w:ascii="仿宋_GB2312" w:hAnsi="仿宋_GB2312" w:eastAsia="仿宋_GB2312"/>
          <w:b/>
          <w:sz w:val="32"/>
        </w:rPr>
        <w:t>本年收入4,988.44万元，</w:t>
      </w:r>
      <w:r>
        <w:rPr>
          <w:rFonts w:ascii="仿宋_GB2312" w:hAnsi="仿宋_GB2312" w:eastAsia="仿宋_GB2312"/>
          <w:b w:val="0"/>
          <w:sz w:val="32"/>
        </w:rPr>
        <w:t>其中：财政拨款收入4,988.44万元，占100.00%；上级补助收入0.00万元，占0.00%；事业收入0.00万元，占0.00%；经营收入0.00万元，占0.00%；附属单位上缴收入0.00万元，占0.00%；其他收入0.00万元，占0.00%。</w:t>
      </w:r>
    </w:p>
    <w:p w14:paraId="31342476">
      <w:pPr>
        <w:spacing w:line="640" w:lineRule="exact"/>
        <w:ind w:firstLine="640"/>
        <w:jc w:val="both"/>
        <w:outlineLvl w:val="2"/>
      </w:pPr>
      <w:r>
        <w:rPr>
          <w:rFonts w:ascii="黑体" w:hAnsi="黑体" w:eastAsia="黑体"/>
          <w:sz w:val="32"/>
        </w:rPr>
        <w:t>三、支出决算情况说明</w:t>
      </w:r>
    </w:p>
    <w:p w14:paraId="7D08BB7B">
      <w:pPr>
        <w:spacing w:line="580" w:lineRule="exact"/>
        <w:ind w:firstLine="640"/>
        <w:jc w:val="both"/>
      </w:pPr>
      <w:r>
        <w:rPr>
          <w:rFonts w:ascii="仿宋_GB2312" w:hAnsi="仿宋_GB2312" w:eastAsia="仿宋_GB2312"/>
          <w:b/>
          <w:sz w:val="32"/>
        </w:rPr>
        <w:t>本年支出4,988.44万元，</w:t>
      </w:r>
      <w:r>
        <w:rPr>
          <w:rFonts w:ascii="仿宋_GB2312" w:hAnsi="仿宋_GB2312" w:eastAsia="仿宋_GB2312"/>
          <w:b w:val="0"/>
          <w:sz w:val="32"/>
        </w:rPr>
        <w:t>其中：基本支出4,988.44万元，占100.00%；项目支出0.00万元，占0.00%；上缴上级支出0.00万元，占0.00%；经营支出0.00万元，占0.00%；对附属单位补助支出0.00万元，占0.00%。</w:t>
      </w:r>
    </w:p>
    <w:p w14:paraId="44E2440C">
      <w:pPr>
        <w:spacing w:line="640" w:lineRule="exact"/>
        <w:ind w:firstLine="640"/>
        <w:jc w:val="both"/>
        <w:outlineLvl w:val="2"/>
      </w:pPr>
      <w:r>
        <w:rPr>
          <w:rFonts w:ascii="黑体" w:hAnsi="黑体" w:eastAsia="黑体"/>
          <w:sz w:val="32"/>
        </w:rPr>
        <w:t>四、财政拨款收入支出决算总体情况说明</w:t>
      </w:r>
    </w:p>
    <w:p w14:paraId="08C09598">
      <w:pPr>
        <w:spacing w:line="580" w:lineRule="exact"/>
        <w:ind w:firstLine="640"/>
        <w:jc w:val="both"/>
      </w:pPr>
      <w:r>
        <w:rPr>
          <w:rFonts w:ascii="仿宋_GB2312" w:hAnsi="仿宋_GB2312" w:eastAsia="仿宋_GB2312"/>
          <w:b/>
          <w:sz w:val="32"/>
        </w:rPr>
        <w:t>2024年度财政拨款收入总计4,988.44万元，</w:t>
      </w:r>
      <w:r>
        <w:rPr>
          <w:rFonts w:ascii="仿宋_GB2312" w:hAnsi="仿宋_GB2312" w:eastAsia="仿宋_GB2312"/>
          <w:b w:val="0"/>
          <w:sz w:val="32"/>
        </w:rPr>
        <w:t>其中：年初财政拨款结转和结余0.00万元，本年财政拨款收入4,988.44万元。</w:t>
      </w:r>
      <w:r>
        <w:rPr>
          <w:rFonts w:ascii="仿宋_GB2312" w:hAnsi="仿宋_GB2312" w:eastAsia="仿宋_GB2312"/>
          <w:b/>
          <w:sz w:val="32"/>
        </w:rPr>
        <w:t>财政拨款支出总计4,988.44万元，</w:t>
      </w:r>
      <w:r>
        <w:rPr>
          <w:rFonts w:ascii="仿宋_GB2312" w:hAnsi="仿宋_GB2312" w:eastAsia="仿宋_GB2312"/>
          <w:b w:val="0"/>
          <w:sz w:val="32"/>
        </w:rPr>
        <w:t>其中：年末财政拨款结转和结余0.00万元，本年财政拨款支出4,988.44万元。</w:t>
      </w:r>
    </w:p>
    <w:p w14:paraId="33C2E4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997.55万元，下降16.66%，主要原因是：根据教育资源教师结构调整，2024年初调整55名教师到其他学校任教，在职人员减少，相应支出减少；本年度未安排继续教育支出和国有企业职教幼教待遇补助支出、圆舍维修项目。</w:t>
      </w:r>
      <w:r>
        <w:rPr>
          <w:rFonts w:ascii="仿宋_GB2312" w:hAnsi="仿宋_GB2312" w:eastAsia="仿宋_GB2312"/>
          <w:b/>
          <w:sz w:val="32"/>
        </w:rPr>
        <w:t>与年初预算相比，</w:t>
      </w:r>
      <w:r>
        <w:rPr>
          <w:rFonts w:ascii="仿宋_GB2312" w:hAnsi="仿宋_GB2312" w:eastAsia="仿宋_GB2312"/>
          <w:b w:val="0"/>
          <w:sz w:val="32"/>
        </w:rPr>
        <w:t>年初预算数5,602.79万元，决算数4,988.44万元，预决算差异率-10.97%，主要原因是：根据教育资源教师结构调整，2024年初调整55名义务教育教师到其他学校任教，本年在职人员减少，年中调减人员经费，导致预决算存在差异。</w:t>
      </w:r>
    </w:p>
    <w:p w14:paraId="6116A34E">
      <w:pPr>
        <w:spacing w:line="640" w:lineRule="exact"/>
        <w:ind w:firstLine="640"/>
        <w:jc w:val="both"/>
        <w:outlineLvl w:val="2"/>
      </w:pPr>
      <w:r>
        <w:rPr>
          <w:rFonts w:ascii="黑体" w:hAnsi="黑体" w:eastAsia="黑体"/>
          <w:sz w:val="32"/>
        </w:rPr>
        <w:t>五、一般公共预算财政拨款支出决算情况说明</w:t>
      </w:r>
    </w:p>
    <w:p w14:paraId="22D99DC4">
      <w:pPr>
        <w:spacing w:line="640" w:lineRule="exact"/>
        <w:ind w:firstLine="640"/>
        <w:jc w:val="both"/>
        <w:outlineLvl w:val="3"/>
      </w:pPr>
      <w:r>
        <w:rPr>
          <w:rFonts w:ascii="楷体_GB2312" w:hAnsi="楷体_GB2312" w:eastAsia="楷体_GB2312"/>
          <w:b/>
          <w:sz w:val="32"/>
        </w:rPr>
        <w:t>（一）一般公共预算财政拨款支出决算总体情况</w:t>
      </w:r>
    </w:p>
    <w:p w14:paraId="7B576FCE">
      <w:pPr>
        <w:spacing w:line="580" w:lineRule="exact"/>
        <w:ind w:firstLine="640"/>
        <w:jc w:val="both"/>
      </w:pPr>
      <w:r>
        <w:rPr>
          <w:rFonts w:ascii="仿宋_GB2312" w:hAnsi="仿宋_GB2312" w:eastAsia="仿宋_GB2312"/>
          <w:b/>
          <w:sz w:val="32"/>
        </w:rPr>
        <w:t>2024年度一般公共预算财政拨款支出4,988.44万元，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997.55万元，下降16.66%，主要原因是：根据教育资源教师结构调整，2024年初调整55名教师到其他学校任教，在职人员减少，相应支出减少；本年度未安排继续教育支出和国有企业职教幼教待遇补助支出、圆舍维修项目。</w:t>
      </w:r>
      <w:r>
        <w:rPr>
          <w:rFonts w:ascii="仿宋_GB2312" w:hAnsi="仿宋_GB2312" w:eastAsia="仿宋_GB2312"/>
          <w:b/>
          <w:sz w:val="32"/>
        </w:rPr>
        <w:t>与年初预算相比,</w:t>
      </w:r>
      <w:r>
        <w:rPr>
          <w:rFonts w:ascii="仿宋_GB2312" w:hAnsi="仿宋_GB2312" w:eastAsia="仿宋_GB2312"/>
          <w:b w:val="0"/>
          <w:sz w:val="32"/>
        </w:rPr>
        <w:t>年初预算数5,602.79万元，决算数4,988.44万元，预决算差异率-10.97%，主要原因是：根据教育资源教师结构调整，2024年初调整55名义务教育教师到其他学校任教，本年在职人员减少，年中调减人员经费，导致预决算存在差异。</w:t>
      </w:r>
    </w:p>
    <w:p w14:paraId="6B395E6D">
      <w:pPr>
        <w:spacing w:line="640" w:lineRule="exact"/>
        <w:ind w:firstLine="640"/>
        <w:jc w:val="both"/>
        <w:outlineLvl w:val="3"/>
      </w:pPr>
      <w:r>
        <w:rPr>
          <w:rFonts w:ascii="楷体_GB2312" w:hAnsi="楷体_GB2312" w:eastAsia="楷体_GB2312"/>
          <w:b/>
          <w:sz w:val="32"/>
        </w:rPr>
        <w:t>（二）一般公共预算财政拨款支出决算结构情况</w:t>
      </w:r>
    </w:p>
    <w:p w14:paraId="5BA9F39C">
      <w:pPr>
        <w:spacing w:line="580" w:lineRule="exact"/>
        <w:ind w:firstLine="640"/>
        <w:jc w:val="both"/>
      </w:pPr>
      <w:r>
        <w:rPr>
          <w:rFonts w:ascii="仿宋_GB2312" w:hAnsi="仿宋_GB2312" w:eastAsia="仿宋_GB2312"/>
          <w:b w:val="0"/>
          <w:sz w:val="32"/>
        </w:rPr>
        <w:t>1.教育支出(类)4,145.69万元,占83.11%。</w:t>
      </w:r>
    </w:p>
    <w:p w14:paraId="31A7D359">
      <w:pPr>
        <w:spacing w:line="580" w:lineRule="exact"/>
        <w:ind w:firstLine="640"/>
        <w:jc w:val="both"/>
      </w:pPr>
      <w:r>
        <w:rPr>
          <w:rFonts w:ascii="仿宋_GB2312" w:hAnsi="仿宋_GB2312" w:eastAsia="仿宋_GB2312"/>
          <w:b w:val="0"/>
          <w:sz w:val="32"/>
        </w:rPr>
        <w:t>2.社会保障和就业支出(类)717.37万元,占14.38%。</w:t>
      </w:r>
    </w:p>
    <w:p w14:paraId="6B547F63">
      <w:pPr>
        <w:spacing w:line="580" w:lineRule="exact"/>
        <w:ind w:firstLine="640"/>
        <w:jc w:val="both"/>
      </w:pPr>
      <w:r>
        <w:rPr>
          <w:rFonts w:ascii="仿宋_GB2312" w:hAnsi="仿宋_GB2312" w:eastAsia="仿宋_GB2312"/>
          <w:b w:val="0"/>
          <w:sz w:val="32"/>
        </w:rPr>
        <w:t>3.卫生健康支出(类)125.38万元,占2.51%。</w:t>
      </w:r>
    </w:p>
    <w:p w14:paraId="422DE03E">
      <w:pPr>
        <w:spacing w:line="640" w:lineRule="exact"/>
        <w:ind w:firstLine="640"/>
        <w:jc w:val="both"/>
        <w:outlineLvl w:val="3"/>
      </w:pPr>
      <w:r>
        <w:rPr>
          <w:rFonts w:ascii="楷体_GB2312" w:hAnsi="楷体_GB2312" w:eastAsia="楷体_GB2312"/>
          <w:b/>
          <w:sz w:val="32"/>
        </w:rPr>
        <w:t>（三）一般公共预算财政拨款支出决算具体情况</w:t>
      </w:r>
    </w:p>
    <w:p w14:paraId="2386C5E3">
      <w:pPr>
        <w:spacing w:line="580" w:lineRule="exact"/>
        <w:ind w:firstLine="640"/>
        <w:jc w:val="both"/>
      </w:pPr>
      <w:r>
        <w:rPr>
          <w:rFonts w:ascii="仿宋_GB2312" w:hAnsi="仿宋_GB2312" w:eastAsia="仿宋_GB2312"/>
          <w:b w:val="0"/>
          <w:sz w:val="32"/>
        </w:rPr>
        <w:t>1.教育支出(类)普通教育(款)学前教育(项):支出决算数为954.78万元，比上年决算增加116.95万元，增长13.96%,主要原因是：一是2024年在职教师基本工资调资并从2023年7月补发，二是2024年在职教师基础性绩效奖调整并从2023年1月补发，三是本年功能科目调整，住房公积金上年度单独列支，本年调整至主科目列支，导致经费较上年增加。</w:t>
      </w:r>
    </w:p>
    <w:p w14:paraId="0F079F5E">
      <w:pPr>
        <w:spacing w:line="580" w:lineRule="exact"/>
        <w:ind w:firstLine="640"/>
        <w:jc w:val="both"/>
      </w:pPr>
      <w:r>
        <w:rPr>
          <w:rFonts w:ascii="仿宋_GB2312" w:hAnsi="仿宋_GB2312" w:eastAsia="仿宋_GB2312"/>
          <w:b w:val="0"/>
          <w:sz w:val="32"/>
        </w:rPr>
        <w:t>2.教育支出(类)普通教育(款)小学教育(项):支出决算数为2,939.18万元，比上年决算减少552.94万元，下降15.83%,主要原因是：根据教育资源教师结构调整，2024年初调整55名教师到其他学校任教，在职人员减少，相应支出减少。</w:t>
      </w:r>
    </w:p>
    <w:p w14:paraId="3AD4C180">
      <w:pPr>
        <w:spacing w:line="580" w:lineRule="exact"/>
        <w:ind w:firstLine="640"/>
        <w:jc w:val="both"/>
      </w:pPr>
      <w:r>
        <w:rPr>
          <w:rFonts w:ascii="仿宋_GB2312" w:hAnsi="仿宋_GB2312" w:eastAsia="仿宋_GB2312"/>
          <w:b w:val="0"/>
          <w:sz w:val="32"/>
        </w:rPr>
        <w:t>3.教育支出(类)普通教育(款)初中教育(项):支出决算数为0.00万元，比上年决算减少18.09万元，下降100.00%,主要原因是：根据教育资源教师结构调整，2024年初</w:t>
      </w:r>
      <w:r>
        <w:rPr>
          <w:rFonts w:hint="eastAsia" w:ascii="仿宋_GB2312" w:hAnsi="仿宋_GB2312" w:eastAsia="仿宋_GB2312"/>
          <w:b w:val="0"/>
          <w:sz w:val="32"/>
          <w:lang w:eastAsia="zh-CN"/>
        </w:rPr>
        <w:t>本单位</w:t>
      </w:r>
      <w:r>
        <w:rPr>
          <w:rFonts w:ascii="仿宋_GB2312" w:hAnsi="仿宋_GB2312" w:eastAsia="仿宋_GB2312"/>
          <w:b w:val="0"/>
          <w:sz w:val="32"/>
        </w:rPr>
        <w:t>只有学前和小学教育，初中教师人数减少，2024年度未安排此项支出。</w:t>
      </w:r>
    </w:p>
    <w:p w14:paraId="66A0D391">
      <w:pPr>
        <w:spacing w:line="580" w:lineRule="exact"/>
        <w:ind w:firstLine="640"/>
        <w:jc w:val="both"/>
      </w:pPr>
      <w:r>
        <w:rPr>
          <w:rFonts w:ascii="仿宋_GB2312" w:hAnsi="仿宋_GB2312" w:eastAsia="仿宋_GB2312"/>
          <w:b w:val="0"/>
          <w:sz w:val="32"/>
        </w:rPr>
        <w:t>4.教育支出(类)普通教育(款)其他普通教育支出(项):支出决算数为251.73万元，比上年决算减少52.98万元，下降17.39%,主要原因是：本年度临聘人员减少，支付临聘人员工资较上年减少。</w:t>
      </w:r>
    </w:p>
    <w:p w14:paraId="3F8E9CB7">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5.教育支出(类)教育费附加安排的支出(款)其他教育费附加安排的支出(项):支出决算数为0.00万元，比上年决算减少8.87万元，下降100.00%,主要原因是：本年度未安排继续教育支出和国有企业职教幼教待遇补助支出。</w:t>
      </w:r>
    </w:p>
    <w:p w14:paraId="10FD84B7">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25.87万元，下降100.00%,主要原因是：本年未安排圆舍维修项目；本年功能科目调整，班主任津贴上年度在此科目列支，本年度科目调整到小学教育科目列支，导致经费较上年减少。</w:t>
      </w:r>
    </w:p>
    <w:p w14:paraId="56A6E859">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7.社会保障和就业支出(类)行政事业单位养老支出(款)事业单位离退休(项):支出决算数为95.96万元，比上年决算增加74.29万元，增长342.82%,主要原因是：本年增加退休人员基础绩效奖，退休费支出增加。</w:t>
      </w:r>
    </w:p>
    <w:p w14:paraId="78DB10C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522.81万元，比上年决算增加40.80万元，增长8.46%,主要原因是：本年在职人员工资基数调增，养老缴费基数上涨，相应支出增加。</w:t>
      </w:r>
    </w:p>
    <w:p w14:paraId="18A14304">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9.社会保障和就业支出(类)行政事业单位养老支出(款)机关事业单位职业年金缴费支出(项):支出决算数为61.38万元，比上年决算增加7.79万元，增长14.54%,主要原因是：本年新增退休人员，职业年金缴费支出增加。</w:t>
      </w:r>
    </w:p>
    <w:p w14:paraId="09936995">
      <w:pPr>
        <w:spacing w:line="580" w:lineRule="exact"/>
        <w:ind w:firstLine="640"/>
        <w:jc w:val="both"/>
      </w:pPr>
      <w:r>
        <w:rPr>
          <w:rFonts w:ascii="仿宋_GB2312" w:hAnsi="仿宋_GB2312" w:eastAsia="仿宋_GB2312"/>
          <w:b w:val="0"/>
          <w:sz w:val="32"/>
        </w:rPr>
        <w:t>10.社会保障和就业支出(类)企业改革补助(款)其他企业改革发展补助(项):支出决算数为22.49万元，比上年决算增加6.04万元，增长36.72%,主要原因是：本年增加国有企业中小学及职教幼教退休教师待遇经费，相应支出增加。</w:t>
      </w:r>
    </w:p>
    <w:p w14:paraId="4A501393">
      <w:pPr>
        <w:spacing w:line="580" w:lineRule="exact"/>
        <w:ind w:firstLine="640"/>
        <w:jc w:val="both"/>
      </w:pPr>
      <w:r>
        <w:rPr>
          <w:rFonts w:ascii="仿宋_GB2312" w:hAnsi="仿宋_GB2312" w:eastAsia="仿宋_GB2312"/>
          <w:b w:val="0"/>
          <w:sz w:val="32"/>
        </w:rPr>
        <w:t>11.社会保障和就业支出(类)抚恤(款)死亡抚恤(项):支出决算数为14.73万元，比上年决算减少2.44万元，下降14.21%,主要原因是：2024年与2023年发放抚恤金人数相同，但因退休教师工资待遇不同，抚恤金测算并发放金额不同，相应支出减少。</w:t>
      </w:r>
    </w:p>
    <w:p w14:paraId="53C4389F">
      <w:pPr>
        <w:spacing w:line="580" w:lineRule="exact"/>
        <w:ind w:firstLine="640"/>
        <w:jc w:val="both"/>
      </w:pPr>
      <w:r>
        <w:rPr>
          <w:rFonts w:ascii="仿宋_GB2312" w:hAnsi="仿宋_GB2312" w:eastAsia="仿宋_GB2312"/>
          <w:b w:val="0"/>
          <w:sz w:val="32"/>
        </w:rPr>
        <w:t>12.卫生健康支出(类)行政事业单位医疗(款)事业单位医疗(项):支出决算数为125.38万元，比上年决算减少183.59万元，下降59.42%,主要原因是：本年在职人员减少，事业单位医疗支出较上年减少。</w:t>
      </w:r>
    </w:p>
    <w:p w14:paraId="1D139621">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398.64万元，下降100.00%,主要原因是：本年功能科目调整，住房公积金上年度单独列支，本年调整至主科目列支，导致经费较上年减少。</w:t>
      </w:r>
    </w:p>
    <w:p w14:paraId="5B8A5CEC">
      <w:pPr>
        <w:spacing w:line="640" w:lineRule="exact"/>
        <w:ind w:firstLine="640"/>
        <w:jc w:val="both"/>
        <w:outlineLvl w:val="2"/>
      </w:pPr>
      <w:r>
        <w:rPr>
          <w:rFonts w:ascii="黑体" w:hAnsi="黑体" w:eastAsia="黑体"/>
          <w:sz w:val="32"/>
        </w:rPr>
        <w:t>六、一般公共预算财政拨款基本支出决算情况说明</w:t>
      </w:r>
    </w:p>
    <w:p w14:paraId="2831A2E4">
      <w:pPr>
        <w:spacing w:line="580" w:lineRule="exact"/>
        <w:ind w:firstLine="640"/>
        <w:jc w:val="both"/>
      </w:pPr>
      <w:r>
        <w:rPr>
          <w:rFonts w:ascii="仿宋_GB2312" w:hAnsi="仿宋_GB2312" w:eastAsia="仿宋_GB2312"/>
          <w:b w:val="0"/>
          <w:sz w:val="32"/>
        </w:rPr>
        <w:t>2024年度一般公共预算财政拨款基本支出4,988.44万元，其中：</w:t>
      </w:r>
      <w:r>
        <w:rPr>
          <w:rFonts w:ascii="仿宋_GB2312" w:hAnsi="仿宋_GB2312" w:eastAsia="仿宋_GB2312"/>
          <w:b/>
          <w:sz w:val="32"/>
        </w:rPr>
        <w:t>人员经费4,720.96万元，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14:paraId="27D6E922">
      <w:pPr>
        <w:spacing w:line="580" w:lineRule="exact"/>
        <w:ind w:firstLine="640"/>
        <w:jc w:val="both"/>
      </w:pPr>
      <w:r>
        <w:rPr>
          <w:rFonts w:ascii="仿宋_GB2312" w:hAnsi="仿宋_GB2312" w:eastAsia="仿宋_GB2312"/>
          <w:b/>
          <w:sz w:val="32"/>
        </w:rPr>
        <w:t>公用经费267.49万元，</w:t>
      </w:r>
      <w:r>
        <w:rPr>
          <w:rFonts w:ascii="仿宋_GB2312" w:hAnsi="仿宋_GB2312" w:eastAsia="仿宋_GB2312"/>
          <w:b w:val="0"/>
          <w:sz w:val="32"/>
        </w:rPr>
        <w:t>包括：办公费、水费、电费、邮电费、取暖费、物业管理费、维修（护）费、培训费、专用材料费、工会经费、福利费、专用设备购置。</w:t>
      </w:r>
    </w:p>
    <w:p w14:paraId="3FD9618C">
      <w:pPr>
        <w:spacing w:line="640" w:lineRule="exact"/>
        <w:ind w:firstLine="640"/>
        <w:jc w:val="both"/>
        <w:outlineLvl w:val="2"/>
      </w:pPr>
      <w:r>
        <w:rPr>
          <w:rFonts w:ascii="黑体" w:hAnsi="黑体" w:eastAsia="黑体"/>
          <w:sz w:val="32"/>
        </w:rPr>
        <w:t>七、政府性基金预算财政拨款收入支出决算情况说明</w:t>
      </w:r>
    </w:p>
    <w:p w14:paraId="5149D29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0F5721D">
      <w:pPr>
        <w:spacing w:line="640" w:lineRule="exact"/>
        <w:ind w:firstLine="640"/>
        <w:jc w:val="both"/>
        <w:outlineLvl w:val="2"/>
      </w:pPr>
      <w:r>
        <w:rPr>
          <w:rFonts w:ascii="黑体" w:hAnsi="黑体" w:eastAsia="黑体"/>
          <w:sz w:val="32"/>
        </w:rPr>
        <w:t>八、国有资本经营预算财政拨款收入支出决算情况说明</w:t>
      </w:r>
    </w:p>
    <w:p w14:paraId="4AD005F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E963D7">
      <w:pPr>
        <w:spacing w:line="640" w:lineRule="exact"/>
        <w:ind w:firstLine="640"/>
        <w:jc w:val="both"/>
        <w:outlineLvl w:val="2"/>
      </w:pPr>
      <w:r>
        <w:rPr>
          <w:rFonts w:ascii="黑体" w:hAnsi="黑体" w:eastAsia="黑体"/>
          <w:sz w:val="32"/>
        </w:rPr>
        <w:t>九、财政拨款“三公”经费支出决算情况说明</w:t>
      </w:r>
    </w:p>
    <w:p w14:paraId="28CE582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D54FD7">
      <w:pPr>
        <w:spacing w:line="580" w:lineRule="exact"/>
        <w:ind w:firstLine="640"/>
        <w:jc w:val="both"/>
      </w:pPr>
      <w:r>
        <w:rPr>
          <w:rFonts w:ascii="仿宋_GB2312" w:hAnsi="仿宋_GB2312" w:eastAsia="仿宋_GB2312"/>
          <w:b/>
          <w:sz w:val="32"/>
        </w:rPr>
        <w:t>具体情况如下：</w:t>
      </w:r>
    </w:p>
    <w:p w14:paraId="3A8B537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8D4D73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6A2309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4FD71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4DA4E4">
      <w:pPr>
        <w:spacing w:line="640" w:lineRule="exact"/>
        <w:ind w:firstLine="640"/>
        <w:jc w:val="both"/>
        <w:outlineLvl w:val="2"/>
      </w:pPr>
      <w:r>
        <w:rPr>
          <w:rFonts w:ascii="黑体" w:hAnsi="黑体" w:eastAsia="黑体"/>
          <w:sz w:val="32"/>
        </w:rPr>
        <w:t>十、其他重要事项的情况说明</w:t>
      </w:r>
    </w:p>
    <w:p w14:paraId="404F3021">
      <w:pPr>
        <w:spacing w:line="640" w:lineRule="exact"/>
        <w:ind w:firstLine="640"/>
        <w:jc w:val="both"/>
        <w:outlineLvl w:val="3"/>
      </w:pPr>
      <w:r>
        <w:rPr>
          <w:rFonts w:ascii="楷体_GB2312" w:hAnsi="楷体_GB2312" w:eastAsia="楷体_GB2312"/>
          <w:b/>
          <w:sz w:val="32"/>
        </w:rPr>
        <w:t>（一）机关运行经费及公用经费支出情况</w:t>
      </w:r>
    </w:p>
    <w:p w14:paraId="0869C115">
      <w:pPr>
        <w:spacing w:line="580" w:lineRule="exact"/>
        <w:ind w:firstLine="640"/>
        <w:jc w:val="both"/>
      </w:pPr>
      <w:r>
        <w:rPr>
          <w:rFonts w:ascii="仿宋_GB2312" w:hAnsi="仿宋_GB2312" w:eastAsia="仿宋_GB2312"/>
          <w:b w:val="0"/>
          <w:sz w:val="32"/>
        </w:rPr>
        <w:t>2024年度霍城县惠远镇则徐中心学校（事业单位）公用经费支出267.49万元，比上年减少22.78万元，下降7.85%，主要原因是：本年度较上年度学生人数减少，相应公用经费支出减少。</w:t>
      </w:r>
    </w:p>
    <w:p w14:paraId="145BC0F4">
      <w:pPr>
        <w:spacing w:line="640" w:lineRule="exact"/>
        <w:ind w:firstLine="640"/>
        <w:jc w:val="both"/>
        <w:outlineLvl w:val="3"/>
      </w:pPr>
      <w:r>
        <w:rPr>
          <w:rFonts w:ascii="楷体_GB2312" w:hAnsi="楷体_GB2312" w:eastAsia="楷体_GB2312"/>
          <w:b/>
          <w:sz w:val="32"/>
        </w:rPr>
        <w:t>（二）政府采购情况</w:t>
      </w:r>
    </w:p>
    <w:p w14:paraId="4D56530E">
      <w:pPr>
        <w:spacing w:line="580" w:lineRule="exact"/>
        <w:ind w:firstLine="640"/>
        <w:jc w:val="both"/>
      </w:pPr>
      <w:r>
        <w:rPr>
          <w:rFonts w:ascii="仿宋_GB2312" w:hAnsi="仿宋_GB2312" w:eastAsia="仿宋_GB2312"/>
          <w:b w:val="0"/>
          <w:sz w:val="32"/>
        </w:rPr>
        <w:t>2024年度政府采购支出总额0.15万元，其中：政府采购货物支出0.15万元、政府采购工程支出0.00万元、政府采购服务支出0.00万元。</w:t>
      </w:r>
    </w:p>
    <w:p w14:paraId="4B7B97B0">
      <w:pPr>
        <w:spacing w:line="580" w:lineRule="exact"/>
        <w:ind w:firstLine="640"/>
        <w:jc w:val="both"/>
      </w:pPr>
      <w:r>
        <w:rPr>
          <w:rFonts w:ascii="仿宋_GB2312" w:hAnsi="仿宋_GB2312" w:eastAsia="仿宋_GB2312"/>
          <w:b w:val="0"/>
          <w:sz w:val="32"/>
        </w:rPr>
        <w:t>授予中小企业合同金额0.15万元，占政府采购支出总额的100.00%，其中：授予小微企业合同金额0.15万元，占政府采购支出总额的100.00%。</w:t>
      </w:r>
    </w:p>
    <w:p w14:paraId="7AF74840">
      <w:pPr>
        <w:spacing w:line="640" w:lineRule="exact"/>
        <w:ind w:firstLine="640"/>
        <w:jc w:val="both"/>
        <w:outlineLvl w:val="3"/>
      </w:pPr>
      <w:r>
        <w:rPr>
          <w:rFonts w:ascii="楷体_GB2312" w:hAnsi="楷体_GB2312" w:eastAsia="楷体_GB2312"/>
          <w:b/>
          <w:sz w:val="32"/>
        </w:rPr>
        <w:t>（三）国有资产占用情况说明</w:t>
      </w:r>
    </w:p>
    <w:p w14:paraId="3C7A3A6E">
      <w:pPr>
        <w:spacing w:line="580" w:lineRule="exact"/>
        <w:ind w:firstLine="640"/>
        <w:jc w:val="both"/>
      </w:pPr>
      <w:r>
        <w:rPr>
          <w:rFonts w:ascii="仿宋_GB2312" w:hAnsi="仿宋_GB2312" w:eastAsia="仿宋_GB2312"/>
          <w:b w:val="0"/>
          <w:sz w:val="32"/>
        </w:rPr>
        <w:t>截至2024年12月31日，房屋24,018.23平方米，价值2,667.70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2E57EC3">
      <w:pPr>
        <w:spacing w:line="640" w:lineRule="exact"/>
        <w:ind w:firstLine="640"/>
        <w:jc w:val="both"/>
        <w:outlineLvl w:val="2"/>
      </w:pPr>
      <w:r>
        <w:rPr>
          <w:rFonts w:ascii="黑体" w:hAnsi="黑体" w:eastAsia="黑体"/>
          <w:sz w:val="32"/>
        </w:rPr>
        <w:t>十一、预算绩效的情况说明</w:t>
      </w:r>
    </w:p>
    <w:p w14:paraId="6582CAA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4,988.44万元，实际执行总额4,988.44万元；预算绩效评价项目1个，全年预算数17.06万元，全年执行数17.06万元。预算绩效管理取得的成效：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27DDF9F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0F80B83">
        <w:tblPrEx>
          <w:tblCellMar>
            <w:top w:w="0" w:type="dxa"/>
            <w:left w:w="108" w:type="dxa"/>
            <w:bottom w:w="0" w:type="dxa"/>
            <w:right w:w="108" w:type="dxa"/>
          </w:tblCellMar>
        </w:tblPrEx>
        <w:tc>
          <w:tcPr>
            <w:tcW w:w="8840" w:type="dxa"/>
            <w:gridSpan w:val="8"/>
            <w:vAlign w:val="center"/>
          </w:tcPr>
          <w:p w14:paraId="24419C76">
            <w:pPr>
              <w:jc w:val="center"/>
            </w:pPr>
            <w:r>
              <w:rPr>
                <w:rFonts w:ascii="宋体" w:hAnsi="宋体" w:eastAsia="宋体"/>
                <w:sz w:val="24"/>
              </w:rPr>
              <w:t>单位整体支出绩效自评表</w:t>
            </w:r>
          </w:p>
        </w:tc>
      </w:tr>
      <w:tr w14:paraId="0D7C844C">
        <w:tblPrEx>
          <w:tblCellMar>
            <w:top w:w="0" w:type="dxa"/>
            <w:left w:w="108" w:type="dxa"/>
            <w:bottom w:w="0" w:type="dxa"/>
            <w:right w:w="108" w:type="dxa"/>
          </w:tblCellMar>
        </w:tblPrEx>
        <w:tc>
          <w:tcPr>
            <w:tcW w:w="8840" w:type="dxa"/>
            <w:gridSpan w:val="8"/>
            <w:vAlign w:val="center"/>
          </w:tcPr>
          <w:p w14:paraId="4CA09487">
            <w:pPr>
              <w:jc w:val="center"/>
            </w:pPr>
            <w:r>
              <w:rPr>
                <w:rFonts w:ascii="宋体" w:hAnsi="宋体" w:eastAsia="宋体"/>
                <w:sz w:val="24"/>
              </w:rPr>
              <w:t>（2024年度）</w:t>
            </w:r>
          </w:p>
        </w:tc>
      </w:tr>
      <w:tr w14:paraId="79DDF8F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96F8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25B8D">
            <w:pPr>
              <w:jc w:val="center"/>
            </w:pPr>
            <w:r>
              <w:rPr>
                <w:rFonts w:ascii="宋体" w:hAnsi="宋体" w:eastAsia="宋体"/>
                <w:sz w:val="16"/>
              </w:rPr>
              <w:t>霍城县惠远镇则徐中心学校</w:t>
            </w:r>
          </w:p>
        </w:tc>
      </w:tr>
      <w:tr w14:paraId="191B4D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7B73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339D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B904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FE9A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2ABE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56B1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7EB3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3AB33">
            <w:pPr>
              <w:jc w:val="center"/>
            </w:pPr>
            <w:r>
              <w:rPr>
                <w:rFonts w:ascii="宋体" w:hAnsi="宋体" w:eastAsia="宋体"/>
                <w:sz w:val="16"/>
              </w:rPr>
              <w:t>得分</w:t>
            </w:r>
          </w:p>
        </w:tc>
      </w:tr>
      <w:tr w14:paraId="10E8AB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9994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9E86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F1A1F">
            <w:pPr>
              <w:jc w:val="center"/>
            </w:pPr>
            <w:r>
              <w:rPr>
                <w:rFonts w:ascii="宋体" w:hAnsi="宋体" w:eastAsia="宋体"/>
                <w:sz w:val="16"/>
              </w:rPr>
              <w:t>5,602.78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BC8F1">
            <w:pPr>
              <w:jc w:val="center"/>
            </w:pPr>
            <w:r>
              <w:rPr>
                <w:rFonts w:ascii="宋体" w:hAnsi="宋体" w:eastAsia="宋体"/>
                <w:sz w:val="16"/>
              </w:rPr>
              <w:t>4,988.44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F54B7">
            <w:pPr>
              <w:jc w:val="center"/>
            </w:pPr>
            <w:r>
              <w:rPr>
                <w:rFonts w:ascii="宋体" w:hAnsi="宋体" w:eastAsia="宋体"/>
                <w:sz w:val="16"/>
              </w:rPr>
              <w:t>4,988.44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F07E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3C9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985D2">
            <w:pPr>
              <w:jc w:val="center"/>
            </w:pPr>
            <w:r>
              <w:rPr>
                <w:rFonts w:ascii="宋体" w:hAnsi="宋体" w:eastAsia="宋体"/>
                <w:sz w:val="16"/>
              </w:rPr>
              <w:t>10</w:t>
            </w:r>
          </w:p>
        </w:tc>
      </w:tr>
      <w:tr w14:paraId="72B710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A745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750E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08AB0">
            <w:pPr>
              <w:jc w:val="center"/>
            </w:pPr>
            <w:r>
              <w:rPr>
                <w:rFonts w:ascii="宋体" w:hAnsi="宋体" w:eastAsia="宋体"/>
                <w:sz w:val="16"/>
              </w:rPr>
              <w:t>324.24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13F4B">
            <w:pPr>
              <w:jc w:val="center"/>
            </w:pPr>
            <w:r>
              <w:rPr>
                <w:rFonts w:ascii="宋体" w:hAnsi="宋体" w:eastAsia="宋体"/>
                <w:sz w:val="16"/>
              </w:rPr>
              <w:t>324.24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CA8CD">
            <w:pPr>
              <w:jc w:val="center"/>
            </w:pPr>
            <w:r>
              <w:rPr>
                <w:rFonts w:ascii="宋体" w:hAnsi="宋体" w:eastAsia="宋体"/>
                <w:sz w:val="16"/>
              </w:rPr>
              <w:t>324.24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913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C2B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4D778">
            <w:pPr>
              <w:jc w:val="center"/>
            </w:pPr>
            <w:r>
              <w:rPr>
                <w:rFonts w:ascii="宋体" w:hAnsi="宋体" w:eastAsia="宋体"/>
                <w:sz w:val="16"/>
              </w:rPr>
              <w:t>-</w:t>
            </w:r>
          </w:p>
        </w:tc>
      </w:tr>
      <w:tr w14:paraId="6EF56E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777E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DD54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732DE">
            <w:pPr>
              <w:jc w:val="center"/>
            </w:pPr>
            <w:r>
              <w:rPr>
                <w:rFonts w:ascii="宋体" w:hAnsi="宋体" w:eastAsia="宋体"/>
                <w:sz w:val="16"/>
              </w:rPr>
              <w:t>5,278.54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8FE22">
            <w:pPr>
              <w:jc w:val="center"/>
            </w:pPr>
            <w:r>
              <w:rPr>
                <w:rFonts w:ascii="宋体" w:hAnsi="宋体" w:eastAsia="宋体"/>
                <w:sz w:val="16"/>
              </w:rPr>
              <w:t>4,664.20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EA9C4">
            <w:pPr>
              <w:jc w:val="center"/>
            </w:pPr>
            <w:r>
              <w:rPr>
                <w:rFonts w:ascii="宋体" w:hAnsi="宋体" w:eastAsia="宋体"/>
                <w:sz w:val="16"/>
              </w:rPr>
              <w:t>4,664.20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CD1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6FD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A83D1">
            <w:pPr>
              <w:jc w:val="center"/>
            </w:pPr>
            <w:r>
              <w:rPr>
                <w:rFonts w:ascii="宋体" w:hAnsi="宋体" w:eastAsia="宋体"/>
                <w:sz w:val="16"/>
              </w:rPr>
              <w:t>-</w:t>
            </w:r>
          </w:p>
        </w:tc>
      </w:tr>
      <w:tr w14:paraId="164FD1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9E47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7954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16F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39E8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25AB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29F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156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5FA60">
            <w:pPr>
              <w:jc w:val="center"/>
            </w:pPr>
            <w:r>
              <w:rPr>
                <w:rFonts w:ascii="宋体" w:hAnsi="宋体" w:eastAsia="宋体"/>
                <w:sz w:val="16"/>
              </w:rPr>
              <w:t>-</w:t>
            </w:r>
          </w:p>
        </w:tc>
      </w:tr>
      <w:tr w14:paraId="1C33F6F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A71D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39D8B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B132A0">
            <w:pPr>
              <w:jc w:val="center"/>
            </w:pPr>
            <w:r>
              <w:rPr>
                <w:rFonts w:ascii="宋体" w:hAnsi="宋体" w:eastAsia="宋体"/>
                <w:sz w:val="16"/>
              </w:rPr>
              <w:t>实际完成情况</w:t>
            </w:r>
          </w:p>
        </w:tc>
      </w:tr>
      <w:tr w14:paraId="15D755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022A4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F425DB">
            <w:pPr>
              <w:jc w:val="both"/>
            </w:pPr>
            <w:r>
              <w:rPr>
                <w:rFonts w:ascii="宋体" w:hAnsi="宋体" w:eastAsia="宋体"/>
                <w:sz w:val="16"/>
              </w:rPr>
              <w:t>坚持学习贯彻习近平新时代中国特色社会主义思想，遵循2023年全国教育工作会议精神，坚持依法治校、依法从教，围绕党的教育方针，落实立德树人根本任务。一是宣传贯彻执行党和国家的教育方针、政策、法 律法规等，坚持依法治教、依法治学，贯彻执行霍城县教育局的行政规章制度；二是依法动员、组织适龄少年入学，严格控制辍学，推进普及义务教育和学前教育；三是组织开展本学区的教育教学科研和教育教学改革，科研兴教，科研兴校。负责对本学区教育教学业务的具体管理，负责教育教学管理及教研教改工作，全力推进素质教育实施；四是负责本学区财务管理，改善办学条件等工作，为师生提供优美和谐的学习和工作环境，维护教职工利益，保障教职工合法权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EF2CBA">
            <w:pPr>
              <w:jc w:val="both"/>
            </w:pPr>
            <w:r>
              <w:rPr>
                <w:rFonts w:ascii="宋体" w:hAnsi="宋体" w:eastAsia="宋体"/>
                <w:sz w:val="16"/>
              </w:rPr>
              <w:t>2024年霍城县惠远镇则徐中心学校坚持贯彻习近平新时代中国特色社会主义思想，贯彻2023年全国教育工作会议精神，坚持依法治校、依法从教，落实党的教育方针，完成立德树人根本任务。在工作中做到了：一是宣传贯彻执行党和国家的教育方针、政策、法律法规等，坚持依法治教、依法治学，贯彻执行霍城县教育局的行政规章制度；二是依法动员、组织适龄少年入学，严格控制辍学，确保0辍学率；三是组织开展学区的教育教学科研和教育教学改革，推动了教育教学的发展，全面推进素质教育实施；四是加强本学区财务管理，改善办学条件等工作，为师生提供了优美和谐的学习和工作环境，维护教职工利益，保障教职工合法权益。</w:t>
            </w:r>
          </w:p>
        </w:tc>
      </w:tr>
      <w:tr w14:paraId="7FABAB7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5F07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58A0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9C89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983A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05D5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FB05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F67A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EBF4B">
            <w:pPr>
              <w:jc w:val="center"/>
            </w:pPr>
            <w:r>
              <w:rPr>
                <w:rFonts w:ascii="宋体" w:hAnsi="宋体" w:eastAsia="宋体"/>
                <w:sz w:val="16"/>
              </w:rPr>
              <w:t>得分</w:t>
            </w:r>
          </w:p>
        </w:tc>
      </w:tr>
      <w:tr w14:paraId="702EA2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851A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515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73B0C">
            <w:pPr>
              <w:jc w:val="center"/>
            </w:pPr>
            <w:r>
              <w:rPr>
                <w:rFonts w:ascii="宋体" w:hAnsi="宋体" w:eastAsia="宋体"/>
                <w:sz w:val="16"/>
              </w:rPr>
              <w:t>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D05B9">
            <w:pPr>
              <w:jc w:val="center"/>
            </w:pPr>
            <w:r>
              <w:rPr>
                <w:rFonts w:ascii="宋体" w:hAnsi="宋体" w:eastAsia="宋体"/>
                <w:sz w:val="16"/>
              </w:rPr>
              <w:t>=2452人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97234">
            <w:pPr>
              <w:jc w:val="center"/>
            </w:pPr>
            <w:r>
              <w:rPr>
                <w:rFonts w:ascii="宋体" w:hAnsi="宋体" w:eastAsia="宋体"/>
                <w:sz w:val="16"/>
              </w:rPr>
              <w:t>教育事业综合统计调查表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3AC2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B89B5">
            <w:pPr>
              <w:jc w:val="center"/>
            </w:pPr>
            <w:r>
              <w:rPr>
                <w:rFonts w:ascii="宋体" w:hAnsi="宋体" w:eastAsia="宋体"/>
                <w:sz w:val="16"/>
              </w:rPr>
              <w:t>2043人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17AC9">
            <w:pPr>
              <w:jc w:val="center"/>
            </w:pPr>
            <w:r>
              <w:rPr>
                <w:rFonts w:ascii="宋体" w:hAnsi="宋体" w:eastAsia="宋体"/>
                <w:sz w:val="16"/>
              </w:rPr>
              <w:t>16.66</w:t>
            </w:r>
          </w:p>
        </w:tc>
      </w:tr>
      <w:tr w14:paraId="588E62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0E1F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1133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3A25C">
            <w:pPr>
              <w:jc w:val="center"/>
            </w:pPr>
            <w:r>
              <w:rPr>
                <w:rFonts w:ascii="宋体" w:hAnsi="宋体" w:eastAsia="宋体"/>
                <w:sz w:val="16"/>
              </w:rPr>
              <w:t>青年教师队伍专业技能培养覆盖率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2D1D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0FC61">
            <w:pPr>
              <w:jc w:val="center"/>
            </w:pPr>
            <w:r>
              <w:rPr>
                <w:rFonts w:ascii="宋体" w:hAnsi="宋体" w:eastAsia="宋体"/>
                <w:sz w:val="16"/>
              </w:rPr>
              <w:t>霍城县惠远镇则徐中心工作计划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39BEC">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70D4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39A1D">
            <w:pPr>
              <w:jc w:val="center"/>
            </w:pPr>
            <w:r>
              <w:rPr>
                <w:rFonts w:ascii="宋体" w:hAnsi="宋体" w:eastAsia="宋体"/>
                <w:sz w:val="16"/>
              </w:rPr>
              <w:t>30</w:t>
            </w:r>
          </w:p>
        </w:tc>
      </w:tr>
      <w:tr w14:paraId="73DB7E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15945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B563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5E6A4">
            <w:pPr>
              <w:jc w:val="center"/>
            </w:pPr>
            <w:r>
              <w:rPr>
                <w:rFonts w:ascii="宋体" w:hAnsi="宋体" w:eastAsia="宋体"/>
                <w:sz w:val="16"/>
              </w:rPr>
              <w:t>家庭经济困难学生受助率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F36B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4D702">
            <w:pPr>
              <w:jc w:val="center"/>
            </w:pPr>
            <w:r>
              <w:rPr>
                <w:rFonts w:ascii="宋体" w:hAnsi="宋体" w:eastAsia="宋体"/>
                <w:sz w:val="16"/>
              </w:rPr>
              <w:t>关于印发《新疆维吾尔自治区家庭经济困难认定办法（试行）》的通知（新教规</w:t>
            </w:r>
            <w:r>
              <w:rPr>
                <w:rFonts w:hint="eastAsia" w:ascii="宋体" w:hAnsi="宋体"/>
                <w:sz w:val="16"/>
                <w:lang w:eastAsia="zh-CN"/>
              </w:rPr>
              <w:t>〔2019〕2号）</w:t>
            </w:r>
            <w:bookmarkStart w:id="0" w:name="_GoBack"/>
            <w:bookmarkEnd w:id="0"/>
            <w:r>
              <w:rPr>
                <w:rFonts w:ascii="宋体" w:hAnsi="宋体" w:eastAsia="宋体"/>
                <w:sz w:val="16"/>
              </w:rPr>
              <w:t>、</w:t>
            </w:r>
            <w:r>
              <w:rPr>
                <w:rFonts w:ascii="宋体" w:hAnsi="宋体" w:eastAsia="宋体"/>
                <w:sz w:val="16"/>
              </w:rPr>
              <w:tab/>
            </w:r>
            <w:r>
              <w:rPr>
                <w:rFonts w:ascii="宋体" w:hAnsi="宋体" w:eastAsia="宋体"/>
                <w:sz w:val="16"/>
              </w:rPr>
              <w:t>霍城县农村中小学家庭经济困难学生生活费补助资金管理办法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0F9A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5F79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0C916">
            <w:pPr>
              <w:jc w:val="center"/>
            </w:pPr>
            <w:r>
              <w:rPr>
                <w:rFonts w:ascii="宋体" w:hAnsi="宋体" w:eastAsia="宋体"/>
                <w:sz w:val="16"/>
              </w:rPr>
              <w:t>20</w:t>
            </w:r>
          </w:p>
        </w:tc>
      </w:tr>
      <w:tr w14:paraId="14FCF82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D4FE7">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F684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79DB7">
            <w:pPr>
              <w:jc w:val="center"/>
            </w:pPr>
            <w:r>
              <w:rPr>
                <w:rFonts w:ascii="宋体" w:hAnsi="宋体" w:eastAsia="宋体"/>
                <w:sz w:val="16"/>
              </w:rPr>
              <w:t>控辍保学辍学率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2AE2F">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C9CD4">
            <w:pPr>
              <w:jc w:val="center"/>
            </w:pPr>
            <w:r>
              <w:rPr>
                <w:rFonts w:ascii="宋体" w:hAnsi="宋体" w:eastAsia="宋体"/>
                <w:sz w:val="16"/>
              </w:rPr>
              <w:t>霍城且远镇则徐中心学校工作计划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14A0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87DA3">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9021E">
            <w:pPr>
              <w:jc w:val="center"/>
            </w:pPr>
            <w:r>
              <w:rPr>
                <w:rFonts w:ascii="宋体" w:hAnsi="宋体" w:eastAsia="宋体"/>
                <w:sz w:val="16"/>
              </w:rPr>
              <w:t>10</w:t>
            </w:r>
          </w:p>
        </w:tc>
      </w:tr>
      <w:tr w14:paraId="46B727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20E41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47E5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F274C">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9C7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18CDF">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AA41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817FC">
            <w:pPr>
              <w:jc w:val="center"/>
            </w:pPr>
            <w:r>
              <w:rPr>
                <w:rFonts w:ascii="宋体" w:hAnsi="宋体" w:eastAsia="宋体"/>
                <w:sz w:val="16"/>
              </w:rPr>
              <w:t>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44D65">
            <w:pPr>
              <w:jc w:val="center"/>
            </w:pPr>
            <w:r>
              <w:rPr>
                <w:rFonts w:ascii="宋体" w:hAnsi="宋体" w:eastAsia="宋体"/>
                <w:sz w:val="16"/>
              </w:rPr>
              <w:t>9.27</w:t>
            </w:r>
          </w:p>
        </w:tc>
      </w:tr>
    </w:tbl>
    <w:p w14:paraId="529D96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9"/>
        <w:gridCol w:w="485"/>
        <w:gridCol w:w="696"/>
        <w:gridCol w:w="632"/>
        <w:gridCol w:w="632"/>
        <w:gridCol w:w="632"/>
        <w:gridCol w:w="632"/>
        <w:gridCol w:w="776"/>
        <w:gridCol w:w="632"/>
        <w:gridCol w:w="632"/>
        <w:gridCol w:w="632"/>
      </w:tblGrid>
      <w:tr w14:paraId="731FB335">
        <w:tc>
          <w:tcPr>
            <w:tcW w:w="9056" w:type="dxa"/>
            <w:gridSpan w:val="14"/>
            <w:vAlign w:val="center"/>
          </w:tcPr>
          <w:p w14:paraId="346E025B">
            <w:pPr>
              <w:jc w:val="center"/>
            </w:pPr>
            <w:r>
              <w:rPr>
                <w:rFonts w:ascii="宋体" w:hAnsi="宋体" w:eastAsia="宋体"/>
                <w:sz w:val="24"/>
              </w:rPr>
              <w:t>项目支出绩效自评表</w:t>
            </w:r>
          </w:p>
        </w:tc>
      </w:tr>
      <w:tr w14:paraId="5FB8F836">
        <w:tblPrEx>
          <w:tblCellMar>
            <w:top w:w="0" w:type="dxa"/>
            <w:left w:w="108" w:type="dxa"/>
            <w:bottom w:w="0" w:type="dxa"/>
            <w:right w:w="108" w:type="dxa"/>
          </w:tblCellMar>
        </w:tblPrEx>
        <w:tc>
          <w:tcPr>
            <w:tcW w:w="9056" w:type="dxa"/>
            <w:gridSpan w:val="14"/>
            <w:vAlign w:val="center"/>
          </w:tcPr>
          <w:p w14:paraId="008E4E70">
            <w:pPr>
              <w:jc w:val="center"/>
            </w:pPr>
            <w:r>
              <w:rPr>
                <w:rFonts w:ascii="宋体" w:hAnsi="宋体" w:eastAsia="宋体"/>
                <w:sz w:val="24"/>
              </w:rPr>
              <w:t>(2024年度)</w:t>
            </w:r>
          </w:p>
        </w:tc>
      </w:tr>
      <w:tr w14:paraId="22F2E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5B40">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D1DED3">
            <w:pPr>
              <w:jc w:val="center"/>
            </w:pPr>
            <w:r>
              <w:rPr>
                <w:rFonts w:ascii="宋体" w:hAnsi="宋体" w:eastAsia="宋体"/>
                <w:sz w:val="16"/>
              </w:rPr>
              <w:t>拨付2024年4月-2025年3月国有企业办中小学退休教师待遇补差经费</w:t>
            </w:r>
          </w:p>
        </w:tc>
      </w:tr>
      <w:tr w14:paraId="100260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1B6A">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929D4">
            <w:pPr>
              <w:jc w:val="center"/>
            </w:pPr>
            <w:r>
              <w:rPr>
                <w:rFonts w:ascii="宋体" w:hAnsi="宋体" w:eastAsia="宋体"/>
                <w:sz w:val="16"/>
              </w:rPr>
              <w:t>霍城县惠远镇则徐中心学校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44DD">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F13C42">
            <w:pPr>
              <w:jc w:val="center"/>
            </w:pPr>
            <w:r>
              <w:rPr>
                <w:rFonts w:ascii="宋体" w:hAnsi="宋体" w:eastAsia="宋体"/>
                <w:sz w:val="16"/>
              </w:rPr>
              <w:t>霍城县惠远镇则徐中心学校</w:t>
            </w:r>
          </w:p>
        </w:tc>
      </w:tr>
      <w:tr w14:paraId="5FD5A6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2F26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6B1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DC06">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3A6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39972">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D7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A7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FC02">
            <w:pPr>
              <w:jc w:val="center"/>
            </w:pPr>
            <w:r>
              <w:rPr>
                <w:rFonts w:ascii="宋体" w:hAnsi="宋体" w:eastAsia="宋体"/>
                <w:sz w:val="16"/>
              </w:rPr>
              <w:t>得分</w:t>
            </w:r>
          </w:p>
        </w:tc>
      </w:tr>
      <w:tr w14:paraId="3BDC8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BF4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578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53F3C">
            <w:pPr>
              <w:jc w:val="center"/>
            </w:pPr>
            <w:r>
              <w:rPr>
                <w:rFonts w:ascii="宋体" w:hAnsi="宋体" w:eastAsia="宋体"/>
                <w:sz w:val="16"/>
              </w:rPr>
              <w:t>10.00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75471">
            <w:pPr>
              <w:jc w:val="center"/>
            </w:pPr>
            <w:r>
              <w:rPr>
                <w:rFonts w:ascii="宋体" w:hAnsi="宋体" w:eastAsia="宋体"/>
                <w:sz w:val="16"/>
              </w:rPr>
              <w:t>17.06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9F41F">
            <w:pPr>
              <w:jc w:val="center"/>
            </w:pPr>
            <w:r>
              <w:rPr>
                <w:rFonts w:ascii="宋体" w:hAnsi="宋体" w:eastAsia="宋体"/>
                <w:sz w:val="16"/>
              </w:rPr>
              <w:t>17.06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58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D68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8388">
            <w:pPr>
              <w:jc w:val="center"/>
            </w:pPr>
            <w:r>
              <w:rPr>
                <w:rFonts w:ascii="宋体" w:hAnsi="宋体" w:eastAsia="宋体"/>
                <w:sz w:val="16"/>
              </w:rPr>
              <w:t>10.00</w:t>
            </w:r>
          </w:p>
        </w:tc>
      </w:tr>
      <w:tr w14:paraId="55EEB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E52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6B3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4BD8">
            <w:pPr>
              <w:jc w:val="center"/>
            </w:pPr>
            <w:r>
              <w:rPr>
                <w:rFonts w:ascii="宋体" w:hAnsi="宋体" w:eastAsia="宋体"/>
                <w:sz w:val="16"/>
              </w:rPr>
              <w:t>10.00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184D">
            <w:pPr>
              <w:jc w:val="center"/>
            </w:pPr>
            <w:r>
              <w:rPr>
                <w:rFonts w:ascii="宋体" w:hAnsi="宋体" w:eastAsia="宋体"/>
                <w:sz w:val="16"/>
              </w:rPr>
              <w:t>17.06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4273">
            <w:pPr>
              <w:jc w:val="center"/>
            </w:pPr>
            <w:r>
              <w:rPr>
                <w:rFonts w:ascii="宋体" w:hAnsi="宋体" w:eastAsia="宋体"/>
                <w:sz w:val="16"/>
              </w:rPr>
              <w:t>17.06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7F6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D4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22EA">
            <w:pPr>
              <w:jc w:val="center"/>
            </w:pPr>
            <w:r>
              <w:rPr>
                <w:rFonts w:ascii="宋体" w:hAnsi="宋体" w:eastAsia="宋体"/>
                <w:sz w:val="16"/>
              </w:rPr>
              <w:t>—</w:t>
            </w:r>
          </w:p>
        </w:tc>
      </w:tr>
      <w:tr w14:paraId="7144D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EF8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9E0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0EDB5">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0A4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75CC">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0D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4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AD89">
            <w:pPr>
              <w:jc w:val="center"/>
            </w:pPr>
            <w:r>
              <w:rPr>
                <w:rFonts w:ascii="宋体" w:hAnsi="宋体" w:eastAsia="宋体"/>
                <w:sz w:val="16"/>
              </w:rPr>
              <w:t>—</w:t>
            </w:r>
          </w:p>
        </w:tc>
      </w:tr>
      <w:tr w14:paraId="0C711B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6D4DC">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8FE85">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3034A">
            <w:pPr>
              <w:jc w:val="center"/>
            </w:pPr>
            <w:r>
              <w:rPr>
                <w:rFonts w:ascii="宋体" w:hAnsi="宋体" w:eastAsia="宋体"/>
                <w:sz w:val="16"/>
              </w:rPr>
              <w:t>实际完成情况</w:t>
            </w:r>
          </w:p>
        </w:tc>
      </w:tr>
      <w:tr w14:paraId="11B34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329F0"/>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4885F">
            <w:pPr>
              <w:jc w:val="both"/>
            </w:pPr>
            <w:r>
              <w:rPr>
                <w:rFonts w:ascii="宋体" w:hAnsi="宋体" w:eastAsia="宋体"/>
                <w:sz w:val="16"/>
              </w:rPr>
              <w:t>规范国有企业办中小学退休教师养老待遇发放，贯彻落实</w:t>
            </w:r>
            <w:r>
              <w:rPr>
                <w:rFonts w:hint="eastAsia" w:ascii="宋体" w:hAnsi="宋体"/>
                <w:sz w:val="16"/>
                <w:lang w:eastAsia="zh-CN"/>
              </w:rPr>
              <w:t>中共中央、国务院</w:t>
            </w:r>
            <w:r>
              <w:rPr>
                <w:rFonts w:ascii="宋体" w:hAnsi="宋体" w:eastAsia="宋体"/>
                <w:sz w:val="16"/>
              </w:rPr>
              <w:t>关于全面深化国有企业改革，积极推进国有企业办中小学退休教师社会化管理，按照《国务院办公厅关于妥善解决国有企业办中小学退休教师待遇问题的通知》（国办发</w:t>
            </w:r>
            <w:r>
              <w:rPr>
                <w:rFonts w:hint="eastAsia" w:ascii="宋体" w:hAnsi="宋体"/>
                <w:sz w:val="16"/>
                <w:lang w:eastAsia="zh-CN"/>
              </w:rPr>
              <w:t>〔2004〕9号</w:t>
            </w:r>
            <w:r>
              <w:rPr>
                <w:rFonts w:ascii="宋体" w:hAnsi="宋体" w:eastAsia="宋体"/>
                <w:sz w:val="16"/>
              </w:rPr>
              <w:t>）文件精神，符合移交的国有企业办中小学退休教师，从2008年1月1日起，全部移交地方政府管理，根据文件要求，解决国有企业办中小学退休教师待遇问题，切实加强思想政治工作，将国有企业办中小学退休教师的待遇问题妥善解决好，维护社会稳定。退休金差额部分由上级财政承担。2024年4月-2025年3月国有企业办中小学3名退休教师各项补贴经费17.06万元。</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D82D0">
            <w:pPr>
              <w:jc w:val="both"/>
            </w:pPr>
            <w:r>
              <w:rPr>
                <w:rFonts w:ascii="宋体" w:hAnsi="宋体" w:eastAsia="宋体"/>
                <w:sz w:val="16"/>
              </w:rPr>
              <w:t>按照《国务院办公厅关于妥善解决国有企业办中小学退休教师待遇问题的通知》（国办发</w:t>
            </w:r>
            <w:r>
              <w:rPr>
                <w:rFonts w:hint="eastAsia" w:ascii="宋体" w:hAnsi="宋体"/>
                <w:sz w:val="16"/>
                <w:lang w:eastAsia="zh-CN"/>
              </w:rPr>
              <w:t>〔2004〕9号</w:t>
            </w:r>
            <w:r>
              <w:rPr>
                <w:rFonts w:ascii="宋体" w:hAnsi="宋体" w:eastAsia="宋体"/>
                <w:sz w:val="16"/>
              </w:rPr>
              <w:t>）、《关于提前下达2024年4月-2025年3月国有企业办中小学退休教师待遇补差经费预算的通知》（伊州财建</w:t>
            </w:r>
            <w:r>
              <w:rPr>
                <w:rFonts w:hint="eastAsia" w:ascii="宋体" w:hAnsi="宋体"/>
                <w:sz w:val="16"/>
                <w:lang w:eastAsia="zh-CN"/>
              </w:rPr>
              <w:t>〔2023〕178号</w:t>
            </w:r>
            <w:r>
              <w:rPr>
                <w:rFonts w:ascii="宋体" w:hAnsi="宋体" w:eastAsia="宋体"/>
                <w:sz w:val="16"/>
              </w:rPr>
              <w:t>）、《关于调整下达2024年4月-2025年3月国有企业办中小学退休教师待遇补差》（伊州财建</w:t>
            </w:r>
            <w:r>
              <w:rPr>
                <w:rFonts w:hint="eastAsia" w:ascii="宋体" w:hAnsi="宋体"/>
                <w:sz w:val="16"/>
                <w:lang w:eastAsia="zh-CN"/>
              </w:rPr>
              <w:t>〔2024〕24号</w:t>
            </w:r>
            <w:r>
              <w:rPr>
                <w:rFonts w:ascii="宋体" w:hAnsi="宋体" w:eastAsia="宋体"/>
                <w:sz w:val="16"/>
              </w:rPr>
              <w:t>）文件精神，由上级财政承担拨付的国有企业办中小学3名退休教师各项补贴经费17.06万元，分季度发放到位。切实解决了国有企业办中小学退休教师的待遇问题，提升退休教师生活水平，维护社会稳定。</w:t>
            </w:r>
          </w:p>
        </w:tc>
      </w:tr>
      <w:tr w14:paraId="01B60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7713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36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8A06">
            <w:pPr>
              <w:jc w:val="center"/>
            </w:pPr>
            <w:r>
              <w:rPr>
                <w:rFonts w:ascii="宋体" w:hAnsi="宋体" w:eastAsia="宋体"/>
                <w:sz w:val="16"/>
              </w:rPr>
              <w:t>二级指标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957F2D7">
            <w:pPr>
              <w:jc w:val="center"/>
            </w:pPr>
            <w:r>
              <w:rPr>
                <w:rFonts w:ascii="宋体" w:hAnsi="宋体" w:eastAsia="宋体"/>
                <w:sz w:val="16"/>
              </w:rPr>
              <w:t>三级指标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02EFAD6E">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92FDE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DE9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FBC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4DC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785A">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8A7F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82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EB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A25C">
            <w:pPr>
              <w:jc w:val="center"/>
            </w:pPr>
            <w:r>
              <w:rPr>
                <w:rFonts w:ascii="宋体" w:hAnsi="宋体" w:eastAsia="宋体"/>
                <w:sz w:val="16"/>
              </w:rPr>
              <w:t>偏差原因分析及改进措施</w:t>
            </w:r>
          </w:p>
        </w:tc>
      </w:tr>
      <w:tr w14:paraId="35ADCE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652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6E1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48639">
            <w:pPr>
              <w:jc w:val="center"/>
            </w:pPr>
            <w:r>
              <w:rPr>
                <w:rFonts w:ascii="宋体" w:hAnsi="宋体" w:eastAsia="宋体"/>
                <w:sz w:val="16"/>
              </w:rPr>
              <w:t>数量指标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C4441B5">
            <w:pPr>
              <w:jc w:val="center"/>
            </w:pPr>
            <w:r>
              <w:rPr>
                <w:rFonts w:ascii="宋体" w:hAnsi="宋体" w:eastAsia="宋体"/>
                <w:sz w:val="16"/>
              </w:rPr>
              <w:t>国有企业办中小学退休教师生活补贴政策享受人次</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6975CB3">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93F2FD">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5958">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1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00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EAD7">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ACFE4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B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9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E22A">
            <w:pPr>
              <w:jc w:val="center"/>
            </w:pPr>
          </w:p>
        </w:tc>
      </w:tr>
      <w:tr w14:paraId="3384E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5D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0C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0CCE"/>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78DB916">
            <w:pPr>
              <w:jc w:val="center"/>
            </w:pPr>
            <w:r>
              <w:rPr>
                <w:rFonts w:ascii="宋体" w:hAnsi="宋体" w:eastAsia="宋体"/>
                <w:sz w:val="16"/>
              </w:rPr>
              <w:t>退休教师生活补贴发放次数</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5D056DD">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F9E3D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773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8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3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947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6A2DD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3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EE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430D">
            <w:pPr>
              <w:jc w:val="center"/>
            </w:pPr>
          </w:p>
        </w:tc>
      </w:tr>
      <w:tr w14:paraId="5936E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05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FF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85ED">
            <w:pPr>
              <w:jc w:val="center"/>
            </w:pPr>
            <w:r>
              <w:rPr>
                <w:rFonts w:ascii="宋体" w:hAnsi="宋体" w:eastAsia="宋体"/>
                <w:sz w:val="16"/>
              </w:rPr>
              <w:t>质量指标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1EA4AFF">
            <w:pPr>
              <w:jc w:val="center"/>
            </w:pPr>
            <w:r>
              <w:rPr>
                <w:rFonts w:ascii="宋体" w:hAnsi="宋体" w:eastAsia="宋体"/>
                <w:sz w:val="16"/>
              </w:rPr>
              <w:t>资金发放准确率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6226B541">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2A6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A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3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13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2101">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93C7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3A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B5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EAC8">
            <w:pPr>
              <w:jc w:val="center"/>
            </w:pPr>
          </w:p>
        </w:tc>
      </w:tr>
      <w:tr w14:paraId="00E4D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75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6E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7CB8">
            <w:pPr>
              <w:jc w:val="center"/>
            </w:pPr>
            <w:r>
              <w:rPr>
                <w:rFonts w:ascii="宋体" w:hAnsi="宋体" w:eastAsia="宋体"/>
                <w:sz w:val="16"/>
              </w:rPr>
              <w:t>时效指标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1109FB0">
            <w:pPr>
              <w:jc w:val="center"/>
            </w:pPr>
            <w:r>
              <w:rPr>
                <w:rFonts w:ascii="宋体" w:hAnsi="宋体" w:eastAsia="宋体"/>
                <w:sz w:val="16"/>
              </w:rPr>
              <w:t>资金发放及时率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699905DE">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4DA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18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1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ED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639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1034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57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5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4B1E">
            <w:pPr>
              <w:jc w:val="center"/>
            </w:pPr>
          </w:p>
        </w:tc>
      </w:tr>
      <w:tr w14:paraId="1048B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EE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E3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3786">
            <w:pPr>
              <w:jc w:val="center"/>
            </w:pPr>
            <w:r>
              <w:rPr>
                <w:rFonts w:ascii="宋体" w:hAnsi="宋体" w:eastAsia="宋体"/>
                <w:sz w:val="16"/>
              </w:rPr>
              <w:t>经济成本指标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F059E2C">
            <w:pPr>
              <w:jc w:val="center"/>
            </w:pPr>
            <w:r>
              <w:rPr>
                <w:rFonts w:ascii="宋体" w:hAnsi="宋体" w:eastAsia="宋体"/>
                <w:sz w:val="16"/>
              </w:rPr>
              <w:t>每次发放补助金额</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90211EA">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CFBDDB">
            <w:pPr>
              <w:jc w:val="center"/>
            </w:pPr>
            <w:r>
              <w:rPr>
                <w:rFonts w:ascii="宋体" w:hAnsi="宋体" w:eastAsia="宋体"/>
                <w:sz w:val="16"/>
              </w:rPr>
              <w:t>&lt;=4.27万元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E6BE">
            <w:pPr>
              <w:jc w:val="center"/>
            </w:pPr>
            <w:r>
              <w:rPr>
                <w:rFonts w:ascii="宋体" w:hAnsi="宋体" w:eastAsia="宋体"/>
                <w:sz w:val="16"/>
              </w:rPr>
              <w:t>4.265万元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D1D4">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D1EF">
            <w:pPr>
              <w:jc w:val="center"/>
            </w:pPr>
            <w:r>
              <w:rPr>
                <w:rFonts w:ascii="宋体" w:hAnsi="宋体" w:eastAsia="宋体"/>
                <w:sz w:val="16"/>
              </w:rPr>
              <w:t>19.96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3F32">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B35037">
            <w:pPr>
              <w:jc w:val="center"/>
            </w:pPr>
            <w:r>
              <w:rPr>
                <w:rFonts w:ascii="宋体" w:hAnsi="宋体" w:eastAsia="宋体"/>
                <w:sz w:val="16"/>
              </w:rPr>
              <w:t>&lt;=8.145万元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2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82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8AA2">
            <w:pPr>
              <w:jc w:val="center"/>
            </w:pPr>
            <w:r>
              <w:rPr>
                <w:rFonts w:ascii="宋体" w:hAnsi="宋体" w:eastAsia="宋体"/>
                <w:sz w:val="16"/>
              </w:rPr>
              <w:t>年初设置绩效目标时，进行四舍五入为4.27万元，实际完成值为4.265万元。</w:t>
            </w:r>
          </w:p>
        </w:tc>
      </w:tr>
      <w:tr w14:paraId="0116B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0B2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B987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DBBBE">
            <w:pPr>
              <w:jc w:val="center"/>
            </w:pPr>
            <w:r>
              <w:rPr>
                <w:rFonts w:ascii="宋体" w:hAnsi="宋体" w:eastAsia="宋体"/>
                <w:sz w:val="16"/>
              </w:rPr>
              <w:t>社会效益指标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692FA1E">
            <w:pPr>
              <w:jc w:val="center"/>
            </w:pPr>
            <w:r>
              <w:rPr>
                <w:rFonts w:hint="eastAsia" w:ascii="宋体" w:hAnsi="宋体"/>
                <w:sz w:val="16"/>
                <w:lang w:eastAsia="zh-CN"/>
              </w:rPr>
              <w:t>群体性上访事件</w:t>
            </w:r>
            <w:r>
              <w:rPr>
                <w:rFonts w:ascii="宋体" w:hAnsi="宋体" w:eastAsia="宋体"/>
                <w:sz w:val="16"/>
              </w:rPr>
              <w:t>发生率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F09A0C5">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57959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3C0F">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7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05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F2DC">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18432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3D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86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3721">
            <w:pPr>
              <w:jc w:val="center"/>
            </w:pPr>
          </w:p>
        </w:tc>
      </w:tr>
      <w:tr w14:paraId="76718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C2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08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BD393"/>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DD7460B">
            <w:pPr>
              <w:jc w:val="center"/>
            </w:pPr>
            <w:r>
              <w:rPr>
                <w:rFonts w:ascii="宋体" w:hAnsi="宋体" w:eastAsia="宋体"/>
                <w:sz w:val="16"/>
              </w:rPr>
              <w:t>保障国有企业退休人员待遇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3F367378">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CF689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B9DE">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B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ED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EC63">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54DB4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91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11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BA54">
            <w:pPr>
              <w:jc w:val="center"/>
            </w:pPr>
          </w:p>
        </w:tc>
      </w:tr>
      <w:tr w14:paraId="000FB98E">
        <w:tblPrEx>
          <w:tblCellMar>
            <w:top w:w="0" w:type="dxa"/>
            <w:left w:w="108" w:type="dxa"/>
            <w:bottom w:w="0" w:type="dxa"/>
            <w:right w:w="108" w:type="dxa"/>
          </w:tblCellMar>
        </w:tblPrEx>
        <w:tc>
          <w:tcPr>
            <w:tcW w:w="26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67E0E4">
            <w:pPr>
              <w:jc w:val="center"/>
            </w:pPr>
            <w:r>
              <w:rPr>
                <w:rFonts w:ascii="宋体" w:hAnsi="宋体" w:eastAsia="宋体"/>
                <w:sz w:val="16"/>
              </w:rPr>
              <w:t>总分</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B2410C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65AB8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6FB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3B6C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DE12">
            <w:pPr>
              <w:jc w:val="center"/>
            </w:pPr>
            <w:r>
              <w:rPr>
                <w:rFonts w:ascii="宋体" w:hAnsi="宋体" w:eastAsia="宋体"/>
                <w:sz w:val="16"/>
              </w:rPr>
              <w:t>99.96分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F4CF2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D9EDC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2CA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9A1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BCC7D"/>
        </w:tc>
      </w:tr>
    </w:tbl>
    <w:p w14:paraId="0B27A6E3">
      <w:r>
        <w:br w:type="page"/>
      </w:r>
    </w:p>
    <w:p w14:paraId="0F81B794">
      <w:pPr>
        <w:spacing w:line="640" w:lineRule="exact"/>
        <w:ind w:firstLine="640"/>
        <w:jc w:val="both"/>
        <w:outlineLvl w:val="2"/>
      </w:pPr>
      <w:r>
        <w:rPr>
          <w:rFonts w:ascii="黑体" w:hAnsi="黑体" w:eastAsia="黑体"/>
          <w:sz w:val="32"/>
        </w:rPr>
        <w:t>十二、其他需说明的事项</w:t>
      </w:r>
    </w:p>
    <w:p w14:paraId="371FB102">
      <w:pPr>
        <w:spacing w:line="580" w:lineRule="exact"/>
        <w:ind w:firstLine="640"/>
        <w:jc w:val="both"/>
      </w:pPr>
      <w:r>
        <w:rPr>
          <w:rFonts w:ascii="仿宋_GB2312" w:hAnsi="仿宋_GB2312" w:eastAsia="仿宋_GB2312"/>
          <w:b w:val="0"/>
          <w:sz w:val="32"/>
        </w:rPr>
        <w:t>本单位无其他需说明的事项。</w:t>
      </w:r>
    </w:p>
    <w:p w14:paraId="5E8F17F0">
      <w:r>
        <w:br w:type="page"/>
      </w:r>
    </w:p>
    <w:p w14:paraId="7B2A7161">
      <w:pPr>
        <w:spacing w:line="240" w:lineRule="auto"/>
        <w:jc w:val="center"/>
        <w:outlineLvl w:val="1"/>
      </w:pPr>
      <w:r>
        <w:rPr>
          <w:rFonts w:ascii="黑体" w:hAnsi="黑体" w:eastAsia="黑体"/>
          <w:sz w:val="32"/>
        </w:rPr>
        <w:t>第三部分 专业名词解释</w:t>
      </w:r>
    </w:p>
    <w:p w14:paraId="54EED15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A7CB0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8E863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C9987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65153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CEA11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9CC22C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8866C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2AF48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B50B2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4A2BB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A8AE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0587B0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3D8B3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C9046A">
      <w:r>
        <w:br w:type="page"/>
      </w:r>
    </w:p>
    <w:p w14:paraId="512C37E3">
      <w:pPr>
        <w:spacing w:line="240" w:lineRule="auto"/>
        <w:jc w:val="center"/>
        <w:outlineLvl w:val="1"/>
      </w:pPr>
      <w:r>
        <w:rPr>
          <w:rFonts w:ascii="黑体" w:hAnsi="黑体" w:eastAsia="黑体"/>
          <w:sz w:val="32"/>
        </w:rPr>
        <w:t>第四部分 部门决算报表（见附表）</w:t>
      </w:r>
    </w:p>
    <w:p w14:paraId="648CE3F8">
      <w:pPr>
        <w:spacing w:line="240" w:lineRule="auto"/>
        <w:ind w:firstLine="640"/>
        <w:jc w:val="both"/>
      </w:pPr>
      <w:r>
        <w:rPr>
          <w:rFonts w:ascii="仿宋_GB2312" w:hAnsi="仿宋_GB2312" w:eastAsia="仿宋_GB2312"/>
          <w:b w:val="0"/>
          <w:sz w:val="32"/>
        </w:rPr>
        <w:t>一、《收入支出决算总表》</w:t>
      </w:r>
    </w:p>
    <w:p w14:paraId="21CDF1BC">
      <w:pPr>
        <w:spacing w:line="240" w:lineRule="auto"/>
        <w:ind w:firstLine="640"/>
        <w:jc w:val="both"/>
      </w:pPr>
      <w:r>
        <w:rPr>
          <w:rFonts w:ascii="仿宋_GB2312" w:hAnsi="仿宋_GB2312" w:eastAsia="仿宋_GB2312"/>
          <w:b w:val="0"/>
          <w:sz w:val="32"/>
        </w:rPr>
        <w:t>二、《收入决算表》</w:t>
      </w:r>
    </w:p>
    <w:p w14:paraId="78AF7919">
      <w:pPr>
        <w:spacing w:line="240" w:lineRule="auto"/>
        <w:ind w:firstLine="640"/>
        <w:jc w:val="both"/>
      </w:pPr>
      <w:r>
        <w:rPr>
          <w:rFonts w:ascii="仿宋_GB2312" w:hAnsi="仿宋_GB2312" w:eastAsia="仿宋_GB2312"/>
          <w:b w:val="0"/>
          <w:sz w:val="32"/>
        </w:rPr>
        <w:t>三、《支出决算表》</w:t>
      </w:r>
    </w:p>
    <w:p w14:paraId="6AA9A205">
      <w:pPr>
        <w:spacing w:line="240" w:lineRule="auto"/>
        <w:ind w:firstLine="640"/>
        <w:jc w:val="both"/>
      </w:pPr>
      <w:r>
        <w:rPr>
          <w:rFonts w:ascii="仿宋_GB2312" w:hAnsi="仿宋_GB2312" w:eastAsia="仿宋_GB2312"/>
          <w:b w:val="0"/>
          <w:sz w:val="32"/>
        </w:rPr>
        <w:t>四、《财政拨款收入支出决算总表》</w:t>
      </w:r>
    </w:p>
    <w:p w14:paraId="01850DE9">
      <w:pPr>
        <w:spacing w:line="240" w:lineRule="auto"/>
        <w:ind w:firstLine="640"/>
        <w:jc w:val="both"/>
      </w:pPr>
      <w:r>
        <w:rPr>
          <w:rFonts w:ascii="仿宋_GB2312" w:hAnsi="仿宋_GB2312" w:eastAsia="仿宋_GB2312"/>
          <w:b w:val="0"/>
          <w:sz w:val="32"/>
        </w:rPr>
        <w:t>五、《一般公共预算财政拨款支出决算表》</w:t>
      </w:r>
    </w:p>
    <w:p w14:paraId="78965C8F">
      <w:pPr>
        <w:spacing w:line="240" w:lineRule="auto"/>
        <w:ind w:firstLine="640"/>
        <w:jc w:val="both"/>
      </w:pPr>
      <w:r>
        <w:rPr>
          <w:rFonts w:ascii="仿宋_GB2312" w:hAnsi="仿宋_GB2312" w:eastAsia="仿宋_GB2312"/>
          <w:b w:val="0"/>
          <w:sz w:val="32"/>
        </w:rPr>
        <w:t>六、《一般公共预算财政拨款基本支出决算表》</w:t>
      </w:r>
    </w:p>
    <w:p w14:paraId="76BB60B2">
      <w:pPr>
        <w:spacing w:line="240" w:lineRule="auto"/>
        <w:ind w:firstLine="640"/>
        <w:jc w:val="both"/>
      </w:pPr>
      <w:r>
        <w:rPr>
          <w:rFonts w:ascii="仿宋_GB2312" w:hAnsi="仿宋_GB2312" w:eastAsia="仿宋_GB2312"/>
          <w:b w:val="0"/>
          <w:sz w:val="32"/>
        </w:rPr>
        <w:t>七、《政府性基金预算财政拨款收入支出决算表》</w:t>
      </w:r>
    </w:p>
    <w:p w14:paraId="1284BC49">
      <w:pPr>
        <w:spacing w:line="240" w:lineRule="auto"/>
        <w:ind w:firstLine="640"/>
        <w:jc w:val="both"/>
      </w:pPr>
      <w:r>
        <w:rPr>
          <w:rFonts w:ascii="仿宋_GB2312" w:hAnsi="仿宋_GB2312" w:eastAsia="仿宋_GB2312"/>
          <w:b w:val="0"/>
          <w:sz w:val="32"/>
        </w:rPr>
        <w:t>八、《国有资本经营预算财政拨款收入支出决算表》</w:t>
      </w:r>
    </w:p>
    <w:p w14:paraId="6DDB0BDB">
      <w:pPr>
        <w:spacing w:line="240" w:lineRule="auto"/>
        <w:ind w:firstLine="640"/>
        <w:jc w:val="both"/>
      </w:pPr>
      <w:r>
        <w:rPr>
          <w:rFonts w:ascii="仿宋_GB2312" w:hAnsi="仿宋_GB2312" w:eastAsia="仿宋_GB2312"/>
          <w:b w:val="0"/>
          <w:sz w:val="32"/>
        </w:rPr>
        <w:t>九、《财政拨款“三公”经费支出决算表》</w:t>
      </w:r>
    </w:p>
    <w:p w14:paraId="47D2B4EC">
      <w:pPr>
        <w:spacing w:line="240" w:lineRule="auto"/>
        <w:ind w:firstLine="640"/>
        <w:jc w:val="both"/>
      </w:pPr>
    </w:p>
    <w:p w14:paraId="46E54D23">
      <w:pPr>
        <w:spacing w:line="240" w:lineRule="auto"/>
        <w:ind w:firstLine="640"/>
        <w:jc w:val="both"/>
      </w:pPr>
    </w:p>
    <w:p w14:paraId="22F9C98D">
      <w:pPr>
        <w:spacing w:line="240" w:lineRule="auto"/>
        <w:ind w:firstLine="640"/>
        <w:jc w:val="both"/>
      </w:pPr>
    </w:p>
    <w:p w14:paraId="3DD74C66">
      <w:pPr>
        <w:spacing w:line="240" w:lineRule="auto"/>
        <w:ind w:firstLine="640"/>
        <w:jc w:val="both"/>
      </w:pPr>
    </w:p>
    <w:p w14:paraId="17CB4A5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D163F5-DF63-4CB7-9D6B-D24137646F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56C6CDD-CA26-43C4-8A48-4299EA475B57}"/>
  </w:font>
  <w:font w:name="仿宋_GB2312">
    <w:panose1 w:val="02010609030101010101"/>
    <w:charset w:val="86"/>
    <w:family w:val="modern"/>
    <w:pitch w:val="default"/>
    <w:sig w:usb0="00000001" w:usb1="080E0000" w:usb2="00000000" w:usb3="00000000" w:csb0="00040000" w:csb1="00000000"/>
    <w:embedRegular r:id="rId3" w:fontKey="{CE9D9050-A36A-45B3-8557-9993892B4E5C}"/>
  </w:font>
  <w:font w:name="楷体_GB2312">
    <w:panose1 w:val="02010609030101010101"/>
    <w:charset w:val="86"/>
    <w:family w:val="auto"/>
    <w:pitch w:val="default"/>
    <w:sig w:usb0="00000001" w:usb1="080E0000" w:usb2="00000000" w:usb3="00000000" w:csb0="00040000" w:csb1="00000000"/>
    <w:embedRegular r:id="rId4" w:fontKey="{C87DC792-8121-4B8D-8996-615DFBAD90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3332A6"/>
    <w:rsid w:val="034D4FEF"/>
    <w:rsid w:val="043E5B56"/>
    <w:rsid w:val="06792773"/>
    <w:rsid w:val="09A729D8"/>
    <w:rsid w:val="0A3C58E8"/>
    <w:rsid w:val="0A7B4867"/>
    <w:rsid w:val="0B8C3ECC"/>
    <w:rsid w:val="0C270389"/>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CE77EC"/>
    <w:rsid w:val="4B4C0111"/>
    <w:rsid w:val="4BB23021"/>
    <w:rsid w:val="4D091CA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6202</Words>
  <Characters>7149</Characters>
  <Lines>0</Lines>
  <Paragraphs>0</Paragraphs>
  <TotalTime>9</TotalTime>
  <ScaleCrop>false</ScaleCrop>
  <LinksUpToDate>false</LinksUpToDate>
  <CharactersWithSpaces>7158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