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霍城县惠远镇人民政府2024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1CD1142">
      <w:r>
        <w:br w:type="page"/>
      </w:r>
    </w:p>
    <w:p w14:paraId="028D7A1A">
      <w:pPr>
        <w:spacing w:line="640" w:lineRule="exact"/>
        <w:jc w:val="center"/>
        <w:outlineLvl w:val="1"/>
      </w:pPr>
      <w:r>
        <w:rPr>
          <w:rFonts w:ascii="黑体" w:hAnsi="黑体" w:eastAsia="黑体"/>
          <w:sz w:val="32"/>
        </w:rPr>
        <w:t>第一部分 单位概况</w:t>
      </w:r>
    </w:p>
    <w:p w14:paraId="77CF7FA4">
      <w:pPr>
        <w:spacing w:line="640" w:lineRule="exact"/>
        <w:ind w:firstLine="640"/>
        <w:jc w:val="both"/>
        <w:outlineLvl w:val="2"/>
      </w:pPr>
      <w:r>
        <w:rPr>
          <w:rFonts w:ascii="黑体" w:hAnsi="黑体" w:eastAsia="黑体"/>
          <w:sz w:val="32"/>
        </w:rPr>
        <w:t>一、主要职能</w:t>
      </w:r>
    </w:p>
    <w:p w14:paraId="561F87F7">
      <w:pPr>
        <w:spacing w:line="580" w:lineRule="exact"/>
        <w:ind w:firstLine="640"/>
        <w:jc w:val="both"/>
      </w:pPr>
      <w:r>
        <w:rPr>
          <w:rFonts w:ascii="仿宋_GB2312" w:hAnsi="仿宋_GB2312" w:eastAsia="仿宋_GB2312"/>
          <w:sz w:val="32"/>
        </w:rPr>
        <w:t>认真执行国家法律法规以及上级人民政府的决定和命令执行本级人民代表大会的决议。负责制定和执行本行政区域内的经济和社会发展的计划。管理本行政区域内的经济、教育、科技、文化、卫生、体育事业和民政、公安、司法等行政工作。保护国家财产，保障公民的合法权益，维护社会正常秩序，推行民主管理制度，实施依法行政管理本镇的各项社会事务。认真执行国家各项经济政策，保护各种经济组织的合法权益、积极促进本镇乡镇企业及其他农村经济快速稳步</w:t>
      </w:r>
      <w:r>
        <w:rPr>
          <w:rFonts w:hint="eastAsia" w:ascii="仿宋_GB2312" w:hAnsi="仿宋_GB2312" w:eastAsia="仿宋_GB2312"/>
          <w:sz w:val="32"/>
          <w:lang w:eastAsia="zh-CN"/>
        </w:rPr>
        <w:t>地</w:t>
      </w:r>
      <w:r>
        <w:rPr>
          <w:rFonts w:ascii="仿宋_GB2312" w:hAnsi="仿宋_GB2312" w:eastAsia="仿宋_GB2312"/>
          <w:sz w:val="32"/>
        </w:rPr>
        <w:t>发展。宣传党和国家的民族政策、依法保护宪法和法律赋予妇女、儿童、老龄人的合法权益。办理上级人民政府交办的其他工作。</w:t>
      </w:r>
    </w:p>
    <w:p w14:paraId="310355BA">
      <w:pPr>
        <w:spacing w:line="640" w:lineRule="exact"/>
        <w:ind w:firstLine="640"/>
        <w:jc w:val="both"/>
        <w:outlineLvl w:val="2"/>
      </w:pPr>
      <w:r>
        <w:rPr>
          <w:rFonts w:ascii="黑体" w:hAnsi="黑体" w:eastAsia="黑体"/>
          <w:sz w:val="32"/>
        </w:rPr>
        <w:t>二、机构设置及人员情况</w:t>
      </w:r>
    </w:p>
    <w:p w14:paraId="2EE6F345">
      <w:pPr>
        <w:spacing w:line="580" w:lineRule="exact"/>
        <w:ind w:firstLine="640"/>
        <w:jc w:val="both"/>
      </w:pPr>
      <w:r>
        <w:rPr>
          <w:rFonts w:ascii="仿宋_GB2312" w:hAnsi="仿宋_GB2312" w:eastAsia="仿宋_GB2312"/>
          <w:sz w:val="32"/>
        </w:rPr>
        <w:t>霍城县惠远镇人民政府2024年度，实有人数127人，其中：在职人员94人，减少10人；离休人员0人，增加0人；退休人员33人,增加0人。</w:t>
      </w:r>
    </w:p>
    <w:p w14:paraId="76748915">
      <w:pPr>
        <w:spacing w:line="580" w:lineRule="exact"/>
        <w:ind w:firstLine="640"/>
        <w:jc w:val="both"/>
      </w:pPr>
      <w:r>
        <w:rPr>
          <w:rFonts w:ascii="仿宋_GB2312" w:hAnsi="仿宋_GB2312" w:eastAsia="仿宋_GB2312"/>
          <w:sz w:val="32"/>
        </w:rPr>
        <w:t>霍城县惠远镇人民政府无下属预算单位，下设13个科室，分别是：党政办公室、党建办公室、经济发展办公室、社会事务办公室、综合执法办公室、农业（畜牧业）发展服务中心、文体广电旅游服务中心、社会保障（民政）服务中心（退役军人服务站）、农村合作经济（统计）发展中心（财政所）、村镇规划建设发展中心（生态环境工作站）、综治中心(网格化服务中心)、综合行政执法队、人口和计生生殖健康服务站。</w:t>
      </w:r>
    </w:p>
    <w:p w14:paraId="7886DB2A">
      <w:r>
        <w:br w:type="page"/>
      </w:r>
    </w:p>
    <w:p w14:paraId="290999EF">
      <w:pPr>
        <w:spacing w:line="240" w:lineRule="auto"/>
        <w:jc w:val="center"/>
        <w:outlineLvl w:val="1"/>
      </w:pPr>
      <w:r>
        <w:rPr>
          <w:rFonts w:ascii="黑体" w:hAnsi="黑体" w:eastAsia="黑体"/>
          <w:sz w:val="32"/>
        </w:rPr>
        <w:t>第二部分 部门决算情况说明</w:t>
      </w:r>
    </w:p>
    <w:p w14:paraId="7A08F501">
      <w:pPr>
        <w:spacing w:line="640" w:lineRule="exact"/>
        <w:ind w:firstLine="640"/>
        <w:jc w:val="both"/>
        <w:outlineLvl w:val="2"/>
      </w:pPr>
      <w:r>
        <w:rPr>
          <w:rFonts w:ascii="黑体" w:hAnsi="黑体" w:eastAsia="黑体"/>
          <w:sz w:val="32"/>
        </w:rPr>
        <w:t>一、收入支出决算总体情况说明</w:t>
      </w:r>
    </w:p>
    <w:p w14:paraId="30A53895">
      <w:pPr>
        <w:spacing w:line="580" w:lineRule="exact"/>
        <w:ind w:firstLine="640"/>
        <w:jc w:val="both"/>
      </w:pPr>
      <w:r>
        <w:rPr>
          <w:rFonts w:ascii="仿宋_GB2312" w:hAnsi="仿宋_GB2312" w:eastAsia="仿宋_GB2312"/>
          <w:b/>
          <w:sz w:val="32"/>
        </w:rPr>
        <w:t>2024年度收入总计2,724.61万元，</w:t>
      </w:r>
      <w:r>
        <w:rPr>
          <w:rFonts w:ascii="仿宋_GB2312" w:hAnsi="仿宋_GB2312" w:eastAsia="仿宋_GB2312"/>
          <w:b w:val="0"/>
          <w:sz w:val="32"/>
        </w:rPr>
        <w:t>其中：本年收入合计2,724.61万元，使用非财政拨款结余（含专用结余）0.00万元，年初结转和结余0.00万元。</w:t>
      </w:r>
    </w:p>
    <w:p w14:paraId="7DB9C6D8">
      <w:pPr>
        <w:spacing w:line="580" w:lineRule="exact"/>
        <w:ind w:firstLine="640"/>
        <w:jc w:val="both"/>
      </w:pPr>
      <w:r>
        <w:rPr>
          <w:rFonts w:ascii="仿宋_GB2312" w:hAnsi="仿宋_GB2312" w:eastAsia="仿宋_GB2312"/>
          <w:b/>
          <w:sz w:val="32"/>
        </w:rPr>
        <w:t>2024年度支出总计2,724.61万元，</w:t>
      </w:r>
      <w:r>
        <w:rPr>
          <w:rFonts w:ascii="仿宋_GB2312" w:hAnsi="仿宋_GB2312" w:eastAsia="仿宋_GB2312"/>
          <w:b w:val="0"/>
          <w:sz w:val="32"/>
        </w:rPr>
        <w:t>其中：本年支出合计2,720.26万元，结余分配0.00万元，年末结转和结余4.35万元。</w:t>
      </w:r>
    </w:p>
    <w:p w14:paraId="3AD5DDF1">
      <w:pPr>
        <w:spacing w:line="580" w:lineRule="exact"/>
        <w:ind w:firstLine="640"/>
        <w:jc w:val="both"/>
      </w:pPr>
      <w:r>
        <w:rPr>
          <w:rFonts w:ascii="仿宋_GB2312" w:hAnsi="仿宋_GB2312" w:eastAsia="仿宋_GB2312"/>
          <w:b w:val="0"/>
          <w:sz w:val="32"/>
        </w:rPr>
        <w:t>收入支出总体与上年相比，增加182.60万元，增长7.18%，主要原因是：本年度增加惠远镇乡村振兴项目征地补偿款、惠远镇禁毒中心建设项目、惠远镇乱埋乱葬整治项目。</w:t>
      </w:r>
    </w:p>
    <w:p w14:paraId="2E82D294">
      <w:pPr>
        <w:spacing w:line="640" w:lineRule="exact"/>
        <w:ind w:firstLine="640"/>
        <w:jc w:val="both"/>
        <w:outlineLvl w:val="2"/>
      </w:pPr>
      <w:r>
        <w:rPr>
          <w:rFonts w:ascii="黑体" w:hAnsi="黑体" w:eastAsia="黑体"/>
          <w:sz w:val="32"/>
        </w:rPr>
        <w:t>二、收入决算情况说明</w:t>
      </w:r>
    </w:p>
    <w:p w14:paraId="4C5996A4">
      <w:pPr>
        <w:spacing w:line="580" w:lineRule="exact"/>
        <w:ind w:firstLine="640"/>
        <w:jc w:val="both"/>
      </w:pPr>
      <w:r>
        <w:rPr>
          <w:rFonts w:ascii="仿宋_GB2312" w:hAnsi="仿宋_GB2312" w:eastAsia="仿宋_GB2312"/>
          <w:b/>
          <w:sz w:val="32"/>
        </w:rPr>
        <w:t>本年收入2,724.61万元，</w:t>
      </w:r>
      <w:r>
        <w:rPr>
          <w:rFonts w:ascii="仿宋_GB2312" w:hAnsi="仿宋_GB2312" w:eastAsia="仿宋_GB2312"/>
          <w:b w:val="0"/>
          <w:sz w:val="32"/>
        </w:rPr>
        <w:t>其中：财政拨款收入2,712.60万元，占99.56%；上级补助收入0.00万元，占0.00%；事业收入0.00万元，占0.00%；经营收入0.00万元，占0.00%；附属单位上缴收入0.00万元，占0.00%；其他收入12.01万元，占0.44%。</w:t>
      </w:r>
    </w:p>
    <w:p w14:paraId="4707FE80">
      <w:pPr>
        <w:spacing w:line="640" w:lineRule="exact"/>
        <w:ind w:firstLine="640"/>
        <w:jc w:val="both"/>
        <w:outlineLvl w:val="2"/>
      </w:pPr>
      <w:r>
        <w:rPr>
          <w:rFonts w:ascii="黑体" w:hAnsi="黑体" w:eastAsia="黑体"/>
          <w:sz w:val="32"/>
        </w:rPr>
        <w:t>三、支出决算情况说明</w:t>
      </w:r>
    </w:p>
    <w:p w14:paraId="2D0F7A97">
      <w:pPr>
        <w:spacing w:line="580" w:lineRule="exact"/>
        <w:ind w:firstLine="640"/>
        <w:jc w:val="both"/>
      </w:pPr>
      <w:r>
        <w:rPr>
          <w:rFonts w:ascii="仿宋_GB2312" w:hAnsi="仿宋_GB2312" w:eastAsia="仿宋_GB2312"/>
          <w:b/>
          <w:sz w:val="32"/>
        </w:rPr>
        <w:t>本年支出2,720.26万元，</w:t>
      </w:r>
      <w:r>
        <w:rPr>
          <w:rFonts w:ascii="仿宋_GB2312" w:hAnsi="仿宋_GB2312" w:eastAsia="仿宋_GB2312"/>
          <w:b w:val="0"/>
          <w:sz w:val="32"/>
        </w:rPr>
        <w:t>其中：基本支出2,405.65万元，占88.43%；项目支出314.61万元，占11.57%；上缴上级支出0.00万元，占0.00%；经营支出0.00万元，占0.00%；对附属单位补助支出0.00万元，占0.00%。</w:t>
      </w:r>
    </w:p>
    <w:p w14:paraId="6D457AFB">
      <w:pPr>
        <w:spacing w:line="640" w:lineRule="exact"/>
        <w:ind w:firstLine="640"/>
        <w:jc w:val="both"/>
        <w:outlineLvl w:val="2"/>
      </w:pPr>
      <w:r>
        <w:rPr>
          <w:rFonts w:ascii="黑体" w:hAnsi="黑体" w:eastAsia="黑体"/>
          <w:sz w:val="32"/>
        </w:rPr>
        <w:t>四、财政拨款收入支出决算总体情况说明</w:t>
      </w:r>
    </w:p>
    <w:p w14:paraId="4BD0D6C7">
      <w:pPr>
        <w:spacing w:line="580" w:lineRule="exact"/>
        <w:ind w:firstLine="640"/>
        <w:jc w:val="both"/>
      </w:pPr>
      <w:r>
        <w:rPr>
          <w:rFonts w:ascii="仿宋_GB2312" w:hAnsi="仿宋_GB2312" w:eastAsia="仿宋_GB2312"/>
          <w:b/>
          <w:sz w:val="32"/>
        </w:rPr>
        <w:t>2024年度财政拨款收入总计2,712.60万元，</w:t>
      </w:r>
      <w:r>
        <w:rPr>
          <w:rFonts w:ascii="仿宋_GB2312" w:hAnsi="仿宋_GB2312" w:eastAsia="仿宋_GB2312"/>
          <w:b w:val="0"/>
          <w:sz w:val="32"/>
        </w:rPr>
        <w:t>其中：年初财政拨款结转和结余0.00万元，本年财政拨款收入2,712.60万元。</w:t>
      </w:r>
      <w:r>
        <w:rPr>
          <w:rFonts w:ascii="仿宋_GB2312" w:hAnsi="仿宋_GB2312" w:eastAsia="仿宋_GB2312"/>
          <w:b/>
          <w:sz w:val="32"/>
        </w:rPr>
        <w:t>财政拨款支出总计2,712.60万元，</w:t>
      </w:r>
      <w:r>
        <w:rPr>
          <w:rFonts w:ascii="仿宋_GB2312" w:hAnsi="仿宋_GB2312" w:eastAsia="仿宋_GB2312"/>
          <w:b w:val="0"/>
          <w:sz w:val="32"/>
        </w:rPr>
        <w:t>其中：年末财政拨款结转和结余0.00万元，本年财政拨款支出2,712.60万元。</w:t>
      </w:r>
    </w:p>
    <w:p w14:paraId="0B7E742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增加170.59万元，增长6.71%，主要原因是：本年度增加惠远镇乡村振兴项目征地补偿款、惠远镇禁毒中心建设项目、惠远镇乱埋乱葬整治项目。</w:t>
      </w:r>
      <w:r>
        <w:rPr>
          <w:rFonts w:ascii="仿宋_GB2312" w:hAnsi="仿宋_GB2312" w:eastAsia="仿宋_GB2312"/>
          <w:b/>
          <w:sz w:val="32"/>
        </w:rPr>
        <w:t>与年初预算相比，</w:t>
      </w:r>
      <w:r>
        <w:rPr>
          <w:rFonts w:ascii="仿宋_GB2312" w:hAnsi="仿宋_GB2312" w:eastAsia="仿宋_GB2312"/>
          <w:b w:val="0"/>
          <w:sz w:val="32"/>
        </w:rPr>
        <w:t>年初预算数1,607.12万元，决算数2,712.60万元，预决算差异率68.79%，主要原因是：1.年中追加驻村工作队补贴及经费、村干部报酬、社区工作者工资社保等，导致预决算存在差异；2.年中追加人员工资、社保、公积金基数调增部分资金，导致预决算存在差异；3.年中追加惠远镇乡村振兴项目征地补偿款、惠远镇古城墙保护土地流转费等项目。</w:t>
      </w:r>
    </w:p>
    <w:p w14:paraId="184AED53">
      <w:pPr>
        <w:spacing w:line="640" w:lineRule="exact"/>
        <w:ind w:firstLine="640"/>
        <w:jc w:val="both"/>
        <w:outlineLvl w:val="2"/>
      </w:pPr>
      <w:r>
        <w:rPr>
          <w:rFonts w:ascii="黑体" w:hAnsi="黑体" w:eastAsia="黑体"/>
          <w:sz w:val="32"/>
        </w:rPr>
        <w:t>五、一般公共预算财政拨款支出决算情况说明</w:t>
      </w:r>
    </w:p>
    <w:p w14:paraId="686690E6">
      <w:pPr>
        <w:spacing w:line="640" w:lineRule="exact"/>
        <w:ind w:firstLine="640"/>
        <w:jc w:val="both"/>
        <w:outlineLvl w:val="3"/>
      </w:pPr>
      <w:r>
        <w:rPr>
          <w:rFonts w:ascii="楷体_GB2312" w:hAnsi="楷体_GB2312" w:eastAsia="楷体_GB2312"/>
          <w:b/>
          <w:sz w:val="32"/>
        </w:rPr>
        <w:t>（一）一般公共预算财政拨款支出决算总体情况</w:t>
      </w:r>
    </w:p>
    <w:p w14:paraId="581A6D89">
      <w:pPr>
        <w:spacing w:line="580" w:lineRule="exact"/>
        <w:ind w:firstLine="640"/>
        <w:jc w:val="both"/>
      </w:pPr>
      <w:r>
        <w:rPr>
          <w:rFonts w:ascii="仿宋_GB2312" w:hAnsi="仿宋_GB2312" w:eastAsia="仿宋_GB2312"/>
          <w:b/>
          <w:sz w:val="32"/>
        </w:rPr>
        <w:t>2024年度一般公共预算财政拨款支出2,530.93万元，</w:t>
      </w:r>
      <w:r>
        <w:rPr>
          <w:rFonts w:ascii="仿宋_GB2312" w:hAnsi="仿宋_GB2312" w:eastAsia="仿宋_GB2312"/>
          <w:b w:val="0"/>
          <w:sz w:val="32"/>
        </w:rPr>
        <w:t>占本年支出合计的93.04%。</w:t>
      </w:r>
      <w:r>
        <w:rPr>
          <w:rFonts w:ascii="仿宋_GB2312" w:hAnsi="仿宋_GB2312" w:eastAsia="仿宋_GB2312"/>
          <w:b/>
          <w:sz w:val="32"/>
        </w:rPr>
        <w:t>与上年相比，</w:t>
      </w:r>
      <w:r>
        <w:rPr>
          <w:rFonts w:ascii="仿宋_GB2312" w:hAnsi="仿宋_GB2312" w:eastAsia="仿宋_GB2312"/>
          <w:b w:val="0"/>
          <w:sz w:val="32"/>
        </w:rPr>
        <w:t>减少11.08万元，下降0.44%，主要原因是：本年在职人员减少，相关人员经费较上年减少</w:t>
      </w:r>
      <w:r>
        <w:rPr>
          <w:rFonts w:hint="eastAsia" w:ascii="仿宋_GB2312" w:hAnsi="仿宋_GB2312" w:eastAsia="仿宋_GB2312"/>
          <w:b w:val="0"/>
          <w:sz w:val="32"/>
          <w:lang w:eastAsia="zh-CN"/>
        </w:rPr>
        <w:t>；</w:t>
      </w:r>
      <w:r>
        <w:rPr>
          <w:rFonts w:ascii="仿宋_GB2312" w:hAnsi="仿宋_GB2312" w:eastAsia="仿宋_GB2312"/>
          <w:b w:val="0"/>
          <w:sz w:val="32"/>
        </w:rPr>
        <w:t>本年未安排央布拉克村制种玉米示范基地建设项目支出。</w:t>
      </w:r>
      <w:r>
        <w:rPr>
          <w:rFonts w:ascii="仿宋_GB2312" w:hAnsi="仿宋_GB2312" w:eastAsia="仿宋_GB2312"/>
          <w:b/>
          <w:sz w:val="32"/>
        </w:rPr>
        <w:t>与年初预算相比,</w:t>
      </w:r>
      <w:r>
        <w:rPr>
          <w:rFonts w:ascii="仿宋_GB2312" w:hAnsi="仿宋_GB2312" w:eastAsia="仿宋_GB2312"/>
          <w:b w:val="0"/>
          <w:sz w:val="32"/>
        </w:rPr>
        <w:t>年初预算数1,607.12万元，决算数2,530.93万元，预决算差异率57.48%，主要原因是：1.年中追加驻村工作队补贴及经费、村干部报酬、社区工作者工资社保等，导致预决算存在差异；2.年中追加人员工资、社保、公积金基数调增部分资金，导致预决算存在差异；3.年中追加惠远镇乡村振兴项目征地补偿款、惠远镇古城墙保护土地流转费等项目。</w:t>
      </w:r>
    </w:p>
    <w:p w14:paraId="0591D5B4">
      <w:pPr>
        <w:spacing w:line="640" w:lineRule="exact"/>
        <w:ind w:firstLine="640"/>
        <w:jc w:val="both"/>
        <w:outlineLvl w:val="3"/>
      </w:pPr>
      <w:r>
        <w:rPr>
          <w:rFonts w:ascii="楷体_GB2312" w:hAnsi="楷体_GB2312" w:eastAsia="楷体_GB2312"/>
          <w:b/>
          <w:sz w:val="32"/>
        </w:rPr>
        <w:t>（二）一般公共预算财政拨款支出决算结构情况</w:t>
      </w:r>
    </w:p>
    <w:p w14:paraId="74D2BA9A">
      <w:pPr>
        <w:spacing w:line="580" w:lineRule="exact"/>
        <w:ind w:firstLine="640"/>
        <w:jc w:val="both"/>
      </w:pPr>
      <w:r>
        <w:rPr>
          <w:rFonts w:ascii="仿宋_GB2312" w:hAnsi="仿宋_GB2312" w:eastAsia="仿宋_GB2312"/>
          <w:b w:val="0"/>
          <w:sz w:val="32"/>
        </w:rPr>
        <w:t>1.一般公共服务支出(类)548.50万元,占21.67%。</w:t>
      </w:r>
    </w:p>
    <w:p w14:paraId="1D5EE8C2">
      <w:pPr>
        <w:spacing w:line="580" w:lineRule="exact"/>
        <w:ind w:firstLine="640"/>
        <w:jc w:val="both"/>
      </w:pPr>
      <w:r>
        <w:rPr>
          <w:rFonts w:ascii="仿宋_GB2312" w:hAnsi="仿宋_GB2312" w:eastAsia="仿宋_GB2312"/>
          <w:b w:val="0"/>
          <w:sz w:val="32"/>
        </w:rPr>
        <w:t>2.文化旅游体育与传媒支出(类)4.70万元,占0.19%。</w:t>
      </w:r>
    </w:p>
    <w:p w14:paraId="7E876237">
      <w:pPr>
        <w:spacing w:line="580" w:lineRule="exact"/>
        <w:ind w:firstLine="640"/>
        <w:jc w:val="both"/>
      </w:pPr>
      <w:r>
        <w:rPr>
          <w:rFonts w:ascii="仿宋_GB2312" w:hAnsi="仿宋_GB2312" w:eastAsia="仿宋_GB2312"/>
          <w:b w:val="0"/>
          <w:sz w:val="32"/>
        </w:rPr>
        <w:t>3.社会保障和就业支出(类)193.18万元,占7.63%。</w:t>
      </w:r>
    </w:p>
    <w:p w14:paraId="47952FBD">
      <w:pPr>
        <w:spacing w:line="580" w:lineRule="exact"/>
        <w:ind w:firstLine="640"/>
        <w:jc w:val="both"/>
      </w:pPr>
      <w:r>
        <w:rPr>
          <w:rFonts w:ascii="仿宋_GB2312" w:hAnsi="仿宋_GB2312" w:eastAsia="仿宋_GB2312"/>
          <w:b w:val="0"/>
          <w:sz w:val="32"/>
        </w:rPr>
        <w:t>4.卫生健康支出(类)94.81万元,占3.75%。</w:t>
      </w:r>
    </w:p>
    <w:p w14:paraId="6A9E7422">
      <w:pPr>
        <w:spacing w:line="580" w:lineRule="exact"/>
        <w:ind w:firstLine="640"/>
        <w:jc w:val="both"/>
      </w:pPr>
      <w:r>
        <w:rPr>
          <w:rFonts w:ascii="仿宋_GB2312" w:hAnsi="仿宋_GB2312" w:eastAsia="仿宋_GB2312"/>
          <w:b w:val="0"/>
          <w:sz w:val="32"/>
        </w:rPr>
        <w:t>5.节能环保支出(类)19.92万元,占0.79%。</w:t>
      </w:r>
    </w:p>
    <w:p w14:paraId="0017BFC1">
      <w:pPr>
        <w:spacing w:line="580" w:lineRule="exact"/>
        <w:ind w:firstLine="640"/>
        <w:jc w:val="both"/>
      </w:pPr>
      <w:r>
        <w:rPr>
          <w:rFonts w:ascii="仿宋_GB2312" w:hAnsi="仿宋_GB2312" w:eastAsia="仿宋_GB2312"/>
          <w:b w:val="0"/>
          <w:sz w:val="32"/>
        </w:rPr>
        <w:t>6.农林水支出(类)1,488.73万元,占58.82%。</w:t>
      </w:r>
    </w:p>
    <w:p w14:paraId="3EFFA6B7">
      <w:pPr>
        <w:spacing w:line="580" w:lineRule="exact"/>
        <w:ind w:firstLine="640"/>
        <w:jc w:val="both"/>
      </w:pPr>
      <w:r>
        <w:rPr>
          <w:rFonts w:ascii="仿宋_GB2312" w:hAnsi="仿宋_GB2312" w:eastAsia="仿宋_GB2312"/>
          <w:b w:val="0"/>
          <w:sz w:val="32"/>
        </w:rPr>
        <w:t>7.住房保障支出(类)181.09万元,占7.16%。</w:t>
      </w:r>
    </w:p>
    <w:p w14:paraId="71A0BADB">
      <w:pPr>
        <w:spacing w:line="640" w:lineRule="exact"/>
        <w:ind w:firstLine="640"/>
        <w:jc w:val="both"/>
        <w:outlineLvl w:val="3"/>
      </w:pPr>
      <w:r>
        <w:rPr>
          <w:rFonts w:ascii="楷体_GB2312" w:hAnsi="楷体_GB2312" w:eastAsia="楷体_GB2312"/>
          <w:b/>
          <w:sz w:val="32"/>
        </w:rPr>
        <w:t>（三）一般公共预算财政拨款支出决算具体情况</w:t>
      </w:r>
    </w:p>
    <w:p w14:paraId="3A7023F0">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1.一般公共服务支出(类)政府办公厅（室）及相关机构事务(款)行政运行(项):支出决算数为513.20万元，比上年决算增加23.69万元，增长4.84%,主要原因是：</w:t>
      </w:r>
      <w:r>
        <w:rPr>
          <w:rFonts w:hint="eastAsia" w:ascii="仿宋_GB2312" w:hAnsi="仿宋_GB2312" w:eastAsia="仿宋_GB2312"/>
          <w:b w:val="0"/>
          <w:sz w:val="32"/>
        </w:rPr>
        <w:t>本年在职人员工资调增，导致相关人员经费较上年有所增加</w:t>
      </w:r>
      <w:r>
        <w:rPr>
          <w:rFonts w:ascii="仿宋_GB2312" w:hAnsi="仿宋_GB2312" w:eastAsia="仿宋_GB2312"/>
          <w:b w:val="0"/>
          <w:sz w:val="32"/>
        </w:rPr>
        <w:t>。</w:t>
      </w:r>
    </w:p>
    <w:p w14:paraId="4BEDD100">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2.一般公共服务支出(类)纪检监察事务(款)其他纪检监察事务支出(项):支出决算数为2.00万元，比上年决算增加0.50万元，增长33.33%,主要原因是：本年纪检专项经费比上年增加。</w:t>
      </w:r>
    </w:p>
    <w:p w14:paraId="430A283C">
      <w:pPr>
        <w:spacing w:line="580" w:lineRule="exact"/>
        <w:ind w:firstLine="640"/>
        <w:jc w:val="both"/>
      </w:pPr>
      <w:r>
        <w:rPr>
          <w:rFonts w:ascii="仿宋_GB2312" w:hAnsi="仿宋_GB2312" w:eastAsia="仿宋_GB2312"/>
          <w:b w:val="0"/>
          <w:sz w:val="32"/>
        </w:rPr>
        <w:t>3.一般公共服务支出(类)组织事务(款)其他组织事务支出(项):支出决算数为30.49万元，比上年决算减少813.66万元，下降96.39%,主要原因是：本年功能科目调整，村干部报酬及社区工作者工资及社保经费由其他组织事务支出科目调整至其他农业农村支出，导致经费较上年减少。</w:t>
      </w:r>
    </w:p>
    <w:p w14:paraId="0C414049">
      <w:pPr>
        <w:spacing w:line="580" w:lineRule="exact"/>
        <w:ind w:firstLine="640"/>
        <w:jc w:val="both"/>
      </w:pPr>
      <w:r>
        <w:rPr>
          <w:rFonts w:ascii="仿宋_GB2312" w:hAnsi="仿宋_GB2312" w:eastAsia="仿宋_GB2312"/>
          <w:b w:val="0"/>
          <w:sz w:val="32"/>
        </w:rPr>
        <w:t>4.一般公共服务支出(类)统战事务(款)宗教事务(项):支出决算数为1.00万元，比上年决算增加0.15万元，增长17.65%,主要原因是：本年ZCGS专项经费比上年增加。</w:t>
      </w:r>
    </w:p>
    <w:p w14:paraId="5B63FCDF">
      <w:pPr>
        <w:spacing w:line="580" w:lineRule="exact"/>
        <w:ind w:firstLine="640"/>
        <w:jc w:val="both"/>
      </w:pPr>
      <w:r>
        <w:rPr>
          <w:rFonts w:ascii="仿宋_GB2312" w:hAnsi="仿宋_GB2312" w:eastAsia="仿宋_GB2312"/>
          <w:b w:val="0"/>
          <w:sz w:val="32"/>
        </w:rPr>
        <w:t>5.一般公共服务支出(类)社会工作事务(款)其他社会工作事务支出(项):支出决算数为1.82万元，比上年决算增加1.82万元，增长100.00%,主要原因是：本年有一个月的社区工作者工资及社保调整至该科目支出，导致经费较上年增加。</w:t>
      </w:r>
    </w:p>
    <w:p w14:paraId="1300AE0C">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6.文化旅游体育与传媒支出(类)文化和旅游(款)其他文化和旅游支出(项):支出决算数为4.70万元，比上年决算增加2.64万元，增长128.16%,主要原因是：本年度文化活动增加，支出较上年增加。</w:t>
      </w:r>
    </w:p>
    <w:p w14:paraId="177A4BC6">
      <w:pPr>
        <w:spacing w:line="580" w:lineRule="exact"/>
        <w:ind w:firstLine="640"/>
        <w:jc w:val="both"/>
      </w:pPr>
      <w:r>
        <w:rPr>
          <w:rFonts w:ascii="仿宋_GB2312" w:hAnsi="仿宋_GB2312" w:eastAsia="仿宋_GB2312"/>
          <w:b w:val="0"/>
          <w:sz w:val="32"/>
        </w:rPr>
        <w:t>7.文化旅游体育与传媒支出(类)其他文化旅游体育与传媒支出(款)其他文化旅游体育与传媒支出(项):支出决算数为0.00万元，比上年决算减少6.00万元，下降100.00%,主要原因是：本年未安排中央补助地方美术馆、公共图书馆、文化馆（站）免费开放补助资金支出，导致支出减少。</w:t>
      </w:r>
    </w:p>
    <w:p w14:paraId="1EA21521">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8.社会保障和就业支出(类)行政事业单位养老支出(款)行政单位离退休(项):支出决算数为12.16万元，比上年决算增加9.06万元，增长292.26%,主要原因是：本年增加退休人员基础绩效奖，退休费支出增加。</w:t>
      </w:r>
    </w:p>
    <w:p w14:paraId="7A39A5ED">
      <w:pPr>
        <w:spacing w:line="580" w:lineRule="exact"/>
        <w:ind w:firstLine="640"/>
        <w:jc w:val="both"/>
      </w:pPr>
      <w:r>
        <w:rPr>
          <w:rFonts w:ascii="仿宋_GB2312" w:hAnsi="仿宋_GB2312" w:eastAsia="仿宋_GB2312"/>
          <w:b w:val="0"/>
          <w:sz w:val="32"/>
        </w:rPr>
        <w:t>9.社会保障和就业支出(类)行政事业单位养老支出(款)事业单位离退休(项):支出决算数为10.66万元，比上年决算增加8.39万元，增长369.60%,主要原因是：本年增加退休人员基础绩效奖，退休费支出增加。</w:t>
      </w:r>
    </w:p>
    <w:p w14:paraId="1B780E35">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148.33万元，比上年决算增加16.37万元，增长12.41%,主要原因是：本年在职人员工资基数调增，养老缴费基数上涨，相应支出增加。</w:t>
      </w:r>
    </w:p>
    <w:p w14:paraId="3208CEF4">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11.社会保障和就业支出(类)行政事业单位养老支出(款)机关事业单位职业年金缴费支出(项):支出决算数为12.01万元，比上年决算增加8.22万元，增长216.89%,主要原因是：本年新增</w:t>
      </w:r>
      <w:r>
        <w:rPr>
          <w:rFonts w:hint="eastAsia" w:ascii="仿宋_GB2312" w:hAnsi="仿宋_GB2312" w:eastAsia="仿宋_GB2312"/>
          <w:b w:val="0"/>
          <w:sz w:val="32"/>
          <w:lang w:val="en-US" w:eastAsia="zh-CN"/>
        </w:rPr>
        <w:t>调出</w:t>
      </w:r>
      <w:r>
        <w:rPr>
          <w:rFonts w:ascii="仿宋_GB2312" w:hAnsi="仿宋_GB2312" w:eastAsia="仿宋_GB2312"/>
          <w:b w:val="0"/>
          <w:sz w:val="32"/>
        </w:rPr>
        <w:t>人员，职业年金缴费支出增加。</w:t>
      </w:r>
    </w:p>
    <w:p w14:paraId="03C0C5DB">
      <w:pPr>
        <w:spacing w:line="580" w:lineRule="exact"/>
        <w:ind w:firstLine="640"/>
        <w:jc w:val="both"/>
      </w:pPr>
      <w:r>
        <w:rPr>
          <w:rFonts w:ascii="仿宋_GB2312" w:hAnsi="仿宋_GB2312" w:eastAsia="仿宋_GB2312"/>
          <w:b w:val="0"/>
          <w:sz w:val="32"/>
        </w:rPr>
        <w:t>12.社会保障和就业支出(类)就业补助(款)其他就业补助支出(项):支出决算数为0.02万元，比上年决算减少6.96万元，下降99.71%,主要原因是：本年未安排自治区就业培训补助资金支出。</w:t>
      </w:r>
    </w:p>
    <w:p w14:paraId="01AF677B">
      <w:pPr>
        <w:spacing w:line="580" w:lineRule="exact"/>
        <w:ind w:firstLine="640"/>
        <w:jc w:val="both"/>
      </w:pPr>
      <w:r>
        <w:rPr>
          <w:rFonts w:ascii="仿宋_GB2312" w:hAnsi="仿宋_GB2312" w:eastAsia="仿宋_GB2312"/>
          <w:b w:val="0"/>
          <w:sz w:val="32"/>
        </w:rPr>
        <w:t>13.社会保障和就业支出(类)临时救助(款)临时救助支出(项):支出决算数为10.00万元，比上年决算减少42.00万元，下降80.77%,主要原因是：本年下半年临时救助支出调整至一卡通发放，导致支出较上年减少。</w:t>
      </w:r>
    </w:p>
    <w:p w14:paraId="32222E60">
      <w:pPr>
        <w:spacing w:line="580" w:lineRule="exact"/>
        <w:ind w:firstLine="640"/>
        <w:jc w:val="both"/>
      </w:pPr>
      <w:r>
        <w:rPr>
          <w:rFonts w:ascii="仿宋_GB2312" w:hAnsi="仿宋_GB2312" w:eastAsia="仿宋_GB2312"/>
          <w:b w:val="0"/>
          <w:sz w:val="32"/>
        </w:rPr>
        <w:t>14.卫生健康支出(类)卫生健康管理事务(款)其他卫生健康管理事务支出(项):支出决算数为20.00万元，比上年决算增加20.00万元，增长100.00%,主要原因是：本年度增加惠远镇打造托幼机构项目资金，导致支出增加。</w:t>
      </w:r>
    </w:p>
    <w:p w14:paraId="5F9B9AA6">
      <w:pPr>
        <w:spacing w:line="580" w:lineRule="exact"/>
        <w:ind w:firstLine="640"/>
        <w:jc w:val="both"/>
      </w:pPr>
      <w:r>
        <w:rPr>
          <w:rFonts w:ascii="仿宋_GB2312" w:hAnsi="仿宋_GB2312" w:eastAsia="仿宋_GB2312"/>
          <w:b w:val="0"/>
          <w:sz w:val="32"/>
        </w:rPr>
        <w:t>15.卫生健康支出(类)行政事业单位医疗(款)行政单位医疗(项):支出决算数为30.53万元，比上年决算减少5.19万元，下降14.53%,主要原因是：本年在职人员减少，导致行政单位医疗</w:t>
      </w:r>
      <w:r>
        <w:rPr>
          <w:rFonts w:hint="eastAsia" w:ascii="仿宋_GB2312" w:hAnsi="仿宋_GB2312" w:eastAsia="仿宋_GB2312"/>
          <w:b w:val="0"/>
          <w:sz w:val="32"/>
          <w:lang w:val="en-US" w:eastAsia="zh-CN"/>
        </w:rPr>
        <w:t>经费</w:t>
      </w:r>
      <w:r>
        <w:rPr>
          <w:rFonts w:ascii="仿宋_GB2312" w:hAnsi="仿宋_GB2312" w:eastAsia="仿宋_GB2312"/>
          <w:b w:val="0"/>
          <w:sz w:val="32"/>
        </w:rPr>
        <w:t>较上年减少。</w:t>
      </w:r>
    </w:p>
    <w:p w14:paraId="609B8587">
      <w:pPr>
        <w:spacing w:line="580" w:lineRule="exact"/>
        <w:ind w:firstLine="640"/>
        <w:jc w:val="both"/>
      </w:pPr>
      <w:r>
        <w:rPr>
          <w:rFonts w:ascii="仿宋_GB2312" w:hAnsi="仿宋_GB2312" w:eastAsia="仿宋_GB2312"/>
          <w:b w:val="0"/>
          <w:sz w:val="32"/>
        </w:rPr>
        <w:t>16.卫生健康支出(类)行政事业单位医疗(款)事业单位医疗(项):支出决算数为43.63万元，比上年决算减少3.63万元，下降7.68%,主要原因是：本年在职人员减少，导致事业单位医疗</w:t>
      </w:r>
      <w:r>
        <w:rPr>
          <w:rFonts w:hint="eastAsia" w:ascii="仿宋_GB2312" w:hAnsi="仿宋_GB2312" w:eastAsia="仿宋_GB2312"/>
          <w:b w:val="0"/>
          <w:sz w:val="32"/>
          <w:lang w:val="en-US" w:eastAsia="zh-CN"/>
        </w:rPr>
        <w:t>经费</w:t>
      </w:r>
      <w:r>
        <w:rPr>
          <w:rFonts w:ascii="仿宋_GB2312" w:hAnsi="仿宋_GB2312" w:eastAsia="仿宋_GB2312"/>
          <w:b w:val="0"/>
          <w:sz w:val="32"/>
        </w:rPr>
        <w:t>较上年减少。</w:t>
      </w:r>
    </w:p>
    <w:p w14:paraId="18925CF5">
      <w:pPr>
        <w:spacing w:line="580" w:lineRule="exact"/>
        <w:ind w:firstLine="640"/>
        <w:jc w:val="both"/>
      </w:pPr>
      <w:r>
        <w:rPr>
          <w:rFonts w:ascii="仿宋_GB2312" w:hAnsi="仿宋_GB2312" w:eastAsia="仿宋_GB2312"/>
          <w:b w:val="0"/>
          <w:sz w:val="32"/>
        </w:rPr>
        <w:t>17.卫生健康支出(类)行政事业单位医疗(款)公务员医疗补助(项):支出决算数为0.65万元，比上年决算减少1.19万元，下降64.67%,主要原因是：本年在职人员减少</w:t>
      </w:r>
      <w:r>
        <w:rPr>
          <w:rFonts w:hint="eastAsia" w:ascii="仿宋_GB2312" w:hAnsi="仿宋_GB2312" w:eastAsia="仿宋_GB2312"/>
          <w:b w:val="0"/>
          <w:sz w:val="32"/>
          <w:lang w:eastAsia="zh-CN"/>
        </w:rPr>
        <w:t>，</w:t>
      </w:r>
      <w:r>
        <w:rPr>
          <w:rFonts w:ascii="仿宋_GB2312" w:hAnsi="仿宋_GB2312" w:eastAsia="仿宋_GB2312"/>
          <w:b w:val="0"/>
          <w:sz w:val="32"/>
        </w:rPr>
        <w:t>导致公务员医疗补助较上年减少。</w:t>
      </w:r>
    </w:p>
    <w:p w14:paraId="158813BE">
      <w:pPr>
        <w:spacing w:line="580" w:lineRule="exact"/>
        <w:ind w:firstLine="640"/>
        <w:jc w:val="both"/>
      </w:pPr>
      <w:r>
        <w:rPr>
          <w:rFonts w:ascii="仿宋_GB2312" w:hAnsi="仿宋_GB2312" w:eastAsia="仿宋_GB2312"/>
          <w:b w:val="0"/>
          <w:sz w:val="32"/>
        </w:rPr>
        <w:t>18.节能环保支出(类)自然生态保护(款)生态保护(项):支出决算数为19.92万元，比上年决算增加19.92万元，增长100.00%,主要原因是：本年度增加惠远镇古城墙保护土地流转费，导致支出增加。</w:t>
      </w:r>
    </w:p>
    <w:p w14:paraId="2008182A">
      <w:pPr>
        <w:spacing w:line="580" w:lineRule="exact"/>
        <w:ind w:firstLine="640"/>
        <w:jc w:val="both"/>
      </w:pPr>
      <w:r>
        <w:rPr>
          <w:rFonts w:ascii="仿宋_GB2312" w:hAnsi="仿宋_GB2312" w:eastAsia="仿宋_GB2312"/>
          <w:b w:val="0"/>
          <w:sz w:val="32"/>
        </w:rPr>
        <w:t>19.农林水支出(类)农业农村(款)事业运行(项):支出决算数为697.54万元，比上年决算减少12.73万元，下降1.79%,主要原因是：本年事业在职人员</w:t>
      </w:r>
      <w:r>
        <w:rPr>
          <w:rFonts w:hint="eastAsia" w:ascii="仿宋_GB2312" w:hAnsi="仿宋_GB2312" w:eastAsia="仿宋_GB2312"/>
          <w:b w:val="0"/>
          <w:sz w:val="32"/>
          <w:lang w:val="en-US" w:eastAsia="zh-CN"/>
        </w:rPr>
        <w:t>减少</w:t>
      </w:r>
      <w:r>
        <w:rPr>
          <w:rFonts w:ascii="仿宋_GB2312" w:hAnsi="仿宋_GB2312" w:eastAsia="仿宋_GB2312"/>
          <w:b w:val="0"/>
          <w:sz w:val="32"/>
        </w:rPr>
        <w:t>，导致人员经费较上年减少。</w:t>
      </w:r>
    </w:p>
    <w:p w14:paraId="79C17B6E">
      <w:pPr>
        <w:spacing w:line="580" w:lineRule="exact"/>
        <w:ind w:firstLine="640"/>
        <w:jc w:val="both"/>
      </w:pPr>
      <w:r>
        <w:rPr>
          <w:rFonts w:ascii="仿宋_GB2312" w:hAnsi="仿宋_GB2312" w:eastAsia="仿宋_GB2312"/>
          <w:b w:val="0"/>
          <w:sz w:val="32"/>
        </w:rPr>
        <w:t>20.农林水支出(类)农业农村(款)农业生产发展(项):支出决算数为0.00万元，比上年决算减少0.47万元，下降100.00%,主要原因是：本年度未安排高素质农牧民培训支出。</w:t>
      </w:r>
    </w:p>
    <w:p w14:paraId="2FFDAAAF">
      <w:pPr>
        <w:spacing w:line="580" w:lineRule="exact"/>
        <w:ind w:firstLine="640"/>
        <w:jc w:val="both"/>
      </w:pPr>
      <w:r>
        <w:rPr>
          <w:rFonts w:ascii="仿宋_GB2312" w:hAnsi="仿宋_GB2312" w:eastAsia="仿宋_GB2312"/>
          <w:b w:val="0"/>
          <w:sz w:val="32"/>
        </w:rPr>
        <w:t>21.农林水支出(类)农业农村(款)其他农业农村支出(项):支出决算数为243.45万元，比上年决算增加243.45万元，增长100.00%,主要原因是：本年功能科目调整，村干部报酬及社区工作者工资及社保经费由其他组织事务支出科目调整至其他农业农村支出，导致经费较上年增加。</w:t>
      </w:r>
    </w:p>
    <w:p w14:paraId="2E676EF2">
      <w:pPr>
        <w:spacing w:line="580" w:lineRule="exact"/>
        <w:ind w:firstLine="640"/>
        <w:jc w:val="both"/>
      </w:pPr>
      <w:r>
        <w:rPr>
          <w:rFonts w:ascii="仿宋_GB2312" w:hAnsi="仿宋_GB2312" w:eastAsia="仿宋_GB2312"/>
          <w:b w:val="0"/>
          <w:sz w:val="32"/>
        </w:rPr>
        <w:t>22.农林水支出(类)巩固脱贫攻坚成果衔接乡村振兴(款)农村基础设施建设(项):支出决算数为50.00万元，比上年决算增加50.00万元，增长100.00%,主要原因是：本年增加惠远镇2024年村社区阵地综合服务设施改造提升项目，导致支出增加。</w:t>
      </w:r>
    </w:p>
    <w:p w14:paraId="4684D33B">
      <w:pPr>
        <w:spacing w:line="580" w:lineRule="exact"/>
        <w:ind w:firstLine="640"/>
        <w:jc w:val="both"/>
      </w:pPr>
      <w:r>
        <w:rPr>
          <w:rFonts w:ascii="仿宋_GB2312" w:hAnsi="仿宋_GB2312" w:eastAsia="仿宋_GB2312"/>
          <w:b w:val="0"/>
          <w:sz w:val="32"/>
        </w:rPr>
        <w:t>23.农林水支出(类)巩固脱贫攻坚成果衔接乡村振兴(款)生产发展(项):支出决算数为0.00万元，比上年决算减少10.00万元，下降100.00%,主要原因是：本年未安排央布拉克村制种玉米示范基地建设项目支出。</w:t>
      </w:r>
    </w:p>
    <w:p w14:paraId="26DC62E3">
      <w:pPr>
        <w:spacing w:line="580" w:lineRule="exact"/>
        <w:ind w:firstLine="640"/>
        <w:jc w:val="both"/>
      </w:pPr>
      <w:r>
        <w:rPr>
          <w:rFonts w:ascii="仿宋_GB2312" w:hAnsi="仿宋_GB2312" w:eastAsia="仿宋_GB2312"/>
          <w:b w:val="0"/>
          <w:sz w:val="32"/>
        </w:rPr>
        <w:t>24.农林水支出(类)农村综合改革(款)对村级公益事业建设的补助(项):支出决算数为80.00万元，比上年决算增加50.00万元，增长166.67%,主要原因是：本年度对村级公益事业建设的补助标准提高，导致支出较上年增加。</w:t>
      </w:r>
    </w:p>
    <w:p w14:paraId="5C7DBB77">
      <w:pPr>
        <w:spacing w:line="580" w:lineRule="exact"/>
        <w:ind w:firstLine="640"/>
        <w:jc w:val="both"/>
      </w:pPr>
      <w:r>
        <w:rPr>
          <w:rFonts w:ascii="仿宋_GB2312" w:hAnsi="仿宋_GB2312" w:eastAsia="仿宋_GB2312"/>
          <w:b w:val="0"/>
          <w:sz w:val="32"/>
        </w:rPr>
        <w:t>25.农林水支出(类)其他农林水支出(款)其他农林水支出(项):支出决算数为417.74万元，比上年决算增加365.05万元，增长692.83%,主要原因是：本年此科目新增社区工作者工资及社保。</w:t>
      </w:r>
    </w:p>
    <w:p w14:paraId="0DFFD69E">
      <w:pPr>
        <w:spacing w:line="580" w:lineRule="exact"/>
        <w:ind w:firstLine="640"/>
        <w:jc w:val="both"/>
      </w:pPr>
      <w:r>
        <w:rPr>
          <w:rFonts w:ascii="仿宋_GB2312" w:hAnsi="仿宋_GB2312" w:eastAsia="仿宋_GB2312"/>
          <w:b w:val="0"/>
          <w:sz w:val="32"/>
        </w:rPr>
        <w:t>26.住房保障支出(类)保障性安居工程支出(款)棚户区改造(项):支出决算数为28.41万元，比上年决算增加28.41万元，增长100.00%,主要原因是：本年度增加惠远镇棚改项目征地补偿款。</w:t>
      </w:r>
    </w:p>
    <w:p w14:paraId="4AF985BE">
      <w:pPr>
        <w:spacing w:line="580" w:lineRule="exact"/>
        <w:ind w:firstLine="640"/>
        <w:jc w:val="both"/>
      </w:pPr>
      <w:r>
        <w:rPr>
          <w:rFonts w:ascii="仿宋_GB2312" w:hAnsi="仿宋_GB2312" w:eastAsia="仿宋_GB2312"/>
          <w:b w:val="0"/>
          <w:sz w:val="32"/>
        </w:rPr>
        <w:t>27.住房保障支出(类)保障性安居工程支出(款)少数民族地区游牧民定居工程(项):支出决算数为32.94万元，比上年决算增加32.94万元，增长100.00%,主要原因是：本年度增加惠远镇2024年城乡抗震安居工程建设项目。</w:t>
      </w:r>
    </w:p>
    <w:p w14:paraId="136BE55C">
      <w:pPr>
        <w:spacing w:line="580" w:lineRule="exact"/>
        <w:ind w:firstLine="640"/>
        <w:jc w:val="both"/>
      </w:pPr>
      <w:r>
        <w:rPr>
          <w:rFonts w:ascii="仿宋_GB2312" w:hAnsi="仿宋_GB2312" w:eastAsia="仿宋_GB2312"/>
          <w:b w:val="0"/>
          <w:sz w:val="32"/>
        </w:rPr>
        <w:t>28.住房保障支出(类)住房改革支出(款)住房公积金(项):支出决算数为119.74万元，比上年决算增加10.15万元，增长9.26%,主要原因是：本年在职人员工资基数调增，公积金缴费基数上涨，相应支出增加。</w:t>
      </w:r>
    </w:p>
    <w:p w14:paraId="2DCE3974">
      <w:pPr>
        <w:spacing w:line="640" w:lineRule="exact"/>
        <w:ind w:firstLine="640"/>
        <w:jc w:val="both"/>
        <w:outlineLvl w:val="2"/>
      </w:pPr>
      <w:r>
        <w:rPr>
          <w:rFonts w:ascii="黑体" w:hAnsi="黑体" w:eastAsia="黑体"/>
          <w:sz w:val="32"/>
        </w:rPr>
        <w:t>六、一般公共预算财政拨款基本支出决算情况说明</w:t>
      </w:r>
    </w:p>
    <w:p w14:paraId="545EA723">
      <w:pPr>
        <w:spacing w:line="580" w:lineRule="exact"/>
        <w:ind w:firstLine="640"/>
        <w:jc w:val="both"/>
      </w:pPr>
      <w:r>
        <w:rPr>
          <w:rFonts w:ascii="仿宋_GB2312" w:hAnsi="仿宋_GB2312" w:eastAsia="仿宋_GB2312"/>
          <w:b w:val="0"/>
          <w:sz w:val="32"/>
        </w:rPr>
        <w:t>2024年度一般公共预算财政拨款基本支出2,397.99万元，其中：</w:t>
      </w:r>
      <w:r>
        <w:rPr>
          <w:rFonts w:ascii="仿宋_GB2312" w:hAnsi="仿宋_GB2312" w:eastAsia="仿宋_GB2312"/>
          <w:b/>
          <w:sz w:val="32"/>
        </w:rPr>
        <w:t>人员经费2,160.65万元，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救济费、其他对个人和家庭的补助。</w:t>
      </w:r>
    </w:p>
    <w:p w14:paraId="349DFE8C">
      <w:pPr>
        <w:spacing w:line="580" w:lineRule="exact"/>
        <w:ind w:firstLine="640"/>
        <w:jc w:val="both"/>
      </w:pPr>
      <w:r>
        <w:rPr>
          <w:rFonts w:ascii="仿宋_GB2312" w:hAnsi="仿宋_GB2312" w:eastAsia="仿宋_GB2312"/>
          <w:b/>
          <w:sz w:val="32"/>
        </w:rPr>
        <w:t>公用经费237.34万元，</w:t>
      </w:r>
      <w:r>
        <w:rPr>
          <w:rFonts w:ascii="仿宋_GB2312" w:hAnsi="仿宋_GB2312" w:eastAsia="仿宋_GB2312"/>
          <w:b w:val="0"/>
          <w:sz w:val="32"/>
        </w:rPr>
        <w:t>包括：办公费、电费、邮电费、差旅费、维修（护）费、工会经费、福利费、公务用车运行维护费。</w:t>
      </w:r>
    </w:p>
    <w:p w14:paraId="08F1D13E">
      <w:pPr>
        <w:spacing w:line="640" w:lineRule="exact"/>
        <w:ind w:firstLine="640"/>
        <w:jc w:val="both"/>
        <w:outlineLvl w:val="2"/>
      </w:pPr>
      <w:r>
        <w:rPr>
          <w:rFonts w:ascii="黑体" w:hAnsi="黑体" w:eastAsia="黑体"/>
          <w:sz w:val="32"/>
        </w:rPr>
        <w:t>七、政府性基金预算财政拨款收入支出决算情况说明</w:t>
      </w:r>
    </w:p>
    <w:p w14:paraId="31928383">
      <w:pPr>
        <w:spacing w:line="580" w:lineRule="exact"/>
        <w:ind w:firstLine="640"/>
        <w:jc w:val="both"/>
      </w:pPr>
      <w:r>
        <w:rPr>
          <w:rFonts w:ascii="仿宋_GB2312" w:hAnsi="仿宋_GB2312" w:eastAsia="仿宋_GB2312"/>
          <w:b/>
          <w:sz w:val="32"/>
        </w:rPr>
        <w:t>2024年度政府性基金预算财政拨款收入总计181.67万元，</w:t>
      </w:r>
      <w:r>
        <w:rPr>
          <w:rFonts w:ascii="仿宋_GB2312" w:hAnsi="仿宋_GB2312" w:eastAsia="仿宋_GB2312"/>
          <w:b w:val="0"/>
          <w:sz w:val="32"/>
        </w:rPr>
        <w:t>其中：年初结转和结余0.00万元，本年收入181.67万元。</w:t>
      </w:r>
      <w:r>
        <w:rPr>
          <w:rFonts w:ascii="仿宋_GB2312" w:hAnsi="仿宋_GB2312" w:eastAsia="仿宋_GB2312"/>
          <w:b/>
          <w:sz w:val="32"/>
        </w:rPr>
        <w:t>政府性基金预算财政拨款支出总计181.67万元，</w:t>
      </w:r>
      <w:r>
        <w:rPr>
          <w:rFonts w:ascii="仿宋_GB2312" w:hAnsi="仿宋_GB2312" w:eastAsia="仿宋_GB2312"/>
          <w:b w:val="0"/>
          <w:sz w:val="32"/>
        </w:rPr>
        <w:t>其中：年末结转和结余0.00万元，本年支出181.67万元。</w:t>
      </w:r>
    </w:p>
    <w:p w14:paraId="352E193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增加181.67万元，增长100.00%，主要原因是：本年度增加惠远镇乡村振兴项目征地补偿款、惠远镇禁毒中心建设项目、惠远镇乱埋乱葬整治项目。</w:t>
      </w:r>
      <w:r>
        <w:rPr>
          <w:rFonts w:ascii="仿宋_GB2312" w:hAnsi="仿宋_GB2312" w:eastAsia="仿宋_GB2312"/>
          <w:b/>
          <w:sz w:val="32"/>
        </w:rPr>
        <w:t>与年初预算相比，</w:t>
      </w:r>
      <w:r>
        <w:rPr>
          <w:rFonts w:ascii="仿宋_GB2312" w:hAnsi="仿宋_GB2312" w:eastAsia="仿宋_GB2312"/>
          <w:b w:val="0"/>
          <w:sz w:val="32"/>
        </w:rPr>
        <w:t>年初预算数0.00万元，决算数181.67万元，预决算差异率100.00%，主要原因是：年中追加惠远镇乡村振兴项目征地补偿款、惠远镇禁毒中心建设项目、惠远镇乱埋乱葬整治项目，导致预决算存在差异。</w:t>
      </w:r>
    </w:p>
    <w:p w14:paraId="300E23C0">
      <w:pPr>
        <w:spacing w:line="580" w:lineRule="exact"/>
        <w:ind w:firstLine="640"/>
        <w:jc w:val="both"/>
      </w:pPr>
      <w:r>
        <w:rPr>
          <w:rFonts w:ascii="仿宋_GB2312" w:hAnsi="仿宋_GB2312" w:eastAsia="仿宋_GB2312"/>
          <w:b w:val="0"/>
          <w:sz w:val="32"/>
        </w:rPr>
        <w:t>政府性基金预算财政拨款支出181.67万元。</w:t>
      </w:r>
    </w:p>
    <w:p w14:paraId="3EC76363">
      <w:pPr>
        <w:spacing w:line="580" w:lineRule="exact"/>
        <w:ind w:firstLine="640"/>
        <w:jc w:val="both"/>
      </w:pPr>
      <w:r>
        <w:rPr>
          <w:rFonts w:ascii="仿宋_GB2312" w:hAnsi="仿宋_GB2312" w:eastAsia="仿宋_GB2312"/>
          <w:b w:val="0"/>
          <w:sz w:val="32"/>
        </w:rPr>
        <w:t>1.城乡社区支出(类)国有土地使用权出让收入安排的支出(款)农业生产发展支出(项):支出决算数为171.67万元，比上年决算增加171.67万元，增长100.00%,主要原因是：本年度增加惠远镇乡村振兴项目征地补偿款。</w:t>
      </w:r>
    </w:p>
    <w:p w14:paraId="1534065E">
      <w:pPr>
        <w:spacing w:line="580" w:lineRule="exact"/>
        <w:ind w:firstLine="640"/>
        <w:jc w:val="both"/>
      </w:pPr>
      <w:r>
        <w:rPr>
          <w:rFonts w:ascii="仿宋_GB2312" w:hAnsi="仿宋_GB2312" w:eastAsia="仿宋_GB2312"/>
          <w:b w:val="0"/>
          <w:sz w:val="32"/>
        </w:rPr>
        <w:t>2.城乡社区支出(类)国有土地使用权出让收入安排的支出(款)农村社会事业支出(项):支出决算数为10.00万元，比上年决算增加10.00万元，增长100.00%,主要原因是：本年度增加惠远镇禁毒中心建设项目、惠远镇乱埋乱葬整治项目。</w:t>
      </w:r>
    </w:p>
    <w:p w14:paraId="1EB99FC2">
      <w:pPr>
        <w:spacing w:line="640" w:lineRule="exact"/>
        <w:ind w:firstLine="640"/>
        <w:jc w:val="both"/>
        <w:outlineLvl w:val="2"/>
      </w:pPr>
      <w:r>
        <w:rPr>
          <w:rFonts w:ascii="黑体" w:hAnsi="黑体" w:eastAsia="黑体"/>
          <w:sz w:val="32"/>
        </w:rPr>
        <w:t>八、国有资本经营预算财政拨款收入支出决算情况说明</w:t>
      </w:r>
    </w:p>
    <w:p w14:paraId="44AAC5B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E02C299">
      <w:pPr>
        <w:spacing w:line="640" w:lineRule="exact"/>
        <w:ind w:firstLine="640"/>
        <w:jc w:val="both"/>
        <w:outlineLvl w:val="2"/>
      </w:pPr>
      <w:r>
        <w:rPr>
          <w:rFonts w:ascii="黑体" w:hAnsi="黑体" w:eastAsia="黑体"/>
          <w:sz w:val="32"/>
        </w:rPr>
        <w:t>九、财政拨款“三公”经费支出决算情况说明</w:t>
      </w:r>
    </w:p>
    <w:p w14:paraId="79E591F0">
      <w:pPr>
        <w:spacing w:line="580" w:lineRule="exact"/>
        <w:ind w:firstLine="640"/>
        <w:jc w:val="both"/>
      </w:pPr>
      <w:r>
        <w:rPr>
          <w:rFonts w:ascii="仿宋_GB2312" w:hAnsi="仿宋_GB2312" w:eastAsia="仿宋_GB2312"/>
          <w:b/>
          <w:sz w:val="32"/>
        </w:rPr>
        <w:t>2024年度财政拨款“三公”经费支出4.40万元，</w:t>
      </w:r>
      <w:r>
        <w:rPr>
          <w:rFonts w:ascii="仿宋_GB2312" w:hAnsi="仿宋_GB2312" w:eastAsia="仿宋_GB2312"/>
          <w:b w:val="0"/>
          <w:sz w:val="32"/>
        </w:rPr>
        <w:t>比上年减少13.08万元，下降74.83%，主要原因是：本年度未购置车辆，减少公务用车使用次数，燃油费减少。其中：因公出国（境）费支出0.00万元，占0.00%，比上年增加0.00万元，增长0.00%，主要原因是：2023年与2024年均未安排因公出国（境）费支出。公务用车购置及运行维护费支出4.40万元，占100.00%，比上年减少13.08万元，下降74.83%，主要原因是：本年度未购置车辆，减少公务用车使用次数，燃油费减少。公务接待费支出0.00万元，占0.00%，比上年增加0.00万元，增长0.00%，主要原因是：2023年与2024年均未安排公务接待费支出。</w:t>
      </w:r>
    </w:p>
    <w:p w14:paraId="339BD865">
      <w:pPr>
        <w:spacing w:line="580" w:lineRule="exact"/>
        <w:ind w:firstLine="640"/>
        <w:jc w:val="both"/>
      </w:pPr>
      <w:r>
        <w:rPr>
          <w:rFonts w:ascii="仿宋_GB2312" w:hAnsi="仿宋_GB2312" w:eastAsia="仿宋_GB2312"/>
          <w:b/>
          <w:sz w:val="32"/>
        </w:rPr>
        <w:t>具体情况如下：</w:t>
      </w:r>
    </w:p>
    <w:p w14:paraId="523FE1B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8920E2D">
      <w:pPr>
        <w:spacing w:line="580" w:lineRule="exact"/>
        <w:ind w:firstLine="640"/>
        <w:jc w:val="both"/>
      </w:pPr>
      <w:r>
        <w:rPr>
          <w:rFonts w:ascii="仿宋_GB2312" w:hAnsi="仿宋_GB2312" w:eastAsia="仿宋_GB2312"/>
          <w:b w:val="0"/>
          <w:sz w:val="32"/>
        </w:rPr>
        <w:t>公务用车购置及运行维护费4.40万元，其中：公务用车购置费0.00万元，公务用车运行维护费4.40万元。公务用车运行维护费开支内容包括车辆加油费、维修费、保险费、审车费等。公务用车购置数0辆，公务用车保有量2辆。国有资产占用情况中固定资产车辆23辆，与公务用车保有量差异原因是：单位业务用车，车辆费用未使用财政拨款公务用车运行维护费支付。</w:t>
      </w:r>
    </w:p>
    <w:p w14:paraId="3B0F10E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2D5B59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4.40万元，决算数4.40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4.40万元，决算数4.40万元，预决算差异率0.00%，主要原因是：严格按照预算执行，预决算无差异。公务接待费全年预算数0.00万元，决算数0.00万元，预决算差异率0.00%，主要原因是：本单位无公务接待费。</w:t>
      </w:r>
    </w:p>
    <w:p w14:paraId="10BA87A7">
      <w:pPr>
        <w:spacing w:line="640" w:lineRule="exact"/>
        <w:ind w:firstLine="640"/>
        <w:jc w:val="both"/>
        <w:outlineLvl w:val="2"/>
      </w:pPr>
      <w:r>
        <w:rPr>
          <w:rFonts w:ascii="黑体" w:hAnsi="黑体" w:eastAsia="黑体"/>
          <w:sz w:val="32"/>
        </w:rPr>
        <w:t>十、其他重要事项的情况说明</w:t>
      </w:r>
    </w:p>
    <w:p w14:paraId="3442CCF9">
      <w:pPr>
        <w:spacing w:line="640" w:lineRule="exact"/>
        <w:ind w:firstLine="640"/>
        <w:jc w:val="both"/>
        <w:outlineLvl w:val="3"/>
      </w:pPr>
      <w:r>
        <w:rPr>
          <w:rFonts w:ascii="楷体_GB2312" w:hAnsi="楷体_GB2312" w:eastAsia="楷体_GB2312"/>
          <w:b/>
          <w:sz w:val="32"/>
        </w:rPr>
        <w:t>（一）机关运行经费及公用经费支出情况</w:t>
      </w:r>
    </w:p>
    <w:p w14:paraId="3CA29163">
      <w:pPr>
        <w:spacing w:line="580" w:lineRule="exact"/>
        <w:ind w:firstLine="640"/>
        <w:jc w:val="both"/>
      </w:pPr>
      <w:r>
        <w:rPr>
          <w:rFonts w:ascii="仿宋_GB2312" w:hAnsi="仿宋_GB2312" w:eastAsia="仿宋_GB2312"/>
          <w:b w:val="0"/>
          <w:sz w:val="32"/>
        </w:rPr>
        <w:t>2024年度霍城县惠远镇人民政府（行政单位和参照公务员法管理事业单位）机关运行经费支出237.34万元，比上年增加107.65万元，增长83.01%，主要原因是：本年驻村工作队</w:t>
      </w:r>
      <w:r>
        <w:rPr>
          <w:rFonts w:hint="eastAsia" w:ascii="仿宋_GB2312" w:hAnsi="仿宋_GB2312" w:eastAsia="仿宋_GB2312"/>
          <w:b w:val="0"/>
          <w:sz w:val="32"/>
          <w:lang w:val="en-US" w:eastAsia="zh-CN"/>
        </w:rPr>
        <w:t>办公</w:t>
      </w:r>
      <w:r>
        <w:rPr>
          <w:rFonts w:ascii="仿宋_GB2312" w:hAnsi="仿宋_GB2312" w:eastAsia="仿宋_GB2312"/>
          <w:b w:val="0"/>
          <w:sz w:val="32"/>
        </w:rPr>
        <w:t>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本年增加差旅费、福利费</w:t>
      </w:r>
      <w:r>
        <w:rPr>
          <w:rFonts w:ascii="仿宋_GB2312" w:hAnsi="仿宋_GB2312" w:eastAsia="仿宋_GB2312"/>
          <w:b w:val="0"/>
          <w:sz w:val="32"/>
        </w:rPr>
        <w:t>。</w:t>
      </w:r>
    </w:p>
    <w:p w14:paraId="09A16A22">
      <w:pPr>
        <w:spacing w:line="640" w:lineRule="exact"/>
        <w:ind w:firstLine="640"/>
        <w:jc w:val="both"/>
        <w:outlineLvl w:val="3"/>
      </w:pPr>
      <w:r>
        <w:rPr>
          <w:rFonts w:ascii="楷体_GB2312" w:hAnsi="楷体_GB2312" w:eastAsia="楷体_GB2312"/>
          <w:b/>
          <w:sz w:val="32"/>
        </w:rPr>
        <w:t>（二）政府采购情况</w:t>
      </w:r>
    </w:p>
    <w:p w14:paraId="2356CE9D">
      <w:pPr>
        <w:spacing w:line="580" w:lineRule="exact"/>
        <w:ind w:firstLine="640"/>
        <w:jc w:val="both"/>
      </w:pPr>
      <w:r>
        <w:rPr>
          <w:rFonts w:ascii="仿宋_GB2312" w:hAnsi="仿宋_GB2312" w:eastAsia="仿宋_GB2312"/>
          <w:b w:val="0"/>
          <w:sz w:val="32"/>
        </w:rPr>
        <w:t>2024年度政府采购支出总额77.93万元，其中：政府采购货物支出6.65万元、政府采购工程支出70.00万元、政府采购服务支出1.27万元。</w:t>
      </w:r>
    </w:p>
    <w:p w14:paraId="0B42EBCD">
      <w:pPr>
        <w:spacing w:line="580" w:lineRule="exact"/>
        <w:ind w:firstLine="640"/>
        <w:jc w:val="both"/>
      </w:pPr>
      <w:r>
        <w:rPr>
          <w:rFonts w:ascii="仿宋_GB2312" w:hAnsi="仿宋_GB2312" w:eastAsia="仿宋_GB2312"/>
          <w:b w:val="0"/>
          <w:sz w:val="32"/>
        </w:rPr>
        <w:t>授予中小企业合同金额77.93万元，占政府采购支出总额的100.00%，其中：授予小微企业合同金额77.93万元，占政府采购支出总额的100.00%。</w:t>
      </w:r>
    </w:p>
    <w:p w14:paraId="09C37606">
      <w:pPr>
        <w:spacing w:line="640" w:lineRule="exact"/>
        <w:ind w:firstLine="640"/>
        <w:jc w:val="both"/>
        <w:outlineLvl w:val="3"/>
      </w:pPr>
      <w:r>
        <w:rPr>
          <w:rFonts w:ascii="楷体_GB2312" w:hAnsi="楷体_GB2312" w:eastAsia="楷体_GB2312"/>
          <w:b/>
          <w:sz w:val="32"/>
        </w:rPr>
        <w:t>（三）国有资产占用情况说明</w:t>
      </w:r>
    </w:p>
    <w:p w14:paraId="7C308631">
      <w:pPr>
        <w:spacing w:line="580" w:lineRule="exact"/>
        <w:ind w:firstLine="640"/>
        <w:jc w:val="both"/>
      </w:pPr>
      <w:r>
        <w:rPr>
          <w:rFonts w:ascii="仿宋_GB2312" w:hAnsi="仿宋_GB2312" w:eastAsia="仿宋_GB2312"/>
          <w:b w:val="0"/>
          <w:sz w:val="32"/>
        </w:rPr>
        <w:t>截至2024年12月31日，房屋12,967.14平方米，价值1,108.11万元。车辆23辆，价值259.70万元，其中：副部（省）级及以上领导用车0辆、主要负责人用车0辆、机要通信用车0辆、应急保障用车0辆、执法执勤用车0辆、特种专业技术用车0辆、离退休干部服务用车0辆、其他用车23辆，其他用车主要是：城管垃圾车、洒水车等。单价100万元（含）以上设备（不含车辆）0台（套）。</w:t>
      </w:r>
    </w:p>
    <w:p w14:paraId="35D05F7C">
      <w:pPr>
        <w:spacing w:line="640" w:lineRule="exact"/>
        <w:ind w:firstLine="640"/>
        <w:jc w:val="both"/>
        <w:outlineLvl w:val="2"/>
      </w:pPr>
      <w:r>
        <w:rPr>
          <w:rFonts w:ascii="黑体" w:hAnsi="黑体" w:eastAsia="黑体"/>
          <w:sz w:val="32"/>
        </w:rPr>
        <w:t>十一、预算绩效的情况说明</w:t>
      </w:r>
    </w:p>
    <w:p w14:paraId="1912C6A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2,724.61万元，实际执行总额2,720.26万元；预算绩效评价项目2个，全年预算数80.00万元，全年执行数80.00万元。预算绩效管理取得的成效：一是资金使用</w:t>
      </w:r>
      <w:r>
        <w:rPr>
          <w:rFonts w:hint="eastAsia" w:ascii="仿宋_GB2312" w:hAnsi="仿宋_GB2312" w:eastAsia="仿宋_GB2312"/>
          <w:b w:val="0"/>
          <w:sz w:val="32"/>
          <w:lang w:eastAsia="zh-CN"/>
        </w:rPr>
        <w:t>得</w:t>
      </w:r>
      <w:r>
        <w:rPr>
          <w:rFonts w:ascii="仿宋_GB2312" w:hAnsi="仿宋_GB2312" w:eastAsia="仿宋_GB2312"/>
          <w:b w:val="0"/>
          <w:sz w:val="32"/>
        </w:rPr>
        <w:t>更合理和安全；二是有效保障了单位的高效履职，促进了单位的更好发展。发现的问题及原因：一是单位部分绩效指标设置存在不够精简、指标数据无法统计和指标值设置过低等问题，部分项目绩效指标值设定为定性的指标，指标设置的科学性、合理性有待进一步提高。二是没有深入了解各科室全年工作情况。下一步改进措施：一是强化部门绩效管理体系建设二是加强各科室之间的沟通交流学习，以规章规则的形式，出台绩效管理制度，对绩效管理的目的、意义、性质和特点，以及组织实施绩效管理的程序、步骤、方法、原则和要求进行统一的规定。二是各科室都要参与其中更合理</w:t>
      </w:r>
      <w:r>
        <w:rPr>
          <w:rFonts w:hint="eastAsia" w:ascii="仿宋_GB2312" w:hAnsi="仿宋_GB2312" w:eastAsia="仿宋_GB2312"/>
          <w:b w:val="0"/>
          <w:sz w:val="32"/>
          <w:lang w:eastAsia="zh-CN"/>
        </w:rPr>
        <w:t>地</w:t>
      </w:r>
      <w:r>
        <w:rPr>
          <w:rFonts w:ascii="仿宋_GB2312" w:hAnsi="仿宋_GB2312" w:eastAsia="仿宋_GB2312"/>
          <w:b w:val="0"/>
          <w:sz w:val="32"/>
        </w:rPr>
        <w:t>开展绩效管理工作。具体附整体支出绩效自评表，项目支出绩效自评表和评价报告。</w:t>
      </w:r>
    </w:p>
    <w:p w14:paraId="23957975">
      <w:r>
        <w:br w:type="page"/>
      </w:r>
    </w:p>
    <w:tbl>
      <w:tblPr>
        <w:tblStyle w:val="9"/>
        <w:tblW w:w="5000" w:type="pct"/>
        <w:jc w:val="center"/>
        <w:tblLayout w:type="autofit"/>
        <w:tblCellMar>
          <w:top w:w="40" w:type="dxa"/>
          <w:left w:w="64" w:type="dxa"/>
          <w:bottom w:w="40" w:type="dxa"/>
          <w:right w:w="64" w:type="dxa"/>
        </w:tblCellMar>
      </w:tblPr>
      <w:tblGrid>
        <w:gridCol w:w="516"/>
        <w:gridCol w:w="700"/>
        <w:gridCol w:w="1828"/>
        <w:gridCol w:w="996"/>
        <w:gridCol w:w="1355"/>
        <w:gridCol w:w="991"/>
        <w:gridCol w:w="1741"/>
        <w:gridCol w:w="845"/>
      </w:tblGrid>
      <w:tr w14:paraId="6C5E55EB">
        <w:tblPrEx>
          <w:tblCellMar>
            <w:top w:w="40" w:type="dxa"/>
            <w:left w:w="64" w:type="dxa"/>
            <w:bottom w:w="40" w:type="dxa"/>
            <w:right w:w="64" w:type="dxa"/>
          </w:tblCellMar>
        </w:tblPrEx>
        <w:trPr>
          <w:trHeight w:val="0" w:hRule="atLeast"/>
          <w:jc w:val="center"/>
        </w:trPr>
        <w:tc>
          <w:tcPr>
            <w:tcW w:w="5000" w:type="pct"/>
            <w:gridSpan w:val="8"/>
            <w:vAlign w:val="center"/>
          </w:tcPr>
          <w:p w14:paraId="3C33C960">
            <w:pPr>
              <w:snapToGrid w:val="0"/>
              <w:jc w:val="center"/>
            </w:pPr>
            <w:r>
              <w:rPr>
                <w:rFonts w:ascii="宋体" w:hAnsi="宋体" w:eastAsia="宋体"/>
                <w:sz w:val="24"/>
              </w:rPr>
              <w:t>单位整体支出绩效自评表</w:t>
            </w:r>
          </w:p>
        </w:tc>
      </w:tr>
      <w:tr w14:paraId="351DAE6B">
        <w:tblPrEx>
          <w:tblCellMar>
            <w:top w:w="40" w:type="dxa"/>
            <w:left w:w="64" w:type="dxa"/>
            <w:bottom w:w="40" w:type="dxa"/>
            <w:right w:w="64" w:type="dxa"/>
          </w:tblCellMar>
        </w:tblPrEx>
        <w:trPr>
          <w:trHeight w:val="0" w:hRule="atLeast"/>
          <w:jc w:val="center"/>
        </w:trPr>
        <w:tc>
          <w:tcPr>
            <w:tcW w:w="5000" w:type="pct"/>
            <w:gridSpan w:val="8"/>
            <w:vAlign w:val="center"/>
          </w:tcPr>
          <w:p w14:paraId="1C0E359B">
            <w:pPr>
              <w:snapToGrid w:val="0"/>
              <w:jc w:val="center"/>
            </w:pPr>
            <w:r>
              <w:rPr>
                <w:rFonts w:ascii="宋体" w:hAnsi="宋体" w:eastAsia="宋体"/>
                <w:sz w:val="24"/>
              </w:rPr>
              <w:t>（2024年度）</w:t>
            </w:r>
          </w:p>
        </w:tc>
      </w:tr>
      <w:tr w14:paraId="0797EB3D">
        <w:tblPrEx>
          <w:tblCellMar>
            <w:top w:w="40" w:type="dxa"/>
            <w:left w:w="64" w:type="dxa"/>
            <w:bottom w:w="40" w:type="dxa"/>
            <w:right w:w="64" w:type="dxa"/>
          </w:tblCellMar>
        </w:tblPrEx>
        <w:trPr>
          <w:trHeight w:val="0" w:hRule="atLeast"/>
          <w:jc w:val="center"/>
        </w:trPr>
        <w:tc>
          <w:tcPr>
            <w:tcW w:w="288" w:type="pct"/>
            <w:tcBorders>
              <w:top w:val="single" w:color="auto" w:sz="10" w:space="0"/>
              <w:left w:val="single" w:color="auto" w:sz="10" w:space="0"/>
              <w:bottom w:val="single" w:color="auto" w:sz="10" w:space="0"/>
              <w:right w:val="single" w:color="auto" w:sz="10" w:space="0"/>
              <w:insideV w:val="single" w:sz="10" w:space="0"/>
            </w:tcBorders>
            <w:vAlign w:val="center"/>
          </w:tcPr>
          <w:p w14:paraId="68225EDA">
            <w:pPr>
              <w:snapToGrid w:val="0"/>
              <w:jc w:val="center"/>
            </w:pPr>
            <w:r>
              <w:rPr>
                <w:rFonts w:ascii="宋体" w:hAnsi="宋体" w:eastAsia="宋体"/>
                <w:sz w:val="16"/>
              </w:rPr>
              <w:t>单位名称</w:t>
            </w:r>
          </w:p>
        </w:tc>
        <w:tc>
          <w:tcPr>
            <w:tcW w:w="4711"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484336">
            <w:pPr>
              <w:snapToGrid w:val="0"/>
              <w:jc w:val="center"/>
            </w:pPr>
            <w:r>
              <w:rPr>
                <w:rFonts w:ascii="宋体" w:hAnsi="宋体" w:eastAsia="宋体"/>
                <w:sz w:val="16"/>
              </w:rPr>
              <w:t>霍城县惠远镇人民政府</w:t>
            </w:r>
          </w:p>
        </w:tc>
      </w:tr>
      <w:tr w14:paraId="3FAA12DD">
        <w:tblPrEx>
          <w:tblCellMar>
            <w:top w:w="40" w:type="dxa"/>
            <w:left w:w="64" w:type="dxa"/>
            <w:bottom w:w="40" w:type="dxa"/>
            <w:right w:w="64" w:type="dxa"/>
          </w:tblCellMar>
        </w:tblPrEx>
        <w:trPr>
          <w:trHeight w:val="0" w:hRule="atLeast"/>
          <w:jc w:val="center"/>
        </w:trPr>
        <w:tc>
          <w:tcPr>
            <w:tcW w:w="288"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ABA0B">
            <w:pPr>
              <w:snapToGrid w:val="0"/>
              <w:jc w:val="center"/>
            </w:pPr>
            <w:r>
              <w:rPr>
                <w:rFonts w:ascii="宋体" w:hAnsi="宋体" w:eastAsia="宋体"/>
                <w:sz w:val="16"/>
              </w:rPr>
              <w:t>部门资金（万元）</w:t>
            </w: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12DB386B">
            <w:pPr>
              <w:snapToGrid w:val="0"/>
              <w:jc w:val="center"/>
            </w:pPr>
            <w:r>
              <w:rPr>
                <w:rFonts w:ascii="宋体" w:hAnsi="宋体" w:eastAsia="宋体"/>
                <w:sz w:val="16"/>
              </w:rPr>
              <w:t>资金来源</w:t>
            </w:r>
          </w:p>
        </w:tc>
        <w:tc>
          <w:tcPr>
            <w:tcW w:w="1019" w:type="pct"/>
            <w:tcBorders>
              <w:top w:val="single" w:color="auto" w:sz="10" w:space="0"/>
              <w:left w:val="single" w:color="auto" w:sz="10" w:space="0"/>
              <w:bottom w:val="single" w:color="auto" w:sz="10" w:space="0"/>
              <w:right w:val="single" w:color="auto" w:sz="10" w:space="0"/>
              <w:insideV w:val="single" w:sz="10" w:space="0"/>
            </w:tcBorders>
            <w:vAlign w:val="center"/>
          </w:tcPr>
          <w:p w14:paraId="561954DF">
            <w:pPr>
              <w:snapToGrid w:val="0"/>
              <w:jc w:val="center"/>
            </w:pPr>
            <w:r>
              <w:rPr>
                <w:rFonts w:ascii="宋体" w:hAnsi="宋体" w:eastAsia="宋体"/>
                <w:sz w:val="16"/>
              </w:rPr>
              <w:t>年初预算数</w:t>
            </w: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4698BC85">
            <w:pPr>
              <w:snapToGrid w:val="0"/>
              <w:jc w:val="center"/>
            </w:pPr>
            <w:r>
              <w:rPr>
                <w:rFonts w:ascii="宋体" w:hAnsi="宋体" w:eastAsia="宋体"/>
                <w:sz w:val="16"/>
              </w:rPr>
              <w:t>全年预算数</w:t>
            </w:r>
          </w:p>
        </w:tc>
        <w:tc>
          <w:tcPr>
            <w:tcW w:w="754" w:type="pct"/>
            <w:tcBorders>
              <w:top w:val="single" w:color="auto" w:sz="10" w:space="0"/>
              <w:left w:val="single" w:color="auto" w:sz="10" w:space="0"/>
              <w:bottom w:val="single" w:color="auto" w:sz="10" w:space="0"/>
              <w:right w:val="single" w:color="auto" w:sz="10" w:space="0"/>
              <w:insideV w:val="single" w:sz="10" w:space="0"/>
            </w:tcBorders>
            <w:vAlign w:val="center"/>
          </w:tcPr>
          <w:p w14:paraId="2EE7C632">
            <w:pPr>
              <w:snapToGrid w:val="0"/>
              <w:jc w:val="center"/>
            </w:pPr>
            <w:r>
              <w:rPr>
                <w:rFonts w:ascii="宋体" w:hAnsi="宋体" w:eastAsia="宋体"/>
                <w:sz w:val="16"/>
              </w:rPr>
              <w:t>全年执行数</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7131C075">
            <w:pPr>
              <w:snapToGrid w:val="0"/>
              <w:jc w:val="center"/>
            </w:pPr>
            <w:r>
              <w:rPr>
                <w:rFonts w:ascii="宋体" w:hAnsi="宋体" w:eastAsia="宋体"/>
                <w:sz w:val="16"/>
              </w:rPr>
              <w:t>分值权重</w:t>
            </w:r>
          </w:p>
        </w:tc>
        <w:tc>
          <w:tcPr>
            <w:tcW w:w="970" w:type="pct"/>
            <w:tcBorders>
              <w:top w:val="single" w:color="auto" w:sz="10" w:space="0"/>
              <w:left w:val="single" w:color="auto" w:sz="10" w:space="0"/>
              <w:bottom w:val="single" w:color="auto" w:sz="10" w:space="0"/>
              <w:right w:val="single" w:color="auto" w:sz="10" w:space="0"/>
              <w:insideV w:val="single" w:sz="10" w:space="0"/>
            </w:tcBorders>
            <w:vAlign w:val="center"/>
          </w:tcPr>
          <w:p w14:paraId="15A8BED3">
            <w:pPr>
              <w:snapToGrid w:val="0"/>
              <w:jc w:val="center"/>
            </w:pPr>
            <w:r>
              <w:rPr>
                <w:rFonts w:ascii="宋体" w:hAnsi="宋体" w:eastAsia="宋体"/>
                <w:sz w:val="16"/>
              </w:rPr>
              <w:t>执行率</w:t>
            </w:r>
          </w:p>
        </w:tc>
        <w:tc>
          <w:tcPr>
            <w:tcW w:w="469" w:type="pct"/>
            <w:tcBorders>
              <w:top w:val="single" w:color="auto" w:sz="10" w:space="0"/>
              <w:left w:val="single" w:color="auto" w:sz="10" w:space="0"/>
              <w:bottom w:val="single" w:color="auto" w:sz="10" w:space="0"/>
              <w:right w:val="single" w:color="auto" w:sz="10" w:space="0"/>
              <w:insideV w:val="single" w:sz="10" w:space="0"/>
            </w:tcBorders>
            <w:vAlign w:val="center"/>
          </w:tcPr>
          <w:p w14:paraId="056E1E07">
            <w:pPr>
              <w:snapToGrid w:val="0"/>
              <w:jc w:val="center"/>
            </w:pPr>
            <w:r>
              <w:rPr>
                <w:rFonts w:ascii="宋体" w:hAnsi="宋体" w:eastAsia="宋体"/>
                <w:sz w:val="16"/>
              </w:rPr>
              <w:t>得分</w:t>
            </w:r>
          </w:p>
        </w:tc>
      </w:tr>
      <w:tr w14:paraId="690577D9">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4EE968AC">
            <w:pPr>
              <w:snapToGrid w:val="0"/>
            </w:pP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6C5B1B1D">
            <w:pPr>
              <w:snapToGrid w:val="0"/>
              <w:jc w:val="center"/>
            </w:pPr>
            <w:r>
              <w:rPr>
                <w:rFonts w:ascii="宋体" w:hAnsi="宋体" w:eastAsia="宋体"/>
                <w:sz w:val="16"/>
              </w:rPr>
              <w:t>年度总资金</w:t>
            </w:r>
          </w:p>
        </w:tc>
        <w:tc>
          <w:tcPr>
            <w:tcW w:w="1019" w:type="pct"/>
            <w:tcBorders>
              <w:top w:val="single" w:color="auto" w:sz="10" w:space="0"/>
              <w:left w:val="single" w:color="auto" w:sz="10" w:space="0"/>
              <w:bottom w:val="single" w:color="auto" w:sz="10" w:space="0"/>
              <w:right w:val="single" w:color="auto" w:sz="10" w:space="0"/>
              <w:insideV w:val="single" w:sz="10" w:space="0"/>
            </w:tcBorders>
            <w:vAlign w:val="center"/>
          </w:tcPr>
          <w:p w14:paraId="55C85A21">
            <w:pPr>
              <w:snapToGrid w:val="0"/>
              <w:jc w:val="center"/>
            </w:pPr>
            <w:r>
              <w:rPr>
                <w:rFonts w:ascii="宋体" w:hAnsi="宋体" w:eastAsia="宋体"/>
                <w:sz w:val="16"/>
              </w:rPr>
              <w:t>1,607.11</w:t>
            </w: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28877A7C">
            <w:pPr>
              <w:snapToGrid w:val="0"/>
              <w:jc w:val="center"/>
            </w:pPr>
            <w:r>
              <w:rPr>
                <w:rFonts w:ascii="宋体" w:hAnsi="宋体" w:eastAsia="宋体"/>
                <w:sz w:val="16"/>
              </w:rPr>
              <w:t>2,724.61</w:t>
            </w:r>
          </w:p>
        </w:tc>
        <w:tc>
          <w:tcPr>
            <w:tcW w:w="754" w:type="pct"/>
            <w:tcBorders>
              <w:top w:val="single" w:color="auto" w:sz="10" w:space="0"/>
              <w:left w:val="single" w:color="auto" w:sz="10" w:space="0"/>
              <w:bottom w:val="single" w:color="auto" w:sz="10" w:space="0"/>
              <w:right w:val="single" w:color="auto" w:sz="10" w:space="0"/>
              <w:insideV w:val="single" w:sz="10" w:space="0"/>
            </w:tcBorders>
            <w:vAlign w:val="center"/>
          </w:tcPr>
          <w:p w14:paraId="35A99915">
            <w:pPr>
              <w:snapToGrid w:val="0"/>
              <w:jc w:val="center"/>
            </w:pPr>
            <w:r>
              <w:rPr>
                <w:rFonts w:ascii="宋体" w:hAnsi="宋体" w:eastAsia="宋体"/>
                <w:sz w:val="16"/>
              </w:rPr>
              <w:t>2,720.26</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2999A49E">
            <w:pPr>
              <w:snapToGrid w:val="0"/>
              <w:jc w:val="center"/>
            </w:pPr>
            <w:r>
              <w:rPr>
                <w:rFonts w:ascii="宋体" w:hAnsi="宋体" w:eastAsia="宋体"/>
                <w:sz w:val="16"/>
              </w:rPr>
              <w:t>10</w:t>
            </w:r>
          </w:p>
        </w:tc>
        <w:tc>
          <w:tcPr>
            <w:tcW w:w="970" w:type="pct"/>
            <w:tcBorders>
              <w:top w:val="single" w:color="auto" w:sz="10" w:space="0"/>
              <w:left w:val="single" w:color="auto" w:sz="10" w:space="0"/>
              <w:bottom w:val="single" w:color="auto" w:sz="10" w:space="0"/>
              <w:right w:val="single" w:color="auto" w:sz="10" w:space="0"/>
              <w:insideV w:val="single" w:sz="10" w:space="0"/>
            </w:tcBorders>
            <w:vAlign w:val="center"/>
          </w:tcPr>
          <w:p w14:paraId="44D2C077">
            <w:pPr>
              <w:snapToGrid w:val="0"/>
              <w:jc w:val="center"/>
            </w:pPr>
            <w:r>
              <w:rPr>
                <w:rFonts w:ascii="宋体" w:hAnsi="宋体" w:eastAsia="宋体"/>
                <w:sz w:val="16"/>
              </w:rPr>
              <w:t>99.84%</w:t>
            </w:r>
          </w:p>
        </w:tc>
        <w:tc>
          <w:tcPr>
            <w:tcW w:w="469" w:type="pct"/>
            <w:tcBorders>
              <w:top w:val="single" w:color="auto" w:sz="10" w:space="0"/>
              <w:left w:val="single" w:color="auto" w:sz="10" w:space="0"/>
              <w:bottom w:val="single" w:color="auto" w:sz="10" w:space="0"/>
              <w:right w:val="single" w:color="auto" w:sz="10" w:space="0"/>
              <w:insideV w:val="single" w:sz="10" w:space="0"/>
            </w:tcBorders>
            <w:vAlign w:val="center"/>
          </w:tcPr>
          <w:p w14:paraId="0ADC7F5F">
            <w:pPr>
              <w:snapToGrid w:val="0"/>
              <w:jc w:val="center"/>
            </w:pPr>
            <w:r>
              <w:rPr>
                <w:rFonts w:ascii="宋体" w:hAnsi="宋体" w:eastAsia="宋体"/>
                <w:sz w:val="16"/>
              </w:rPr>
              <w:t>9.98</w:t>
            </w:r>
          </w:p>
        </w:tc>
      </w:tr>
      <w:tr w14:paraId="41FC39B3">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7FC93FEE">
            <w:pPr>
              <w:snapToGrid w:val="0"/>
            </w:pP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2B5471C3">
            <w:pPr>
              <w:snapToGrid w:val="0"/>
              <w:jc w:val="center"/>
            </w:pPr>
            <w:r>
              <w:rPr>
                <w:rFonts w:ascii="宋体" w:hAnsi="宋体" w:eastAsia="宋体"/>
                <w:sz w:val="16"/>
              </w:rPr>
              <w:t>上级资金：</w:t>
            </w:r>
          </w:p>
        </w:tc>
        <w:tc>
          <w:tcPr>
            <w:tcW w:w="1019" w:type="pct"/>
            <w:tcBorders>
              <w:top w:val="single" w:color="auto" w:sz="10" w:space="0"/>
              <w:left w:val="single" w:color="auto" w:sz="10" w:space="0"/>
              <w:bottom w:val="single" w:color="auto" w:sz="10" w:space="0"/>
              <w:right w:val="single" w:color="auto" w:sz="10" w:space="0"/>
              <w:insideV w:val="single" w:sz="10" w:space="0"/>
            </w:tcBorders>
            <w:vAlign w:val="center"/>
          </w:tcPr>
          <w:p w14:paraId="2FCC2218">
            <w:pPr>
              <w:snapToGrid w:val="0"/>
              <w:jc w:val="center"/>
            </w:pPr>
            <w:r>
              <w:rPr>
                <w:rFonts w:ascii="宋体" w:hAnsi="宋体" w:eastAsia="宋体"/>
                <w:sz w:val="16"/>
              </w:rPr>
              <w:t>50.00</w:t>
            </w: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540E11E3">
            <w:pPr>
              <w:snapToGrid w:val="0"/>
              <w:jc w:val="center"/>
            </w:pPr>
            <w:r>
              <w:rPr>
                <w:rFonts w:ascii="宋体" w:hAnsi="宋体" w:eastAsia="宋体"/>
                <w:sz w:val="16"/>
              </w:rPr>
              <w:t>132.94</w:t>
            </w:r>
          </w:p>
        </w:tc>
        <w:tc>
          <w:tcPr>
            <w:tcW w:w="754" w:type="pct"/>
            <w:tcBorders>
              <w:top w:val="single" w:color="auto" w:sz="10" w:space="0"/>
              <w:left w:val="single" w:color="auto" w:sz="10" w:space="0"/>
              <w:bottom w:val="single" w:color="auto" w:sz="10" w:space="0"/>
              <w:right w:val="single" w:color="auto" w:sz="10" w:space="0"/>
              <w:insideV w:val="single" w:sz="10" w:space="0"/>
            </w:tcBorders>
            <w:vAlign w:val="center"/>
          </w:tcPr>
          <w:p w14:paraId="62C9270E">
            <w:pPr>
              <w:snapToGrid w:val="0"/>
              <w:jc w:val="center"/>
            </w:pPr>
            <w:r>
              <w:rPr>
                <w:rFonts w:ascii="宋体" w:hAnsi="宋体" w:eastAsia="宋体"/>
                <w:sz w:val="16"/>
              </w:rPr>
              <w:t>132.94</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536D1C4D">
            <w:pPr>
              <w:snapToGrid w:val="0"/>
              <w:jc w:val="center"/>
            </w:pPr>
            <w:r>
              <w:rPr>
                <w:rFonts w:ascii="宋体" w:hAnsi="宋体" w:eastAsia="宋体"/>
                <w:sz w:val="16"/>
              </w:rPr>
              <w:t>-</w:t>
            </w:r>
          </w:p>
        </w:tc>
        <w:tc>
          <w:tcPr>
            <w:tcW w:w="970" w:type="pct"/>
            <w:tcBorders>
              <w:top w:val="single" w:color="auto" w:sz="10" w:space="0"/>
              <w:left w:val="single" w:color="auto" w:sz="10" w:space="0"/>
              <w:bottom w:val="single" w:color="auto" w:sz="10" w:space="0"/>
              <w:right w:val="single" w:color="auto" w:sz="10" w:space="0"/>
              <w:insideV w:val="single" w:sz="10" w:space="0"/>
            </w:tcBorders>
            <w:vAlign w:val="center"/>
          </w:tcPr>
          <w:p w14:paraId="65A5E58D">
            <w:pPr>
              <w:snapToGrid w:val="0"/>
              <w:jc w:val="center"/>
            </w:pPr>
            <w:r>
              <w:rPr>
                <w:rFonts w:ascii="宋体" w:hAnsi="宋体" w:eastAsia="宋体"/>
                <w:sz w:val="16"/>
              </w:rPr>
              <w:t>-</w:t>
            </w:r>
          </w:p>
        </w:tc>
        <w:tc>
          <w:tcPr>
            <w:tcW w:w="469" w:type="pct"/>
            <w:tcBorders>
              <w:top w:val="single" w:color="auto" w:sz="10" w:space="0"/>
              <w:left w:val="single" w:color="auto" w:sz="10" w:space="0"/>
              <w:bottom w:val="single" w:color="auto" w:sz="10" w:space="0"/>
              <w:right w:val="single" w:color="auto" w:sz="10" w:space="0"/>
              <w:insideV w:val="single" w:sz="10" w:space="0"/>
            </w:tcBorders>
            <w:vAlign w:val="center"/>
          </w:tcPr>
          <w:p w14:paraId="5DA80462">
            <w:pPr>
              <w:snapToGrid w:val="0"/>
              <w:jc w:val="center"/>
            </w:pPr>
            <w:r>
              <w:rPr>
                <w:rFonts w:ascii="宋体" w:hAnsi="宋体" w:eastAsia="宋体"/>
                <w:sz w:val="16"/>
              </w:rPr>
              <w:t>-</w:t>
            </w:r>
          </w:p>
        </w:tc>
      </w:tr>
      <w:tr w14:paraId="5F21EA69">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1501C8F0">
            <w:pPr>
              <w:snapToGrid w:val="0"/>
            </w:pP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17C061D2">
            <w:pPr>
              <w:snapToGrid w:val="0"/>
              <w:jc w:val="center"/>
            </w:pPr>
            <w:r>
              <w:rPr>
                <w:rFonts w:ascii="宋体" w:hAnsi="宋体" w:eastAsia="宋体"/>
                <w:sz w:val="16"/>
              </w:rPr>
              <w:t>本级资金：</w:t>
            </w:r>
          </w:p>
        </w:tc>
        <w:tc>
          <w:tcPr>
            <w:tcW w:w="1019" w:type="pct"/>
            <w:tcBorders>
              <w:top w:val="single" w:color="auto" w:sz="10" w:space="0"/>
              <w:left w:val="single" w:color="auto" w:sz="10" w:space="0"/>
              <w:bottom w:val="single" w:color="auto" w:sz="10" w:space="0"/>
              <w:right w:val="single" w:color="auto" w:sz="10" w:space="0"/>
              <w:insideV w:val="single" w:sz="10" w:space="0"/>
            </w:tcBorders>
            <w:vAlign w:val="center"/>
          </w:tcPr>
          <w:p w14:paraId="46845378">
            <w:pPr>
              <w:snapToGrid w:val="0"/>
              <w:jc w:val="center"/>
            </w:pPr>
            <w:r>
              <w:rPr>
                <w:rFonts w:ascii="宋体" w:hAnsi="宋体" w:eastAsia="宋体"/>
                <w:sz w:val="16"/>
              </w:rPr>
              <w:t>1,557.11</w:t>
            </w: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65DF965B">
            <w:pPr>
              <w:snapToGrid w:val="0"/>
              <w:jc w:val="center"/>
            </w:pPr>
            <w:r>
              <w:rPr>
                <w:rFonts w:ascii="宋体" w:hAnsi="宋体" w:eastAsia="宋体"/>
                <w:sz w:val="16"/>
              </w:rPr>
              <w:t>2,579.66</w:t>
            </w:r>
          </w:p>
        </w:tc>
        <w:tc>
          <w:tcPr>
            <w:tcW w:w="754" w:type="pct"/>
            <w:tcBorders>
              <w:top w:val="single" w:color="auto" w:sz="10" w:space="0"/>
              <w:left w:val="single" w:color="auto" w:sz="10" w:space="0"/>
              <w:bottom w:val="single" w:color="auto" w:sz="10" w:space="0"/>
              <w:right w:val="single" w:color="auto" w:sz="10" w:space="0"/>
              <w:insideV w:val="single" w:sz="10" w:space="0"/>
            </w:tcBorders>
            <w:vAlign w:val="center"/>
          </w:tcPr>
          <w:p w14:paraId="405850CD">
            <w:pPr>
              <w:snapToGrid w:val="0"/>
              <w:jc w:val="center"/>
            </w:pPr>
            <w:r>
              <w:rPr>
                <w:rFonts w:ascii="宋体" w:hAnsi="宋体" w:eastAsia="宋体"/>
                <w:sz w:val="16"/>
              </w:rPr>
              <w:t>2,579.66</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409F0F5C">
            <w:pPr>
              <w:snapToGrid w:val="0"/>
              <w:jc w:val="center"/>
            </w:pPr>
            <w:r>
              <w:rPr>
                <w:rFonts w:ascii="宋体" w:hAnsi="宋体" w:eastAsia="宋体"/>
                <w:sz w:val="16"/>
              </w:rPr>
              <w:t>-</w:t>
            </w:r>
          </w:p>
        </w:tc>
        <w:tc>
          <w:tcPr>
            <w:tcW w:w="970" w:type="pct"/>
            <w:tcBorders>
              <w:top w:val="single" w:color="auto" w:sz="10" w:space="0"/>
              <w:left w:val="single" w:color="auto" w:sz="10" w:space="0"/>
              <w:bottom w:val="single" w:color="auto" w:sz="10" w:space="0"/>
              <w:right w:val="single" w:color="auto" w:sz="10" w:space="0"/>
              <w:insideV w:val="single" w:sz="10" w:space="0"/>
            </w:tcBorders>
            <w:vAlign w:val="center"/>
          </w:tcPr>
          <w:p w14:paraId="1E848C26">
            <w:pPr>
              <w:snapToGrid w:val="0"/>
              <w:jc w:val="center"/>
            </w:pPr>
            <w:r>
              <w:rPr>
                <w:rFonts w:ascii="宋体" w:hAnsi="宋体" w:eastAsia="宋体"/>
                <w:sz w:val="16"/>
              </w:rPr>
              <w:t>-</w:t>
            </w:r>
          </w:p>
        </w:tc>
        <w:tc>
          <w:tcPr>
            <w:tcW w:w="469" w:type="pct"/>
            <w:tcBorders>
              <w:top w:val="single" w:color="auto" w:sz="10" w:space="0"/>
              <w:left w:val="single" w:color="auto" w:sz="10" w:space="0"/>
              <w:bottom w:val="single" w:color="auto" w:sz="10" w:space="0"/>
              <w:right w:val="single" w:color="auto" w:sz="10" w:space="0"/>
              <w:insideV w:val="single" w:sz="10" w:space="0"/>
            </w:tcBorders>
            <w:vAlign w:val="center"/>
          </w:tcPr>
          <w:p w14:paraId="0AFC3FB5">
            <w:pPr>
              <w:snapToGrid w:val="0"/>
              <w:jc w:val="center"/>
            </w:pPr>
            <w:r>
              <w:rPr>
                <w:rFonts w:ascii="宋体" w:hAnsi="宋体" w:eastAsia="宋体"/>
                <w:sz w:val="16"/>
              </w:rPr>
              <w:t>-</w:t>
            </w:r>
          </w:p>
        </w:tc>
      </w:tr>
      <w:tr w14:paraId="5D42B427">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1C1B43F5">
            <w:pPr>
              <w:snapToGrid w:val="0"/>
            </w:pP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3C3DDDC5">
            <w:pPr>
              <w:snapToGrid w:val="0"/>
              <w:jc w:val="center"/>
            </w:pPr>
            <w:r>
              <w:rPr>
                <w:rFonts w:ascii="宋体" w:hAnsi="宋体" w:eastAsia="宋体"/>
                <w:sz w:val="16"/>
              </w:rPr>
              <w:t>其他资金：</w:t>
            </w:r>
          </w:p>
        </w:tc>
        <w:tc>
          <w:tcPr>
            <w:tcW w:w="1019" w:type="pct"/>
            <w:tcBorders>
              <w:top w:val="single" w:color="auto" w:sz="10" w:space="0"/>
              <w:left w:val="single" w:color="auto" w:sz="10" w:space="0"/>
              <w:bottom w:val="single" w:color="auto" w:sz="10" w:space="0"/>
              <w:right w:val="single" w:color="auto" w:sz="10" w:space="0"/>
              <w:insideV w:val="single" w:sz="10" w:space="0"/>
            </w:tcBorders>
            <w:vAlign w:val="center"/>
          </w:tcPr>
          <w:p w14:paraId="76AEF603">
            <w:pPr>
              <w:snapToGrid w:val="0"/>
              <w:jc w:val="center"/>
            </w:pPr>
            <w:r>
              <w:rPr>
                <w:rFonts w:ascii="宋体" w:hAnsi="宋体" w:eastAsia="宋体"/>
                <w:sz w:val="16"/>
              </w:rPr>
              <w:t>0.00</w:t>
            </w: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6A012554">
            <w:pPr>
              <w:snapToGrid w:val="0"/>
              <w:jc w:val="center"/>
            </w:pPr>
            <w:r>
              <w:rPr>
                <w:rFonts w:ascii="宋体" w:hAnsi="宋体" w:eastAsia="宋体"/>
                <w:sz w:val="16"/>
              </w:rPr>
              <w:t>12.01</w:t>
            </w:r>
          </w:p>
        </w:tc>
        <w:tc>
          <w:tcPr>
            <w:tcW w:w="754" w:type="pct"/>
            <w:tcBorders>
              <w:top w:val="single" w:color="auto" w:sz="10" w:space="0"/>
              <w:left w:val="single" w:color="auto" w:sz="10" w:space="0"/>
              <w:bottom w:val="single" w:color="auto" w:sz="10" w:space="0"/>
              <w:right w:val="single" w:color="auto" w:sz="10" w:space="0"/>
              <w:insideV w:val="single" w:sz="10" w:space="0"/>
            </w:tcBorders>
            <w:vAlign w:val="center"/>
          </w:tcPr>
          <w:p w14:paraId="54241CC0">
            <w:pPr>
              <w:snapToGrid w:val="0"/>
              <w:jc w:val="center"/>
            </w:pPr>
            <w:r>
              <w:rPr>
                <w:rFonts w:ascii="宋体" w:hAnsi="宋体" w:eastAsia="宋体"/>
                <w:sz w:val="16"/>
              </w:rPr>
              <w:t>7.66</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546D1903">
            <w:pPr>
              <w:snapToGrid w:val="0"/>
              <w:jc w:val="center"/>
            </w:pPr>
            <w:r>
              <w:rPr>
                <w:rFonts w:ascii="宋体" w:hAnsi="宋体" w:eastAsia="宋体"/>
                <w:sz w:val="16"/>
              </w:rPr>
              <w:t>-</w:t>
            </w:r>
          </w:p>
        </w:tc>
        <w:tc>
          <w:tcPr>
            <w:tcW w:w="970" w:type="pct"/>
            <w:tcBorders>
              <w:top w:val="single" w:color="auto" w:sz="10" w:space="0"/>
              <w:left w:val="single" w:color="auto" w:sz="10" w:space="0"/>
              <w:bottom w:val="single" w:color="auto" w:sz="10" w:space="0"/>
              <w:right w:val="single" w:color="auto" w:sz="10" w:space="0"/>
              <w:insideV w:val="single" w:sz="10" w:space="0"/>
            </w:tcBorders>
            <w:vAlign w:val="center"/>
          </w:tcPr>
          <w:p w14:paraId="0B54BB94">
            <w:pPr>
              <w:snapToGrid w:val="0"/>
              <w:jc w:val="center"/>
            </w:pPr>
            <w:r>
              <w:rPr>
                <w:rFonts w:ascii="宋体" w:hAnsi="宋体" w:eastAsia="宋体"/>
                <w:sz w:val="16"/>
              </w:rPr>
              <w:t>-</w:t>
            </w:r>
          </w:p>
        </w:tc>
        <w:tc>
          <w:tcPr>
            <w:tcW w:w="469" w:type="pct"/>
            <w:tcBorders>
              <w:top w:val="single" w:color="auto" w:sz="10" w:space="0"/>
              <w:left w:val="single" w:color="auto" w:sz="10" w:space="0"/>
              <w:bottom w:val="single" w:color="auto" w:sz="10" w:space="0"/>
              <w:right w:val="single" w:color="auto" w:sz="10" w:space="0"/>
              <w:insideV w:val="single" w:sz="10" w:space="0"/>
            </w:tcBorders>
            <w:vAlign w:val="center"/>
          </w:tcPr>
          <w:p w14:paraId="32D7BE35">
            <w:pPr>
              <w:snapToGrid w:val="0"/>
              <w:jc w:val="center"/>
            </w:pPr>
            <w:r>
              <w:rPr>
                <w:rFonts w:ascii="宋体" w:hAnsi="宋体" w:eastAsia="宋体"/>
                <w:sz w:val="16"/>
              </w:rPr>
              <w:t>-</w:t>
            </w:r>
          </w:p>
        </w:tc>
      </w:tr>
      <w:tr w14:paraId="5DC446A5">
        <w:tblPrEx>
          <w:tblCellMar>
            <w:top w:w="40" w:type="dxa"/>
            <w:left w:w="64" w:type="dxa"/>
            <w:bottom w:w="40" w:type="dxa"/>
            <w:right w:w="64" w:type="dxa"/>
          </w:tblCellMar>
        </w:tblPrEx>
        <w:trPr>
          <w:trHeight w:val="0" w:hRule="atLeast"/>
          <w:jc w:val="center"/>
        </w:trPr>
        <w:tc>
          <w:tcPr>
            <w:tcW w:w="288"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C240A">
            <w:pPr>
              <w:snapToGrid w:val="0"/>
              <w:jc w:val="center"/>
            </w:pPr>
            <w:r>
              <w:rPr>
                <w:rFonts w:ascii="宋体" w:hAnsi="宋体" w:eastAsia="宋体"/>
                <w:sz w:val="16"/>
              </w:rPr>
              <w:t>年度总体目标</w:t>
            </w:r>
          </w:p>
        </w:tc>
        <w:tc>
          <w:tcPr>
            <w:tcW w:w="2719" w:type="pct"/>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8EA4C6">
            <w:pPr>
              <w:snapToGrid w:val="0"/>
              <w:jc w:val="center"/>
            </w:pPr>
            <w:r>
              <w:rPr>
                <w:rFonts w:ascii="宋体" w:hAnsi="宋体" w:eastAsia="宋体"/>
                <w:sz w:val="16"/>
              </w:rPr>
              <w:t>预期目标</w:t>
            </w:r>
          </w:p>
        </w:tc>
        <w:tc>
          <w:tcPr>
            <w:tcW w:w="1992" w:type="pct"/>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BB43BC">
            <w:pPr>
              <w:snapToGrid w:val="0"/>
              <w:jc w:val="center"/>
            </w:pPr>
            <w:r>
              <w:rPr>
                <w:rFonts w:ascii="宋体" w:hAnsi="宋体" w:eastAsia="宋体"/>
                <w:sz w:val="16"/>
              </w:rPr>
              <w:t>实际完成情况</w:t>
            </w:r>
          </w:p>
        </w:tc>
      </w:tr>
      <w:tr w14:paraId="3F1491C3">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60808A97">
            <w:pPr>
              <w:snapToGrid w:val="0"/>
            </w:pPr>
          </w:p>
        </w:tc>
        <w:tc>
          <w:tcPr>
            <w:tcW w:w="2719" w:type="pct"/>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7822FD">
            <w:pPr>
              <w:snapToGrid w:val="0"/>
              <w:jc w:val="both"/>
            </w:pPr>
            <w:r>
              <w:rPr>
                <w:rFonts w:ascii="宋体" w:hAnsi="宋体" w:eastAsia="宋体"/>
                <w:sz w:val="16"/>
              </w:rPr>
              <w:t>2024年我们将全面贯彻党的二十大和</w:t>
            </w:r>
            <w:r>
              <w:rPr>
                <w:rFonts w:hint="eastAsia" w:ascii="宋体" w:hAnsi="宋体"/>
                <w:sz w:val="16"/>
                <w:lang w:eastAsia="zh-CN"/>
              </w:rPr>
              <w:t>党的二十届二中全会精神</w:t>
            </w:r>
            <w:r>
              <w:rPr>
                <w:rFonts w:ascii="宋体" w:hAnsi="宋体" w:eastAsia="宋体"/>
                <w:sz w:val="16"/>
              </w:rPr>
              <w:t>，贯彻落实习近平总书记关于新疆工作的重要讲话和重要指示批示精神，贯彻落实自治区党委十届十次全会精神，完整准确全面贯彻新时代党的治疆方略，牢牢把握铸牢中华民族共同体意识这条主线，聚焦高质量发展这一首要任务，更好</w:t>
            </w:r>
            <w:r>
              <w:rPr>
                <w:rFonts w:hint="eastAsia" w:ascii="宋体" w:hAnsi="宋体"/>
                <w:sz w:val="16"/>
                <w:lang w:eastAsia="zh-CN"/>
              </w:rPr>
              <w:t>地统筹发展和安全</w:t>
            </w:r>
            <w:r>
              <w:rPr>
                <w:rFonts w:ascii="宋体" w:hAnsi="宋体" w:eastAsia="宋体"/>
                <w:sz w:val="16"/>
              </w:rPr>
              <w:t>、统筹开放和稳定，大力实施以打造现代化古城文化旅游、农业产业发展和壮大村集体经济的“一轴两翼”发展战略，计划全年完成</w:t>
            </w:r>
            <w:r>
              <w:rPr>
                <w:rFonts w:hint="eastAsia" w:ascii="宋体" w:hAnsi="宋体"/>
                <w:sz w:val="16"/>
                <w:lang w:eastAsia="zh-CN"/>
              </w:rPr>
              <w:t>招</w:t>
            </w:r>
            <w:r>
              <w:rPr>
                <w:rFonts w:ascii="宋体" w:hAnsi="宋体" w:eastAsia="宋体"/>
                <w:sz w:val="16"/>
              </w:rPr>
              <w:t>商引资到位资金1亿元，建立0-3岁婴幼儿托育机构，完成城镇劳动力就业转移，全面推进惠远经济高质量发展。</w:t>
            </w:r>
          </w:p>
        </w:tc>
        <w:tc>
          <w:tcPr>
            <w:tcW w:w="1992" w:type="pct"/>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916ED2">
            <w:pPr>
              <w:snapToGrid w:val="0"/>
              <w:jc w:val="both"/>
            </w:pPr>
            <w:r>
              <w:rPr>
                <w:rFonts w:ascii="宋体" w:hAnsi="宋体" w:eastAsia="宋体"/>
                <w:sz w:val="16"/>
              </w:rPr>
              <w:t>一年来，惠远镇紧紧围绕习近平新时代中国特色社会主义思想，深入贯彻落实</w:t>
            </w:r>
            <w:r>
              <w:rPr>
                <w:rFonts w:hint="eastAsia" w:ascii="宋体" w:hAnsi="宋体"/>
                <w:sz w:val="16"/>
                <w:lang w:eastAsia="zh-CN"/>
              </w:rPr>
              <w:t>党的</w:t>
            </w:r>
            <w:r>
              <w:rPr>
                <w:rFonts w:ascii="宋体" w:hAnsi="宋体" w:eastAsia="宋体"/>
                <w:sz w:val="16"/>
              </w:rPr>
              <w:t>二十大精神，完整准确全面贯彻新时代党的治疆方略，落实自治区及伊犁州党委、政府，霍城县委、县政府的各级会议及讲话精神，以锐意进取的精神状态，在推进惠远古城社会稳定，经济发展上取得一定成绩。全年完成安全生产检查12次，完成招</w:t>
            </w:r>
            <w:r>
              <w:rPr>
                <w:rFonts w:hint="eastAsia" w:ascii="宋体" w:hAnsi="宋体"/>
                <w:sz w:val="16"/>
                <w:lang w:eastAsia="zh-CN"/>
              </w:rPr>
              <w:t>商引资</w:t>
            </w:r>
            <w:r>
              <w:rPr>
                <w:rFonts w:ascii="宋体" w:hAnsi="宋体" w:eastAsia="宋体"/>
                <w:sz w:val="16"/>
              </w:rPr>
              <w:t>到位资金1亿元，打造宜居宜游宜业宜餐的文化旅游示范名镇1个，建立0-3岁婴幼儿托育机构1个，完成城镇劳动力就业转移1052人，全面推进惠远经济高质量发展。</w:t>
            </w:r>
          </w:p>
        </w:tc>
      </w:tr>
      <w:tr w14:paraId="59914670">
        <w:tblPrEx>
          <w:tblCellMar>
            <w:top w:w="40" w:type="dxa"/>
            <w:left w:w="64" w:type="dxa"/>
            <w:bottom w:w="40" w:type="dxa"/>
            <w:right w:w="64" w:type="dxa"/>
          </w:tblCellMar>
        </w:tblPrEx>
        <w:trPr>
          <w:trHeight w:val="0" w:hRule="atLeast"/>
          <w:jc w:val="center"/>
        </w:trPr>
        <w:tc>
          <w:tcPr>
            <w:tcW w:w="288" w:type="pct"/>
            <w:tcBorders>
              <w:top w:val="single" w:color="auto" w:sz="10" w:space="0"/>
              <w:left w:val="single" w:color="auto" w:sz="10" w:space="0"/>
              <w:bottom w:val="single" w:color="auto" w:sz="10" w:space="0"/>
              <w:right w:val="single" w:color="auto" w:sz="10" w:space="0"/>
              <w:insideV w:val="single" w:sz="10" w:space="0"/>
            </w:tcBorders>
            <w:vAlign w:val="center"/>
          </w:tcPr>
          <w:p w14:paraId="5E7BC0E9">
            <w:pPr>
              <w:snapToGrid w:val="0"/>
              <w:jc w:val="center"/>
            </w:pPr>
            <w:r>
              <w:rPr>
                <w:rFonts w:ascii="宋体" w:hAnsi="宋体" w:eastAsia="宋体"/>
                <w:sz w:val="16"/>
              </w:rPr>
              <w:t>一级指标</w:t>
            </w:r>
          </w:p>
        </w:tc>
        <w:tc>
          <w:tcPr>
            <w:tcW w:w="390" w:type="pct"/>
            <w:tcBorders>
              <w:top w:val="single" w:color="auto" w:sz="10" w:space="0"/>
              <w:left w:val="single" w:color="auto" w:sz="10" w:space="0"/>
              <w:bottom w:val="single" w:color="auto" w:sz="10" w:space="0"/>
              <w:right w:val="single" w:color="auto" w:sz="10" w:space="0"/>
              <w:insideV w:val="single" w:sz="10" w:space="0"/>
            </w:tcBorders>
            <w:vAlign w:val="center"/>
          </w:tcPr>
          <w:p w14:paraId="14698642">
            <w:pPr>
              <w:snapToGrid w:val="0"/>
              <w:jc w:val="center"/>
            </w:pPr>
            <w:r>
              <w:rPr>
                <w:rFonts w:ascii="宋体" w:hAnsi="宋体" w:eastAsia="宋体"/>
                <w:sz w:val="16"/>
              </w:rPr>
              <w:t>二级指标</w:t>
            </w:r>
          </w:p>
        </w:tc>
        <w:tc>
          <w:tcPr>
            <w:tcW w:w="1019" w:type="pct"/>
            <w:tcBorders>
              <w:top w:val="single" w:color="auto" w:sz="10" w:space="0"/>
              <w:left w:val="single" w:color="auto" w:sz="10" w:space="0"/>
              <w:bottom w:val="single" w:color="auto" w:sz="10" w:space="0"/>
              <w:right w:val="single" w:color="auto" w:sz="10" w:space="0"/>
              <w:insideV w:val="single" w:sz="10" w:space="0"/>
            </w:tcBorders>
            <w:vAlign w:val="center"/>
          </w:tcPr>
          <w:p w14:paraId="228FFE18">
            <w:pPr>
              <w:snapToGrid w:val="0"/>
              <w:jc w:val="center"/>
            </w:pPr>
            <w:r>
              <w:rPr>
                <w:rFonts w:ascii="宋体" w:hAnsi="宋体" w:eastAsia="宋体"/>
                <w:sz w:val="16"/>
              </w:rPr>
              <w:t>三级指标</w:t>
            </w: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4185A207">
            <w:pPr>
              <w:snapToGrid w:val="0"/>
              <w:jc w:val="center"/>
            </w:pPr>
            <w:r>
              <w:rPr>
                <w:rFonts w:ascii="宋体" w:hAnsi="宋体" w:eastAsia="宋体"/>
                <w:sz w:val="16"/>
              </w:rPr>
              <w:t>预期指标值</w:t>
            </w:r>
          </w:p>
        </w:tc>
        <w:tc>
          <w:tcPr>
            <w:tcW w:w="754" w:type="pct"/>
            <w:tcBorders>
              <w:top w:val="single" w:color="auto" w:sz="10" w:space="0"/>
              <w:left w:val="single" w:color="auto" w:sz="10" w:space="0"/>
              <w:bottom w:val="single" w:color="auto" w:sz="10" w:space="0"/>
              <w:right w:val="single" w:color="auto" w:sz="10" w:space="0"/>
              <w:insideV w:val="single" w:sz="10" w:space="0"/>
            </w:tcBorders>
            <w:vAlign w:val="center"/>
          </w:tcPr>
          <w:p w14:paraId="439C07D8">
            <w:pPr>
              <w:snapToGrid w:val="0"/>
              <w:jc w:val="center"/>
            </w:pPr>
            <w:r>
              <w:rPr>
                <w:rFonts w:ascii="宋体" w:hAnsi="宋体" w:eastAsia="宋体"/>
                <w:sz w:val="16"/>
              </w:rPr>
              <w:t>指标值设定依据</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6FC8BC1E">
            <w:pPr>
              <w:snapToGrid w:val="0"/>
              <w:jc w:val="center"/>
            </w:pPr>
            <w:r>
              <w:rPr>
                <w:rFonts w:ascii="宋体" w:hAnsi="宋体" w:eastAsia="宋体"/>
                <w:sz w:val="16"/>
              </w:rPr>
              <w:t>分值权重</w:t>
            </w:r>
          </w:p>
        </w:tc>
        <w:tc>
          <w:tcPr>
            <w:tcW w:w="970" w:type="pct"/>
            <w:tcBorders>
              <w:top w:val="single" w:color="auto" w:sz="10" w:space="0"/>
              <w:left w:val="single" w:color="auto" w:sz="10" w:space="0"/>
              <w:bottom w:val="single" w:color="auto" w:sz="10" w:space="0"/>
              <w:right w:val="single" w:color="auto" w:sz="10" w:space="0"/>
              <w:insideV w:val="single" w:sz="10" w:space="0"/>
            </w:tcBorders>
            <w:vAlign w:val="center"/>
          </w:tcPr>
          <w:p w14:paraId="36668A93">
            <w:pPr>
              <w:snapToGrid w:val="0"/>
              <w:jc w:val="center"/>
            </w:pPr>
            <w:r>
              <w:rPr>
                <w:rFonts w:ascii="宋体" w:hAnsi="宋体" w:eastAsia="宋体"/>
                <w:sz w:val="16"/>
              </w:rPr>
              <w:t>实际完成指标值</w:t>
            </w:r>
          </w:p>
        </w:tc>
        <w:tc>
          <w:tcPr>
            <w:tcW w:w="469" w:type="pct"/>
            <w:tcBorders>
              <w:top w:val="single" w:color="auto" w:sz="10" w:space="0"/>
              <w:left w:val="single" w:color="auto" w:sz="10" w:space="0"/>
              <w:bottom w:val="single" w:color="auto" w:sz="10" w:space="0"/>
              <w:right w:val="single" w:color="auto" w:sz="10" w:space="0"/>
              <w:insideV w:val="single" w:sz="10" w:space="0"/>
            </w:tcBorders>
            <w:vAlign w:val="center"/>
          </w:tcPr>
          <w:p w14:paraId="0E97C135">
            <w:pPr>
              <w:snapToGrid w:val="0"/>
              <w:jc w:val="center"/>
            </w:pPr>
            <w:r>
              <w:rPr>
                <w:rFonts w:ascii="宋体" w:hAnsi="宋体" w:eastAsia="宋体"/>
                <w:sz w:val="16"/>
              </w:rPr>
              <w:t>得分</w:t>
            </w:r>
          </w:p>
        </w:tc>
      </w:tr>
      <w:tr w14:paraId="56125546">
        <w:tblPrEx>
          <w:tblCellMar>
            <w:top w:w="40" w:type="dxa"/>
            <w:left w:w="64" w:type="dxa"/>
            <w:bottom w:w="40" w:type="dxa"/>
            <w:right w:w="64" w:type="dxa"/>
          </w:tblCellMar>
        </w:tblPrEx>
        <w:trPr>
          <w:trHeight w:val="0" w:hRule="atLeast"/>
          <w:jc w:val="center"/>
        </w:trPr>
        <w:tc>
          <w:tcPr>
            <w:tcW w:w="288"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0099C">
            <w:pPr>
              <w:snapToGrid w:val="0"/>
              <w:jc w:val="center"/>
            </w:pPr>
            <w:r>
              <w:rPr>
                <w:rFonts w:ascii="宋体" w:hAnsi="宋体" w:eastAsia="宋体"/>
                <w:sz w:val="16"/>
              </w:rPr>
              <w:t>履职效能</w:t>
            </w:r>
          </w:p>
        </w:tc>
        <w:tc>
          <w:tcPr>
            <w:tcW w:w="390"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0ED28">
            <w:pPr>
              <w:snapToGrid w:val="0"/>
              <w:jc w:val="center"/>
            </w:pPr>
            <w:r>
              <w:rPr>
                <w:rFonts w:ascii="宋体" w:hAnsi="宋体" w:eastAsia="宋体"/>
                <w:sz w:val="16"/>
              </w:rPr>
              <w:t>数量指标</w:t>
            </w:r>
          </w:p>
        </w:tc>
        <w:tc>
          <w:tcPr>
            <w:tcW w:w="1019" w:type="pct"/>
            <w:tcBorders>
              <w:top w:val="single" w:color="auto" w:sz="10" w:space="0"/>
              <w:left w:val="single" w:color="auto" w:sz="10" w:space="0"/>
              <w:bottom w:val="single" w:color="auto" w:sz="10" w:space="0"/>
              <w:right w:val="single" w:color="auto" w:sz="10" w:space="0"/>
              <w:insideV w:val="single" w:sz="10" w:space="0"/>
            </w:tcBorders>
            <w:vAlign w:val="center"/>
          </w:tcPr>
          <w:p w14:paraId="33232824">
            <w:pPr>
              <w:snapToGrid w:val="0"/>
              <w:jc w:val="center"/>
            </w:pPr>
            <w:r>
              <w:rPr>
                <w:rFonts w:ascii="宋体" w:hAnsi="宋体" w:eastAsia="宋体"/>
                <w:sz w:val="16"/>
              </w:rPr>
              <w:t>全年完成安全生产检查次数</w:t>
            </w: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68877C7C">
            <w:pPr>
              <w:snapToGrid w:val="0"/>
              <w:jc w:val="center"/>
            </w:pPr>
            <w:r>
              <w:rPr>
                <w:rFonts w:ascii="宋体" w:hAnsi="宋体" w:eastAsia="宋体"/>
                <w:sz w:val="16"/>
              </w:rPr>
              <w:t>&gt;=12次</w:t>
            </w:r>
          </w:p>
        </w:tc>
        <w:tc>
          <w:tcPr>
            <w:tcW w:w="754" w:type="pct"/>
            <w:tcBorders>
              <w:top w:val="single" w:color="auto" w:sz="10" w:space="0"/>
              <w:left w:val="single" w:color="auto" w:sz="10" w:space="0"/>
              <w:bottom w:val="single" w:color="auto" w:sz="10" w:space="0"/>
              <w:right w:val="single" w:color="auto" w:sz="10" w:space="0"/>
              <w:insideV w:val="single" w:sz="10" w:space="0"/>
            </w:tcBorders>
            <w:vAlign w:val="center"/>
          </w:tcPr>
          <w:p w14:paraId="620D9999">
            <w:pPr>
              <w:snapToGrid w:val="0"/>
              <w:jc w:val="center"/>
            </w:pPr>
            <w:r>
              <w:rPr>
                <w:rFonts w:ascii="宋体" w:hAnsi="宋体" w:eastAsia="宋体"/>
                <w:sz w:val="16"/>
              </w:rPr>
              <w:t>202</w:t>
            </w:r>
            <w:r>
              <w:rPr>
                <w:rFonts w:hint="eastAsia" w:ascii="宋体" w:hAnsi="宋体"/>
                <w:sz w:val="16"/>
                <w:lang w:val="en-US" w:eastAsia="zh-CN"/>
              </w:rPr>
              <w:t>4</w:t>
            </w:r>
            <w:r>
              <w:rPr>
                <w:rFonts w:ascii="宋体" w:hAnsi="宋体" w:eastAsia="宋体"/>
                <w:sz w:val="16"/>
              </w:rPr>
              <w:t>年惠远镇党委工作报告</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735D31CE">
            <w:pPr>
              <w:snapToGrid w:val="0"/>
              <w:jc w:val="center"/>
            </w:pPr>
            <w:r>
              <w:rPr>
                <w:rFonts w:ascii="宋体" w:hAnsi="宋体" w:eastAsia="宋体"/>
                <w:sz w:val="16"/>
              </w:rPr>
              <w:t>15</w:t>
            </w:r>
          </w:p>
        </w:tc>
        <w:tc>
          <w:tcPr>
            <w:tcW w:w="970" w:type="pct"/>
            <w:tcBorders>
              <w:top w:val="single" w:color="auto" w:sz="10" w:space="0"/>
              <w:left w:val="single" w:color="auto" w:sz="10" w:space="0"/>
              <w:bottom w:val="single" w:color="auto" w:sz="10" w:space="0"/>
              <w:right w:val="single" w:color="auto" w:sz="10" w:space="0"/>
              <w:insideV w:val="single" w:sz="10" w:space="0"/>
            </w:tcBorders>
            <w:vAlign w:val="center"/>
          </w:tcPr>
          <w:p w14:paraId="2381384B">
            <w:pPr>
              <w:snapToGrid w:val="0"/>
              <w:jc w:val="center"/>
            </w:pPr>
            <w:r>
              <w:rPr>
                <w:rFonts w:ascii="宋体" w:hAnsi="宋体" w:eastAsia="宋体"/>
                <w:sz w:val="16"/>
              </w:rPr>
              <w:t>12次</w:t>
            </w:r>
          </w:p>
        </w:tc>
        <w:tc>
          <w:tcPr>
            <w:tcW w:w="469" w:type="pct"/>
            <w:tcBorders>
              <w:top w:val="single" w:color="auto" w:sz="10" w:space="0"/>
              <w:left w:val="single" w:color="auto" w:sz="10" w:space="0"/>
              <w:bottom w:val="single" w:color="auto" w:sz="10" w:space="0"/>
              <w:right w:val="single" w:color="auto" w:sz="10" w:space="0"/>
              <w:insideV w:val="single" w:sz="10" w:space="0"/>
            </w:tcBorders>
            <w:vAlign w:val="center"/>
          </w:tcPr>
          <w:p w14:paraId="39C28D06">
            <w:pPr>
              <w:snapToGrid w:val="0"/>
              <w:jc w:val="center"/>
            </w:pPr>
            <w:r>
              <w:rPr>
                <w:rFonts w:ascii="宋体" w:hAnsi="宋体" w:eastAsia="宋体"/>
                <w:sz w:val="16"/>
              </w:rPr>
              <w:t>15</w:t>
            </w:r>
          </w:p>
        </w:tc>
      </w:tr>
      <w:tr w14:paraId="733614A9">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0CF3639F">
            <w:pPr>
              <w:snapToGrid w:val="0"/>
            </w:pPr>
          </w:p>
        </w:tc>
        <w:tc>
          <w:tcPr>
            <w:tcW w:w="390" w:type="pct"/>
            <w:vMerge w:val="continue"/>
            <w:tcBorders>
              <w:top w:val="single" w:color="auto" w:sz="10" w:space="0"/>
              <w:left w:val="single" w:color="auto" w:sz="10" w:space="0"/>
              <w:bottom w:val="single" w:color="auto" w:sz="10" w:space="0"/>
              <w:right w:val="single" w:color="auto" w:sz="10" w:space="0"/>
              <w:insideV w:val="single" w:sz="10" w:space="0"/>
            </w:tcBorders>
          </w:tcPr>
          <w:p w14:paraId="49D93FC4">
            <w:pPr>
              <w:snapToGrid w:val="0"/>
            </w:pPr>
          </w:p>
        </w:tc>
        <w:tc>
          <w:tcPr>
            <w:tcW w:w="1019" w:type="pct"/>
            <w:tcBorders>
              <w:top w:val="single" w:color="auto" w:sz="10" w:space="0"/>
              <w:left w:val="single" w:color="auto" w:sz="10" w:space="0"/>
              <w:bottom w:val="single" w:color="auto" w:sz="10" w:space="0"/>
              <w:right w:val="single" w:color="auto" w:sz="10" w:space="0"/>
              <w:insideV w:val="single" w:sz="10" w:space="0"/>
            </w:tcBorders>
            <w:vAlign w:val="center"/>
          </w:tcPr>
          <w:p w14:paraId="484BF6E4">
            <w:pPr>
              <w:snapToGrid w:val="0"/>
              <w:jc w:val="center"/>
            </w:pPr>
            <w:r>
              <w:rPr>
                <w:rFonts w:ascii="宋体" w:hAnsi="宋体" w:eastAsia="宋体"/>
                <w:sz w:val="16"/>
              </w:rPr>
              <w:t>全年完成招商引资到位资金</w:t>
            </w: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67A216EE">
            <w:pPr>
              <w:snapToGrid w:val="0"/>
              <w:jc w:val="center"/>
            </w:pPr>
            <w:r>
              <w:rPr>
                <w:rFonts w:ascii="宋体" w:hAnsi="宋体" w:eastAsia="宋体"/>
                <w:sz w:val="16"/>
              </w:rPr>
              <w:t>&gt;=1亿元</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6E5C8CE5">
            <w:pPr>
              <w:snapToGrid w:val="0"/>
              <w:jc w:val="center"/>
            </w:pPr>
            <w:r>
              <w:rPr>
                <w:rFonts w:ascii="宋体" w:hAnsi="宋体" w:eastAsia="宋体"/>
                <w:sz w:val="16"/>
              </w:rPr>
              <w:t>202</w:t>
            </w:r>
            <w:r>
              <w:rPr>
                <w:rFonts w:hint="eastAsia" w:ascii="宋体" w:hAnsi="宋体"/>
                <w:sz w:val="16"/>
                <w:lang w:val="en-US" w:eastAsia="zh-CN"/>
              </w:rPr>
              <w:t>4</w:t>
            </w:r>
            <w:r>
              <w:rPr>
                <w:rFonts w:ascii="宋体" w:hAnsi="宋体" w:eastAsia="宋体"/>
                <w:sz w:val="16"/>
              </w:rPr>
              <w:t>年惠远镇党委工作报告</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4A57B6B9">
            <w:pPr>
              <w:snapToGrid w:val="0"/>
              <w:jc w:val="center"/>
            </w:pPr>
            <w:r>
              <w:rPr>
                <w:rFonts w:ascii="宋体" w:hAnsi="宋体" w:eastAsia="宋体"/>
                <w:sz w:val="16"/>
              </w:rPr>
              <w:t>15</w:t>
            </w:r>
          </w:p>
        </w:tc>
        <w:tc>
          <w:tcPr>
            <w:tcW w:w="970" w:type="pct"/>
            <w:tcBorders>
              <w:top w:val="single" w:color="auto" w:sz="10" w:space="0"/>
              <w:left w:val="single" w:color="auto" w:sz="10" w:space="0"/>
              <w:bottom w:val="single" w:color="auto" w:sz="10" w:space="0"/>
              <w:right w:val="single" w:color="auto" w:sz="10" w:space="0"/>
              <w:insideV w:val="single" w:sz="10" w:space="0"/>
            </w:tcBorders>
            <w:vAlign w:val="center"/>
          </w:tcPr>
          <w:p w14:paraId="146F07D4">
            <w:pPr>
              <w:snapToGrid w:val="0"/>
              <w:jc w:val="center"/>
            </w:pPr>
            <w:r>
              <w:rPr>
                <w:rFonts w:ascii="宋体" w:hAnsi="宋体" w:eastAsia="宋体"/>
                <w:sz w:val="16"/>
              </w:rPr>
              <w:t>1亿元</w:t>
            </w:r>
          </w:p>
        </w:tc>
        <w:tc>
          <w:tcPr>
            <w:tcW w:w="469" w:type="pct"/>
            <w:tcBorders>
              <w:top w:val="single" w:color="auto" w:sz="10" w:space="0"/>
              <w:left w:val="single" w:color="auto" w:sz="10" w:space="0"/>
              <w:bottom w:val="single" w:color="auto" w:sz="10" w:space="0"/>
              <w:right w:val="single" w:color="auto" w:sz="10" w:space="0"/>
              <w:insideV w:val="single" w:sz="10" w:space="0"/>
            </w:tcBorders>
            <w:vAlign w:val="center"/>
          </w:tcPr>
          <w:p w14:paraId="76AB042D">
            <w:pPr>
              <w:snapToGrid w:val="0"/>
              <w:jc w:val="center"/>
            </w:pPr>
            <w:r>
              <w:rPr>
                <w:rFonts w:ascii="宋体" w:hAnsi="宋体" w:eastAsia="宋体"/>
                <w:sz w:val="16"/>
              </w:rPr>
              <w:t>15</w:t>
            </w:r>
          </w:p>
        </w:tc>
      </w:tr>
      <w:tr w14:paraId="1C491DA1">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5F50B48E">
            <w:pPr>
              <w:snapToGrid w:val="0"/>
            </w:pPr>
          </w:p>
        </w:tc>
        <w:tc>
          <w:tcPr>
            <w:tcW w:w="390" w:type="pct"/>
            <w:vMerge w:val="continue"/>
            <w:tcBorders>
              <w:top w:val="single" w:color="auto" w:sz="10" w:space="0"/>
              <w:left w:val="single" w:color="auto" w:sz="10" w:space="0"/>
              <w:bottom w:val="single" w:color="auto" w:sz="10" w:space="0"/>
              <w:right w:val="single" w:color="auto" w:sz="10" w:space="0"/>
              <w:insideV w:val="single" w:sz="10" w:space="0"/>
            </w:tcBorders>
          </w:tcPr>
          <w:p w14:paraId="05395A79">
            <w:pPr>
              <w:snapToGrid w:val="0"/>
            </w:pPr>
          </w:p>
        </w:tc>
        <w:tc>
          <w:tcPr>
            <w:tcW w:w="1019" w:type="pct"/>
            <w:tcBorders>
              <w:top w:val="single" w:color="auto" w:sz="10" w:space="0"/>
              <w:left w:val="single" w:color="auto" w:sz="10" w:space="0"/>
              <w:bottom w:val="single" w:color="auto" w:sz="10" w:space="0"/>
              <w:right w:val="single" w:color="auto" w:sz="10" w:space="0"/>
              <w:insideV w:val="single" w:sz="10" w:space="0"/>
            </w:tcBorders>
            <w:vAlign w:val="center"/>
          </w:tcPr>
          <w:p w14:paraId="79832B5F">
            <w:pPr>
              <w:snapToGrid w:val="0"/>
              <w:jc w:val="center"/>
            </w:pPr>
            <w:r>
              <w:rPr>
                <w:rFonts w:ascii="宋体" w:hAnsi="宋体" w:eastAsia="宋体"/>
                <w:sz w:val="16"/>
              </w:rPr>
              <w:t>打造宜居宜游宜业宜餐的文化旅游示范名镇（个）</w:t>
            </w: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5BF0F13E">
            <w:pPr>
              <w:snapToGrid w:val="0"/>
              <w:jc w:val="center"/>
            </w:pPr>
            <w:r>
              <w:rPr>
                <w:rFonts w:ascii="宋体" w:hAnsi="宋体" w:eastAsia="宋体"/>
                <w:sz w:val="16"/>
              </w:rPr>
              <w:t>=1个</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2878FC8E">
            <w:pPr>
              <w:snapToGrid w:val="0"/>
              <w:jc w:val="center"/>
            </w:pPr>
            <w:r>
              <w:rPr>
                <w:rFonts w:ascii="宋体" w:hAnsi="宋体" w:eastAsia="宋体"/>
                <w:sz w:val="16"/>
              </w:rPr>
              <w:t>202</w:t>
            </w:r>
            <w:r>
              <w:rPr>
                <w:rFonts w:hint="eastAsia" w:ascii="宋体" w:hAnsi="宋体"/>
                <w:sz w:val="16"/>
                <w:lang w:val="en-US" w:eastAsia="zh-CN"/>
              </w:rPr>
              <w:t>4</w:t>
            </w:r>
            <w:r>
              <w:rPr>
                <w:rFonts w:ascii="宋体" w:hAnsi="宋体" w:eastAsia="宋体"/>
                <w:sz w:val="16"/>
              </w:rPr>
              <w:t>年惠远镇党委工作报告</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726ABD45">
            <w:pPr>
              <w:snapToGrid w:val="0"/>
              <w:jc w:val="center"/>
            </w:pPr>
            <w:r>
              <w:rPr>
                <w:rFonts w:ascii="宋体" w:hAnsi="宋体" w:eastAsia="宋体"/>
                <w:sz w:val="16"/>
              </w:rPr>
              <w:t>20</w:t>
            </w:r>
          </w:p>
        </w:tc>
        <w:tc>
          <w:tcPr>
            <w:tcW w:w="970" w:type="pct"/>
            <w:tcBorders>
              <w:top w:val="single" w:color="auto" w:sz="10" w:space="0"/>
              <w:left w:val="single" w:color="auto" w:sz="10" w:space="0"/>
              <w:bottom w:val="single" w:color="auto" w:sz="10" w:space="0"/>
              <w:right w:val="single" w:color="auto" w:sz="10" w:space="0"/>
              <w:insideV w:val="single" w:sz="10" w:space="0"/>
            </w:tcBorders>
            <w:vAlign w:val="center"/>
          </w:tcPr>
          <w:p w14:paraId="6152AD77">
            <w:pPr>
              <w:snapToGrid w:val="0"/>
              <w:jc w:val="center"/>
            </w:pPr>
            <w:r>
              <w:rPr>
                <w:rFonts w:ascii="宋体" w:hAnsi="宋体" w:eastAsia="宋体"/>
                <w:sz w:val="16"/>
              </w:rPr>
              <w:t>1个</w:t>
            </w:r>
          </w:p>
        </w:tc>
        <w:tc>
          <w:tcPr>
            <w:tcW w:w="469" w:type="pct"/>
            <w:tcBorders>
              <w:top w:val="single" w:color="auto" w:sz="10" w:space="0"/>
              <w:left w:val="single" w:color="auto" w:sz="10" w:space="0"/>
              <w:bottom w:val="single" w:color="auto" w:sz="10" w:space="0"/>
              <w:right w:val="single" w:color="auto" w:sz="10" w:space="0"/>
              <w:insideV w:val="single" w:sz="10" w:space="0"/>
            </w:tcBorders>
            <w:vAlign w:val="center"/>
          </w:tcPr>
          <w:p w14:paraId="6A1ABE2F">
            <w:pPr>
              <w:snapToGrid w:val="0"/>
              <w:jc w:val="center"/>
            </w:pPr>
            <w:r>
              <w:rPr>
                <w:rFonts w:ascii="宋体" w:hAnsi="宋体" w:eastAsia="宋体"/>
                <w:sz w:val="16"/>
              </w:rPr>
              <w:t>20</w:t>
            </w:r>
          </w:p>
        </w:tc>
      </w:tr>
      <w:tr w14:paraId="529AB3F5">
        <w:tblPrEx>
          <w:tblCellMar>
            <w:top w:w="40" w:type="dxa"/>
            <w:left w:w="64" w:type="dxa"/>
            <w:bottom w:w="40" w:type="dxa"/>
            <w:right w:w="64" w:type="dxa"/>
          </w:tblCellMar>
        </w:tblPrEx>
        <w:trPr>
          <w:trHeight w:val="0" w:hRule="atLeast"/>
          <w:jc w:val="center"/>
        </w:trPr>
        <w:tc>
          <w:tcPr>
            <w:tcW w:w="288" w:type="pct"/>
            <w:vMerge w:val="continue"/>
            <w:tcBorders>
              <w:top w:val="single" w:color="auto" w:sz="10" w:space="0"/>
              <w:left w:val="single" w:color="auto" w:sz="10" w:space="0"/>
              <w:bottom w:val="single" w:color="auto" w:sz="10" w:space="0"/>
              <w:right w:val="single" w:color="auto" w:sz="10" w:space="0"/>
              <w:insideV w:val="single" w:sz="10" w:space="0"/>
            </w:tcBorders>
          </w:tcPr>
          <w:p w14:paraId="2BBA4CC5">
            <w:pPr>
              <w:snapToGrid w:val="0"/>
            </w:pPr>
          </w:p>
        </w:tc>
        <w:tc>
          <w:tcPr>
            <w:tcW w:w="390" w:type="pct"/>
            <w:vMerge w:val="continue"/>
            <w:tcBorders>
              <w:top w:val="single" w:color="auto" w:sz="10" w:space="0"/>
              <w:left w:val="single" w:color="auto" w:sz="10" w:space="0"/>
              <w:bottom w:val="single" w:color="auto" w:sz="10" w:space="0"/>
              <w:right w:val="single" w:color="auto" w:sz="10" w:space="0"/>
              <w:insideV w:val="single" w:sz="10" w:space="0"/>
            </w:tcBorders>
          </w:tcPr>
          <w:p w14:paraId="2C99CD5A">
            <w:pPr>
              <w:snapToGrid w:val="0"/>
            </w:pPr>
          </w:p>
        </w:tc>
        <w:tc>
          <w:tcPr>
            <w:tcW w:w="1019" w:type="pct"/>
            <w:tcBorders>
              <w:top w:val="single" w:color="auto" w:sz="10" w:space="0"/>
              <w:left w:val="single" w:color="auto" w:sz="10" w:space="0"/>
              <w:bottom w:val="single" w:color="auto" w:sz="10" w:space="0"/>
              <w:right w:val="single" w:color="auto" w:sz="10" w:space="0"/>
              <w:insideV w:val="single" w:sz="10" w:space="0"/>
            </w:tcBorders>
            <w:vAlign w:val="center"/>
          </w:tcPr>
          <w:p w14:paraId="2956CB10">
            <w:pPr>
              <w:snapToGrid w:val="0"/>
              <w:jc w:val="center"/>
            </w:pPr>
            <w:r>
              <w:rPr>
                <w:rFonts w:ascii="宋体" w:hAnsi="宋体" w:eastAsia="宋体"/>
                <w:sz w:val="16"/>
              </w:rPr>
              <w:t>建立0-3岁婴幼儿托育机构</w:t>
            </w: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0F053D91">
            <w:pPr>
              <w:snapToGrid w:val="0"/>
              <w:jc w:val="center"/>
            </w:pPr>
            <w:r>
              <w:rPr>
                <w:rFonts w:ascii="宋体" w:hAnsi="宋体" w:eastAsia="宋体"/>
                <w:sz w:val="16"/>
              </w:rPr>
              <w:t>=1个</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16EA61CE">
            <w:pPr>
              <w:snapToGrid w:val="0"/>
              <w:jc w:val="center"/>
            </w:pPr>
            <w:r>
              <w:rPr>
                <w:rFonts w:ascii="宋体" w:hAnsi="宋体" w:eastAsia="宋体"/>
                <w:sz w:val="16"/>
              </w:rPr>
              <w:t>202</w:t>
            </w:r>
            <w:r>
              <w:rPr>
                <w:rFonts w:hint="eastAsia" w:ascii="宋体" w:hAnsi="宋体"/>
                <w:sz w:val="16"/>
                <w:lang w:val="en-US" w:eastAsia="zh-CN"/>
              </w:rPr>
              <w:t>4</w:t>
            </w:r>
            <w:r>
              <w:rPr>
                <w:rFonts w:ascii="宋体" w:hAnsi="宋体" w:eastAsia="宋体"/>
                <w:sz w:val="16"/>
              </w:rPr>
              <w:t>年惠远镇党委工作报告</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71FAB6F4">
            <w:pPr>
              <w:snapToGrid w:val="0"/>
              <w:jc w:val="center"/>
            </w:pPr>
            <w:r>
              <w:rPr>
                <w:rFonts w:ascii="宋体" w:hAnsi="宋体" w:eastAsia="宋体"/>
                <w:sz w:val="16"/>
              </w:rPr>
              <w:t>20</w:t>
            </w:r>
          </w:p>
        </w:tc>
        <w:tc>
          <w:tcPr>
            <w:tcW w:w="970" w:type="pct"/>
            <w:tcBorders>
              <w:top w:val="single" w:color="auto" w:sz="10" w:space="0"/>
              <w:left w:val="single" w:color="auto" w:sz="10" w:space="0"/>
              <w:bottom w:val="single" w:color="auto" w:sz="10" w:space="0"/>
              <w:right w:val="single" w:color="auto" w:sz="10" w:space="0"/>
              <w:insideV w:val="single" w:sz="10" w:space="0"/>
            </w:tcBorders>
            <w:vAlign w:val="center"/>
          </w:tcPr>
          <w:p w14:paraId="401B68E2">
            <w:pPr>
              <w:snapToGrid w:val="0"/>
              <w:jc w:val="center"/>
            </w:pPr>
            <w:r>
              <w:rPr>
                <w:rFonts w:ascii="宋体" w:hAnsi="宋体" w:eastAsia="宋体"/>
                <w:sz w:val="16"/>
              </w:rPr>
              <w:t>1个</w:t>
            </w:r>
          </w:p>
        </w:tc>
        <w:tc>
          <w:tcPr>
            <w:tcW w:w="469" w:type="pct"/>
            <w:tcBorders>
              <w:top w:val="single" w:color="auto" w:sz="10" w:space="0"/>
              <w:left w:val="single" w:color="auto" w:sz="10" w:space="0"/>
              <w:bottom w:val="single" w:color="auto" w:sz="10" w:space="0"/>
              <w:right w:val="single" w:color="auto" w:sz="10" w:space="0"/>
              <w:insideV w:val="single" w:sz="10" w:space="0"/>
            </w:tcBorders>
            <w:vAlign w:val="center"/>
          </w:tcPr>
          <w:p w14:paraId="13C73BD8">
            <w:pPr>
              <w:snapToGrid w:val="0"/>
              <w:jc w:val="center"/>
            </w:pPr>
            <w:r>
              <w:rPr>
                <w:rFonts w:ascii="宋体" w:hAnsi="宋体" w:eastAsia="宋体"/>
                <w:sz w:val="16"/>
              </w:rPr>
              <w:t>20</w:t>
            </w:r>
          </w:p>
        </w:tc>
      </w:tr>
      <w:tr w14:paraId="4A3CEF53">
        <w:tblPrEx>
          <w:tblCellMar>
            <w:top w:w="40" w:type="dxa"/>
            <w:left w:w="64" w:type="dxa"/>
            <w:bottom w:w="40" w:type="dxa"/>
            <w:right w:w="64" w:type="dxa"/>
          </w:tblCellMar>
        </w:tblPrEx>
        <w:trPr>
          <w:trHeight w:val="0" w:hRule="atLeast"/>
          <w:jc w:val="center"/>
        </w:trPr>
        <w:tc>
          <w:tcPr>
            <w:tcW w:w="288" w:type="pct"/>
            <w:tcBorders>
              <w:top w:val="single" w:color="auto" w:sz="10" w:space="0"/>
              <w:left w:val="single" w:color="auto" w:sz="10" w:space="0"/>
              <w:bottom w:val="single" w:color="auto" w:sz="10" w:space="0"/>
              <w:right w:val="single" w:color="auto" w:sz="10" w:space="0"/>
              <w:insideV w:val="single" w:sz="10" w:space="0"/>
            </w:tcBorders>
            <w:vAlign w:val="center"/>
          </w:tcPr>
          <w:p w14:paraId="6523D788">
            <w:pPr>
              <w:snapToGrid w:val="0"/>
              <w:jc w:val="center"/>
            </w:pPr>
            <w:r>
              <w:rPr>
                <w:rFonts w:ascii="宋体" w:hAnsi="宋体" w:eastAsia="宋体"/>
                <w:sz w:val="16"/>
              </w:rPr>
              <w:t>社会效益</w:t>
            </w:r>
          </w:p>
        </w:tc>
        <w:tc>
          <w:tcPr>
            <w:tcW w:w="390" w:type="pct"/>
            <w:vMerge w:val="continue"/>
            <w:tcBorders>
              <w:top w:val="single" w:color="auto" w:sz="10" w:space="0"/>
              <w:left w:val="single" w:color="auto" w:sz="10" w:space="0"/>
              <w:bottom w:val="single" w:color="auto" w:sz="10" w:space="0"/>
              <w:right w:val="single" w:color="auto" w:sz="10" w:space="0"/>
              <w:insideV w:val="single" w:sz="10" w:space="0"/>
            </w:tcBorders>
          </w:tcPr>
          <w:p w14:paraId="4EDFC8CA">
            <w:pPr>
              <w:snapToGrid w:val="0"/>
            </w:pPr>
          </w:p>
        </w:tc>
        <w:tc>
          <w:tcPr>
            <w:tcW w:w="1019" w:type="pct"/>
            <w:tcBorders>
              <w:top w:val="single" w:color="auto" w:sz="10" w:space="0"/>
              <w:left w:val="single" w:color="auto" w:sz="10" w:space="0"/>
              <w:bottom w:val="single" w:color="auto" w:sz="10" w:space="0"/>
              <w:right w:val="single" w:color="auto" w:sz="10" w:space="0"/>
              <w:insideV w:val="single" w:sz="10" w:space="0"/>
            </w:tcBorders>
            <w:vAlign w:val="center"/>
          </w:tcPr>
          <w:p w14:paraId="26FE36A3">
            <w:pPr>
              <w:snapToGrid w:val="0"/>
              <w:jc w:val="center"/>
            </w:pPr>
            <w:r>
              <w:rPr>
                <w:rFonts w:ascii="宋体" w:hAnsi="宋体" w:eastAsia="宋体"/>
                <w:sz w:val="16"/>
              </w:rPr>
              <w:t>城镇劳动就业转移人数1</w:t>
            </w:r>
          </w:p>
        </w:tc>
        <w:tc>
          <w:tcPr>
            <w:tcW w:w="555" w:type="pct"/>
            <w:tcBorders>
              <w:top w:val="single" w:color="auto" w:sz="10" w:space="0"/>
              <w:left w:val="single" w:color="auto" w:sz="10" w:space="0"/>
              <w:bottom w:val="single" w:color="auto" w:sz="10" w:space="0"/>
              <w:right w:val="single" w:color="auto" w:sz="10" w:space="0"/>
              <w:insideV w:val="single" w:sz="10" w:space="0"/>
            </w:tcBorders>
            <w:vAlign w:val="center"/>
          </w:tcPr>
          <w:p w14:paraId="42F014C3">
            <w:pPr>
              <w:snapToGrid w:val="0"/>
              <w:jc w:val="center"/>
            </w:pPr>
            <w:r>
              <w:rPr>
                <w:rFonts w:ascii="宋体" w:hAnsi="宋体" w:eastAsia="宋体"/>
                <w:sz w:val="16"/>
              </w:rPr>
              <w:t>&gt;=850人</w:t>
            </w:r>
          </w:p>
        </w:tc>
        <w:tc>
          <w:tcPr>
            <w:tcW w:w="1355" w:type="dxa"/>
            <w:tcBorders>
              <w:top w:val="single" w:color="auto" w:sz="10" w:space="0"/>
              <w:left w:val="single" w:color="auto" w:sz="10" w:space="0"/>
              <w:bottom w:val="single" w:color="auto" w:sz="10" w:space="0"/>
              <w:right w:val="single" w:color="auto" w:sz="10" w:space="0"/>
              <w:insideV w:val="single" w:sz="10" w:space="0"/>
            </w:tcBorders>
            <w:vAlign w:val="center"/>
          </w:tcPr>
          <w:p w14:paraId="59E2D31A">
            <w:pPr>
              <w:snapToGrid w:val="0"/>
              <w:jc w:val="center"/>
            </w:pPr>
            <w:r>
              <w:rPr>
                <w:rFonts w:ascii="宋体" w:hAnsi="宋体" w:eastAsia="宋体"/>
                <w:sz w:val="16"/>
              </w:rPr>
              <w:t>202</w:t>
            </w:r>
            <w:r>
              <w:rPr>
                <w:rFonts w:hint="eastAsia" w:ascii="宋体" w:hAnsi="宋体"/>
                <w:sz w:val="16"/>
                <w:lang w:val="en-US" w:eastAsia="zh-CN"/>
              </w:rPr>
              <w:t>4</w:t>
            </w:r>
            <w:r>
              <w:rPr>
                <w:rFonts w:ascii="宋体" w:hAnsi="宋体" w:eastAsia="宋体"/>
                <w:sz w:val="16"/>
              </w:rPr>
              <w:t>年惠远镇党委工作报告</w:t>
            </w:r>
          </w:p>
        </w:tc>
        <w:tc>
          <w:tcPr>
            <w:tcW w:w="552" w:type="pct"/>
            <w:tcBorders>
              <w:top w:val="single" w:color="auto" w:sz="10" w:space="0"/>
              <w:left w:val="single" w:color="auto" w:sz="10" w:space="0"/>
              <w:bottom w:val="single" w:color="auto" w:sz="10" w:space="0"/>
              <w:right w:val="single" w:color="auto" w:sz="10" w:space="0"/>
              <w:insideV w:val="single" w:sz="10" w:space="0"/>
            </w:tcBorders>
            <w:vAlign w:val="center"/>
          </w:tcPr>
          <w:p w14:paraId="126133D0">
            <w:pPr>
              <w:snapToGrid w:val="0"/>
              <w:jc w:val="center"/>
            </w:pPr>
            <w:r>
              <w:rPr>
                <w:rFonts w:ascii="宋体" w:hAnsi="宋体" w:eastAsia="宋体"/>
                <w:sz w:val="16"/>
              </w:rPr>
              <w:t>20</w:t>
            </w:r>
          </w:p>
        </w:tc>
        <w:tc>
          <w:tcPr>
            <w:tcW w:w="970" w:type="pct"/>
            <w:tcBorders>
              <w:top w:val="single" w:color="auto" w:sz="10" w:space="0"/>
              <w:left w:val="single" w:color="auto" w:sz="10" w:space="0"/>
              <w:bottom w:val="single" w:color="auto" w:sz="10" w:space="0"/>
              <w:right w:val="single" w:color="auto" w:sz="10" w:space="0"/>
              <w:insideV w:val="single" w:sz="10" w:space="0"/>
            </w:tcBorders>
            <w:vAlign w:val="center"/>
          </w:tcPr>
          <w:p w14:paraId="25FD9593">
            <w:pPr>
              <w:snapToGrid w:val="0"/>
              <w:jc w:val="center"/>
            </w:pPr>
            <w:r>
              <w:rPr>
                <w:rFonts w:ascii="宋体" w:hAnsi="宋体" w:eastAsia="宋体"/>
                <w:sz w:val="16"/>
              </w:rPr>
              <w:t>1052人</w:t>
            </w:r>
          </w:p>
        </w:tc>
        <w:tc>
          <w:tcPr>
            <w:tcW w:w="469" w:type="pct"/>
            <w:tcBorders>
              <w:top w:val="single" w:color="auto" w:sz="10" w:space="0"/>
              <w:left w:val="single" w:color="auto" w:sz="10" w:space="0"/>
              <w:bottom w:val="single" w:color="auto" w:sz="10" w:space="0"/>
              <w:right w:val="single" w:color="auto" w:sz="10" w:space="0"/>
              <w:insideV w:val="single" w:sz="10" w:space="0"/>
            </w:tcBorders>
            <w:vAlign w:val="center"/>
          </w:tcPr>
          <w:p w14:paraId="45E4AD53">
            <w:pPr>
              <w:snapToGrid w:val="0"/>
              <w:jc w:val="center"/>
            </w:pPr>
            <w:r>
              <w:rPr>
                <w:rFonts w:ascii="宋体" w:hAnsi="宋体" w:eastAsia="宋体"/>
                <w:sz w:val="16"/>
              </w:rPr>
              <w:t>20</w:t>
            </w:r>
          </w:p>
        </w:tc>
      </w:tr>
    </w:tbl>
    <w:p w14:paraId="40B8757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725"/>
        <w:gridCol w:w="539"/>
        <w:gridCol w:w="696"/>
        <w:gridCol w:w="632"/>
        <w:gridCol w:w="776"/>
        <w:gridCol w:w="632"/>
        <w:gridCol w:w="632"/>
        <w:gridCol w:w="632"/>
        <w:gridCol w:w="632"/>
        <w:gridCol w:w="632"/>
        <w:gridCol w:w="632"/>
      </w:tblGrid>
      <w:tr w14:paraId="7EAB6439">
        <w:tblPrEx>
          <w:tblCellMar>
            <w:top w:w="0" w:type="dxa"/>
            <w:left w:w="108" w:type="dxa"/>
            <w:bottom w:w="0" w:type="dxa"/>
            <w:right w:w="108" w:type="dxa"/>
          </w:tblCellMar>
        </w:tblPrEx>
        <w:tc>
          <w:tcPr>
            <w:tcW w:w="9056" w:type="dxa"/>
            <w:gridSpan w:val="14"/>
            <w:vAlign w:val="center"/>
          </w:tcPr>
          <w:p w14:paraId="7482C142">
            <w:pPr>
              <w:jc w:val="center"/>
            </w:pPr>
            <w:r>
              <w:rPr>
                <w:rFonts w:ascii="宋体" w:hAnsi="宋体" w:eastAsia="宋体"/>
                <w:sz w:val="24"/>
              </w:rPr>
              <w:t>项目支出绩效自评表</w:t>
            </w:r>
          </w:p>
        </w:tc>
      </w:tr>
      <w:tr w14:paraId="4F149B07">
        <w:tblPrEx>
          <w:tblCellMar>
            <w:top w:w="0" w:type="dxa"/>
            <w:left w:w="108" w:type="dxa"/>
            <w:bottom w:w="0" w:type="dxa"/>
            <w:right w:w="108" w:type="dxa"/>
          </w:tblCellMar>
        </w:tblPrEx>
        <w:tc>
          <w:tcPr>
            <w:tcW w:w="9056" w:type="dxa"/>
            <w:gridSpan w:val="14"/>
            <w:vAlign w:val="center"/>
          </w:tcPr>
          <w:p w14:paraId="0E95C5CC">
            <w:pPr>
              <w:jc w:val="center"/>
            </w:pPr>
            <w:r>
              <w:rPr>
                <w:rFonts w:ascii="宋体" w:hAnsi="宋体" w:eastAsia="宋体"/>
                <w:sz w:val="24"/>
              </w:rPr>
              <w:t>(2024年度)</w:t>
            </w:r>
          </w:p>
        </w:tc>
      </w:tr>
      <w:tr w14:paraId="75A994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612C1">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678BB5">
            <w:pPr>
              <w:jc w:val="center"/>
            </w:pPr>
            <w:r>
              <w:rPr>
                <w:rFonts w:ascii="宋体" w:hAnsi="宋体" w:eastAsia="宋体"/>
                <w:sz w:val="16"/>
              </w:rPr>
              <w:t>农村综合改革转移支付(第二批）</w:t>
            </w:r>
          </w:p>
        </w:tc>
      </w:tr>
      <w:tr w14:paraId="44279B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A2E3">
            <w:pPr>
              <w:jc w:val="center"/>
            </w:pPr>
            <w:r>
              <w:rPr>
                <w:rFonts w:ascii="宋体" w:hAnsi="宋体" w:eastAsia="宋体"/>
                <w:sz w:val="16"/>
              </w:rPr>
              <w:t>主管部门</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21A8DA">
            <w:pPr>
              <w:jc w:val="center"/>
            </w:pPr>
            <w:r>
              <w:rPr>
                <w:rFonts w:ascii="宋体" w:hAnsi="宋体" w:eastAsia="宋体"/>
                <w:sz w:val="16"/>
              </w:rPr>
              <w:t>霍城县惠远镇人民政府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9B0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0413B5">
            <w:pPr>
              <w:jc w:val="center"/>
            </w:pPr>
            <w:r>
              <w:rPr>
                <w:rFonts w:ascii="宋体" w:hAnsi="宋体" w:eastAsia="宋体"/>
                <w:sz w:val="16"/>
              </w:rPr>
              <w:t>霍城县惠远镇人民政府</w:t>
            </w:r>
          </w:p>
        </w:tc>
      </w:tr>
      <w:tr w14:paraId="53E218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186E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C91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B5CE9">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66454">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F18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602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D02C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E2D7">
            <w:pPr>
              <w:jc w:val="center"/>
            </w:pPr>
            <w:r>
              <w:rPr>
                <w:rFonts w:ascii="宋体" w:hAnsi="宋体" w:eastAsia="宋体"/>
                <w:sz w:val="16"/>
              </w:rPr>
              <w:t>得分</w:t>
            </w:r>
          </w:p>
        </w:tc>
      </w:tr>
      <w:tr w14:paraId="4C310C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146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BCB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6D101">
            <w:pPr>
              <w:jc w:val="center"/>
            </w:pPr>
            <w:r>
              <w:rPr>
                <w:rFonts w:ascii="宋体" w:hAnsi="宋体" w:eastAsia="宋体"/>
                <w:sz w:val="16"/>
              </w:rPr>
              <w:t>30.00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871A8">
            <w:pPr>
              <w:jc w:val="center"/>
            </w:pPr>
            <w:r>
              <w:rPr>
                <w:rFonts w:ascii="宋体" w:hAnsi="宋体" w:eastAsia="宋体"/>
                <w:sz w:val="16"/>
              </w:rPr>
              <w:t>30.00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EACF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D15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12EB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FF3A2">
            <w:pPr>
              <w:jc w:val="center"/>
            </w:pPr>
            <w:r>
              <w:rPr>
                <w:rFonts w:ascii="宋体" w:hAnsi="宋体" w:eastAsia="宋体"/>
                <w:sz w:val="16"/>
              </w:rPr>
              <w:t>10.00</w:t>
            </w:r>
          </w:p>
        </w:tc>
      </w:tr>
      <w:tr w14:paraId="23DE5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641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DD5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16642">
            <w:pPr>
              <w:jc w:val="center"/>
            </w:pPr>
            <w:r>
              <w:rPr>
                <w:rFonts w:ascii="宋体" w:hAnsi="宋体" w:eastAsia="宋体"/>
                <w:sz w:val="16"/>
              </w:rPr>
              <w:t>30.00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C3CBA">
            <w:pPr>
              <w:jc w:val="center"/>
            </w:pPr>
            <w:r>
              <w:rPr>
                <w:rFonts w:ascii="宋体" w:hAnsi="宋体" w:eastAsia="宋体"/>
                <w:sz w:val="16"/>
              </w:rPr>
              <w:t>30.00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8EC1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21E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72D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7C3B">
            <w:pPr>
              <w:jc w:val="center"/>
            </w:pPr>
            <w:r>
              <w:rPr>
                <w:rFonts w:ascii="宋体" w:hAnsi="宋体" w:eastAsia="宋体"/>
                <w:sz w:val="16"/>
              </w:rPr>
              <w:t>—</w:t>
            </w:r>
          </w:p>
        </w:tc>
      </w:tr>
      <w:tr w14:paraId="3150F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02A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CD5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C9094">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DDB9E">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799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0BF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FE0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22A9">
            <w:pPr>
              <w:jc w:val="center"/>
            </w:pPr>
            <w:r>
              <w:rPr>
                <w:rFonts w:ascii="宋体" w:hAnsi="宋体" w:eastAsia="宋体"/>
                <w:sz w:val="16"/>
              </w:rPr>
              <w:t>—</w:t>
            </w:r>
          </w:p>
        </w:tc>
      </w:tr>
      <w:tr w14:paraId="7311A2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B5BF5">
            <w:pPr>
              <w:jc w:val="center"/>
            </w:pPr>
            <w:r>
              <w:rPr>
                <w:rFonts w:ascii="宋体" w:hAnsi="宋体" w:eastAsia="宋体"/>
                <w:sz w:val="16"/>
              </w:rPr>
              <w:t>年度总体目标</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F281A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02BB24">
            <w:pPr>
              <w:jc w:val="center"/>
            </w:pPr>
            <w:r>
              <w:rPr>
                <w:rFonts w:ascii="宋体" w:hAnsi="宋体" w:eastAsia="宋体"/>
                <w:sz w:val="16"/>
              </w:rPr>
              <w:t>实际完成情况</w:t>
            </w:r>
          </w:p>
        </w:tc>
      </w:tr>
      <w:tr w14:paraId="72704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98716"/>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4DD232">
            <w:pPr>
              <w:jc w:val="both"/>
            </w:pPr>
            <w:r>
              <w:rPr>
                <w:rFonts w:ascii="宋体" w:hAnsi="宋体" w:eastAsia="宋体"/>
                <w:sz w:val="16"/>
              </w:rPr>
              <w:t>惠远镇老城村2024年农村公益事业项目，实施金额30万元。老城村购买电动垃圾车1辆涉及金额8.5万元，老城村五区幸福东路南13巷路口到山东路路口、小学路共购置路灯105盏涉及金额21.5万元。近年来，村党支部和驻村工作队坚定坚决落实党的治疆方略，村党支部凝聚力明显提升，群众生活质量有较大的提升，环境卫生得到有效改善，进一步美化群众生活，美化乡村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1D41C9">
            <w:pPr>
              <w:jc w:val="both"/>
            </w:pPr>
            <w:r>
              <w:rPr>
                <w:rFonts w:ascii="宋体" w:hAnsi="宋体" w:eastAsia="宋体"/>
                <w:sz w:val="16"/>
              </w:rPr>
              <w:t>惠远镇老城村通过财政支持，改善了农村基础设施、公共服务和生态环境，促进了农村经济发展和基层治理能力提升，有效缩小了城乡差距，老城村利用综改资金购买电动垃圾车1辆涉及金额8.5万元，购买扫雪刷1个，金额5000元，老城村五区幸福东路南13巷路口到山东路路口、小学路共购置路灯120盏涉及金额21万元，推动了农村综合改革和可持续发展。</w:t>
            </w:r>
          </w:p>
        </w:tc>
      </w:tr>
      <w:tr w14:paraId="794A3C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0082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7E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A198">
            <w:pPr>
              <w:jc w:val="center"/>
            </w:pPr>
            <w:r>
              <w:rPr>
                <w:rFonts w:ascii="宋体" w:hAnsi="宋体" w:eastAsia="宋体"/>
                <w:sz w:val="16"/>
              </w:rPr>
              <w:t>二级指标</w:t>
            </w:r>
          </w:p>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7C09F679">
            <w:pPr>
              <w:jc w:val="center"/>
            </w:pPr>
            <w:r>
              <w:rPr>
                <w:rFonts w:ascii="宋体" w:hAnsi="宋体" w:eastAsia="宋体"/>
                <w:sz w:val="16"/>
              </w:rPr>
              <w:t>三级指标</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08A57018">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C926B1">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D54B">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66A8B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5EE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2CE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44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5821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2DD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669E4">
            <w:pPr>
              <w:jc w:val="center"/>
            </w:pPr>
            <w:r>
              <w:rPr>
                <w:rFonts w:ascii="宋体" w:hAnsi="宋体" w:eastAsia="宋体"/>
                <w:sz w:val="16"/>
              </w:rPr>
              <w:t>偏差原因分析及改进措施</w:t>
            </w:r>
          </w:p>
        </w:tc>
      </w:tr>
      <w:tr w14:paraId="5DC6C1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8091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7EB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258B7">
            <w:pPr>
              <w:jc w:val="center"/>
            </w:pPr>
            <w:r>
              <w:rPr>
                <w:rFonts w:ascii="宋体" w:hAnsi="宋体" w:eastAsia="宋体"/>
                <w:sz w:val="16"/>
              </w:rPr>
              <w:t>数量指标</w:t>
            </w:r>
          </w:p>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293E8E32">
            <w:pPr>
              <w:jc w:val="center"/>
            </w:pPr>
            <w:r>
              <w:rPr>
                <w:rFonts w:ascii="宋体" w:hAnsi="宋体" w:eastAsia="宋体"/>
                <w:sz w:val="16"/>
              </w:rPr>
              <w:t>支持村内公益设施建设数量</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6D8AB428">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345F2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F8C5">
            <w:pPr>
              <w:jc w:val="center"/>
            </w:pPr>
            <w:r>
              <w:rPr>
                <w:rFonts w:ascii="宋体" w:hAnsi="宋体" w:eastAsia="宋体"/>
                <w:sz w:val="16"/>
              </w:rPr>
              <w:t>1个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9D51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016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56B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B9F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31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6B8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207FD">
            <w:pPr>
              <w:jc w:val="center"/>
            </w:pPr>
          </w:p>
        </w:tc>
      </w:tr>
      <w:tr w14:paraId="34D59F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E98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673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9558E"/>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45D2D5AF">
            <w:pPr>
              <w:jc w:val="center"/>
            </w:pPr>
            <w:r>
              <w:rPr>
                <w:rFonts w:ascii="宋体" w:hAnsi="宋体" w:eastAsia="宋体"/>
                <w:sz w:val="16"/>
              </w:rPr>
              <w:t>购置垃圾车数量</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0901C67A">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D0A453">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B583">
            <w:pPr>
              <w:jc w:val="center"/>
            </w:pPr>
            <w:r>
              <w:rPr>
                <w:rFonts w:ascii="宋体" w:hAnsi="宋体" w:eastAsia="宋体"/>
                <w:sz w:val="16"/>
              </w:rPr>
              <w:t>1辆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1A5A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423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01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D84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8A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0A2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28FE">
            <w:pPr>
              <w:jc w:val="center"/>
            </w:pPr>
          </w:p>
        </w:tc>
      </w:tr>
      <w:tr w14:paraId="6FECA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9B5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497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5F975"/>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76232535">
            <w:pPr>
              <w:jc w:val="center"/>
            </w:pPr>
            <w:r>
              <w:rPr>
                <w:rFonts w:ascii="宋体" w:hAnsi="宋体" w:eastAsia="宋体"/>
                <w:sz w:val="16"/>
              </w:rPr>
              <w:t>购置路灯数量</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79D2FB67">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578F20">
            <w:pPr>
              <w:jc w:val="center"/>
            </w:pPr>
            <w:r>
              <w:rPr>
                <w:rFonts w:ascii="宋体" w:hAnsi="宋体" w:eastAsia="宋体"/>
                <w:sz w:val="16"/>
              </w:rPr>
              <w:t>=105盏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2A25">
            <w:pPr>
              <w:jc w:val="center"/>
            </w:pPr>
            <w:r>
              <w:rPr>
                <w:rFonts w:ascii="宋体" w:hAnsi="宋体" w:eastAsia="宋体"/>
                <w:sz w:val="16"/>
              </w:rPr>
              <w:t>120盏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0FC1C6">
            <w:pPr>
              <w:jc w:val="center"/>
            </w:pPr>
            <w:r>
              <w:rPr>
                <w:rFonts w:ascii="宋体" w:hAnsi="宋体" w:eastAsia="宋体"/>
                <w:sz w:val="16"/>
              </w:rPr>
              <w:t>114.28%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5DA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7FF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90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2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42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CD68">
            <w:pPr>
              <w:jc w:val="center"/>
            </w:pPr>
            <w:r>
              <w:rPr>
                <w:rFonts w:ascii="宋体" w:hAnsi="宋体" w:eastAsia="宋体"/>
                <w:sz w:val="16"/>
              </w:rPr>
              <w:t>购置路灯数量较年初预估指标多购置15盏</w:t>
            </w:r>
          </w:p>
        </w:tc>
      </w:tr>
      <w:tr w14:paraId="56226B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B2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09F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BD6B1">
            <w:pPr>
              <w:jc w:val="center"/>
            </w:pPr>
            <w:r>
              <w:rPr>
                <w:rFonts w:ascii="宋体" w:hAnsi="宋体" w:eastAsia="宋体"/>
                <w:sz w:val="16"/>
              </w:rPr>
              <w:t>质量指标</w:t>
            </w:r>
          </w:p>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627100EA">
            <w:pPr>
              <w:jc w:val="center"/>
            </w:pPr>
            <w:r>
              <w:rPr>
                <w:rFonts w:ascii="宋体" w:hAnsi="宋体" w:eastAsia="宋体"/>
                <w:sz w:val="16"/>
              </w:rPr>
              <w:t>村内公益设施建设验收合格率</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504C81C2">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34BF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71EE2">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7B4A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1E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6A9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DC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C2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CC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0C2A">
            <w:pPr>
              <w:jc w:val="center"/>
            </w:pPr>
          </w:p>
        </w:tc>
      </w:tr>
      <w:tr w14:paraId="4AC882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51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1A7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1225C"/>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30CCD3A9">
            <w:pPr>
              <w:jc w:val="center"/>
            </w:pPr>
            <w:r>
              <w:rPr>
                <w:rFonts w:ascii="宋体" w:hAnsi="宋体" w:eastAsia="宋体"/>
                <w:sz w:val="16"/>
              </w:rPr>
              <w:t>政府采购率</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56487AD9">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0433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C6A5B">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BB8C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078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211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FA2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4A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454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C59E">
            <w:pPr>
              <w:jc w:val="center"/>
            </w:pPr>
          </w:p>
        </w:tc>
      </w:tr>
      <w:tr w14:paraId="204AFE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53A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693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EE3C1">
            <w:pPr>
              <w:jc w:val="center"/>
            </w:pPr>
            <w:r>
              <w:rPr>
                <w:rFonts w:ascii="宋体" w:hAnsi="宋体" w:eastAsia="宋体"/>
                <w:sz w:val="16"/>
              </w:rPr>
              <w:t>时效指标</w:t>
            </w:r>
          </w:p>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26CBC20C">
            <w:pPr>
              <w:jc w:val="center"/>
            </w:pPr>
            <w:r>
              <w:rPr>
                <w:rFonts w:ascii="宋体" w:hAnsi="宋体" w:eastAsia="宋体"/>
                <w:sz w:val="16"/>
              </w:rPr>
              <w:t>中央财政资金下达及时率（收到文件后7个工作日内将预算分解下达相关单位）</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1F0ACDF7">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25CD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1224">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4EC0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48C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AA1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B0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E55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2C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85D6A">
            <w:pPr>
              <w:jc w:val="center"/>
            </w:pPr>
          </w:p>
        </w:tc>
      </w:tr>
      <w:tr w14:paraId="758225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896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4CF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417BD"/>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1FFE9E45">
            <w:pPr>
              <w:jc w:val="center"/>
            </w:pPr>
            <w:r>
              <w:rPr>
                <w:rFonts w:ascii="宋体" w:hAnsi="宋体" w:eastAsia="宋体"/>
                <w:sz w:val="16"/>
              </w:rPr>
              <w:t>购置路灯及垃圾车完成时间</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7856559F">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7219B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3FDC8">
            <w:pPr>
              <w:jc w:val="center"/>
            </w:pPr>
            <w:r>
              <w:rPr>
                <w:rFonts w:ascii="宋体" w:hAnsi="宋体" w:eastAsia="宋体"/>
                <w:sz w:val="16"/>
              </w:rPr>
              <w:t>2024年11月12日</w:t>
            </w:r>
            <w:r>
              <w:rPr>
                <w:rFonts w:ascii="宋体" w:hAnsi="宋体" w:eastAsia="宋体"/>
                <w:sz w:val="16"/>
              </w:rPr>
              <w:tab/>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12C06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B1C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E78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DE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3B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88A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D030F">
            <w:pPr>
              <w:jc w:val="center"/>
            </w:pPr>
            <w:r>
              <w:rPr>
                <w:rFonts w:ascii="宋体" w:hAnsi="宋体" w:eastAsia="宋体"/>
                <w:sz w:val="16"/>
              </w:rPr>
              <w:t>购置路灯时间比预期提前1个月</w:t>
            </w:r>
          </w:p>
        </w:tc>
      </w:tr>
      <w:tr w14:paraId="09BC3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FA3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C244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76C30">
            <w:pPr>
              <w:jc w:val="center"/>
            </w:pPr>
            <w:r>
              <w:rPr>
                <w:rFonts w:ascii="宋体" w:hAnsi="宋体" w:eastAsia="宋体"/>
                <w:sz w:val="16"/>
              </w:rPr>
              <w:t>经济成本指标</w:t>
            </w:r>
          </w:p>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3BD72FC2">
            <w:pPr>
              <w:jc w:val="center"/>
            </w:pPr>
            <w:r>
              <w:rPr>
                <w:rFonts w:ascii="宋体" w:hAnsi="宋体" w:eastAsia="宋体"/>
                <w:sz w:val="16"/>
              </w:rPr>
              <w:t>购置垃圾车费用</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5A6F9C44">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9F0163">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1707">
            <w:pPr>
              <w:jc w:val="center"/>
            </w:pPr>
            <w:r>
              <w:rPr>
                <w:rFonts w:ascii="宋体" w:hAnsi="宋体" w:eastAsia="宋体"/>
                <w:sz w:val="16"/>
              </w:rPr>
              <w:t>8.5万元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4B420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A9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E3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89C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B38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36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5BA6">
            <w:pPr>
              <w:jc w:val="center"/>
            </w:pPr>
          </w:p>
        </w:tc>
      </w:tr>
      <w:tr w14:paraId="1C59C0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3B9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367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370EA"/>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6C1A50C1">
            <w:pPr>
              <w:jc w:val="center"/>
            </w:pPr>
            <w:r>
              <w:rPr>
                <w:rFonts w:ascii="宋体" w:hAnsi="宋体" w:eastAsia="宋体"/>
                <w:sz w:val="16"/>
              </w:rPr>
              <w:t>购置路灯费用</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25568425">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5D7213">
            <w:pPr>
              <w:jc w:val="center"/>
            </w:pPr>
            <w:r>
              <w:rPr>
                <w:rFonts w:ascii="宋体" w:hAnsi="宋体" w:eastAsia="宋体"/>
                <w:sz w:val="16"/>
              </w:rPr>
              <w:t>&lt;=21.5万元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2FBC">
            <w:pPr>
              <w:jc w:val="center"/>
            </w:pPr>
            <w:r>
              <w:rPr>
                <w:rFonts w:ascii="宋体" w:hAnsi="宋体" w:eastAsia="宋体"/>
                <w:sz w:val="16"/>
              </w:rPr>
              <w:t>21万元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C6BEE4">
            <w:pPr>
              <w:jc w:val="center"/>
            </w:pPr>
            <w:r>
              <w:rPr>
                <w:rFonts w:ascii="宋体" w:hAnsi="宋体" w:eastAsia="宋体"/>
                <w:sz w:val="16"/>
              </w:rPr>
              <w:t>97.67%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FA2D">
            <w:pPr>
              <w:jc w:val="center"/>
            </w:pPr>
            <w:r>
              <w:rPr>
                <w:rFonts w:ascii="宋体" w:hAnsi="宋体" w:eastAsia="宋体"/>
                <w:sz w:val="16"/>
              </w:rPr>
              <w:t>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0B2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8A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AB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40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A86D7">
            <w:pPr>
              <w:jc w:val="center"/>
            </w:pPr>
            <w:r>
              <w:rPr>
                <w:rFonts w:ascii="宋体" w:hAnsi="宋体" w:eastAsia="宋体"/>
                <w:sz w:val="16"/>
              </w:rPr>
              <w:t>购置路灯费用节约0.5万元</w:t>
            </w:r>
          </w:p>
        </w:tc>
      </w:tr>
      <w:tr w14:paraId="04DCAB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099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ADE0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DD888">
            <w:pPr>
              <w:jc w:val="center"/>
            </w:pPr>
            <w:r>
              <w:rPr>
                <w:rFonts w:ascii="宋体" w:hAnsi="宋体" w:eastAsia="宋体"/>
                <w:sz w:val="16"/>
              </w:rPr>
              <w:t>社会效益指标</w:t>
            </w:r>
          </w:p>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15D44021">
            <w:pPr>
              <w:jc w:val="center"/>
            </w:pPr>
            <w:r>
              <w:rPr>
                <w:rFonts w:ascii="宋体" w:hAnsi="宋体" w:eastAsia="宋体"/>
                <w:sz w:val="16"/>
              </w:rPr>
              <w:t>农村综合性改革试点试验地区乡村治理能力</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79B876CA">
            <w:pPr>
              <w:jc w:val="center"/>
            </w:pPr>
            <w:r>
              <w:rPr>
                <w:rFonts w:ascii="宋体" w:hAnsi="宋体" w:eastAsia="宋体"/>
                <w:sz w:val="16"/>
              </w:rPr>
              <w:t>7</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8B0E5F">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8946E">
            <w:pPr>
              <w:jc w:val="center"/>
            </w:pPr>
            <w:r>
              <w:rPr>
                <w:rFonts w:ascii="宋体" w:hAnsi="宋体" w:eastAsia="宋体"/>
                <w:sz w:val="16"/>
              </w:rPr>
              <w:t>有所提升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44531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5D9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C2B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47F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33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574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6760">
            <w:pPr>
              <w:jc w:val="center"/>
            </w:pPr>
          </w:p>
        </w:tc>
      </w:tr>
      <w:tr w14:paraId="2EC5C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63C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E73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5C893"/>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35A8B7B9">
            <w:pPr>
              <w:jc w:val="center"/>
            </w:pPr>
            <w:r>
              <w:rPr>
                <w:rFonts w:ascii="宋体" w:hAnsi="宋体" w:eastAsia="宋体"/>
                <w:sz w:val="16"/>
              </w:rPr>
              <w:t>农村公益事业滚动项目库</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2D6E28E8">
            <w:pPr>
              <w:jc w:val="center"/>
            </w:pPr>
            <w:r>
              <w:rPr>
                <w:rFonts w:ascii="宋体" w:hAnsi="宋体" w:eastAsia="宋体"/>
                <w:sz w:val="16"/>
              </w:rPr>
              <w:t>7</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F0C436">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74EAC">
            <w:pPr>
              <w:jc w:val="center"/>
            </w:pPr>
            <w:r>
              <w:rPr>
                <w:rFonts w:ascii="宋体" w:hAnsi="宋体" w:eastAsia="宋体"/>
                <w:sz w:val="16"/>
              </w:rPr>
              <w:t>基本建立</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D8AEF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DAC9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9F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88E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AE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8C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30E2">
            <w:pPr>
              <w:jc w:val="center"/>
            </w:pPr>
          </w:p>
        </w:tc>
      </w:tr>
      <w:tr w14:paraId="5CB35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D11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6A3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A84F">
            <w:pPr>
              <w:jc w:val="center"/>
            </w:pPr>
            <w:r>
              <w:rPr>
                <w:rFonts w:ascii="宋体" w:hAnsi="宋体" w:eastAsia="宋体"/>
                <w:sz w:val="16"/>
              </w:rPr>
              <w:t>生态效益指标</w:t>
            </w:r>
          </w:p>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3FF849D6">
            <w:pPr>
              <w:jc w:val="center"/>
            </w:pPr>
            <w:r>
              <w:rPr>
                <w:rFonts w:ascii="宋体" w:hAnsi="宋体" w:eastAsia="宋体"/>
                <w:sz w:val="16"/>
              </w:rPr>
              <w:t>农村生态环境</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0518D859">
            <w:pPr>
              <w:jc w:val="center"/>
            </w:pPr>
            <w:r>
              <w:rPr>
                <w:rFonts w:ascii="宋体" w:hAnsi="宋体" w:eastAsia="宋体"/>
                <w:sz w:val="16"/>
              </w:rPr>
              <w:t>6</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0714D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31BD">
            <w:pPr>
              <w:jc w:val="center"/>
            </w:pPr>
            <w:r>
              <w:rPr>
                <w:rFonts w:ascii="宋体" w:hAnsi="宋体" w:eastAsia="宋体"/>
                <w:sz w:val="16"/>
              </w:rPr>
              <w:t>有效改善</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DEEEA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91F0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CB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40C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1A8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C1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7428">
            <w:pPr>
              <w:jc w:val="center"/>
            </w:pPr>
          </w:p>
        </w:tc>
      </w:tr>
      <w:tr w14:paraId="006BA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AC9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E0D3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5591B0">
            <w:pPr>
              <w:jc w:val="center"/>
            </w:pPr>
            <w:r>
              <w:rPr>
                <w:rFonts w:ascii="宋体" w:hAnsi="宋体" w:eastAsia="宋体"/>
                <w:sz w:val="16"/>
              </w:rPr>
              <w:t>满意度指标</w:t>
            </w:r>
          </w:p>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0699654F">
            <w:pPr>
              <w:jc w:val="center"/>
            </w:pPr>
            <w:r>
              <w:rPr>
                <w:rFonts w:ascii="宋体" w:hAnsi="宋体" w:eastAsia="宋体"/>
                <w:sz w:val="16"/>
              </w:rPr>
              <w:t>项目区农民满意度</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24390E67">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18A01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E0434">
            <w:pPr>
              <w:jc w:val="center"/>
            </w:pPr>
            <w:r>
              <w:rPr>
                <w:rFonts w:ascii="宋体" w:hAnsi="宋体" w:eastAsia="宋体"/>
                <w:sz w:val="16"/>
              </w:rPr>
              <w:t>90%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2C0F3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CFA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475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33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BC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84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015F">
            <w:pPr>
              <w:jc w:val="center"/>
            </w:pPr>
          </w:p>
        </w:tc>
      </w:tr>
      <w:tr w14:paraId="3D1564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4B5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475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912ED"/>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0BD453A1">
            <w:pPr>
              <w:jc w:val="center"/>
            </w:pPr>
            <w:r>
              <w:rPr>
                <w:rFonts w:ascii="宋体" w:hAnsi="宋体" w:eastAsia="宋体"/>
                <w:sz w:val="16"/>
              </w:rPr>
              <w:t>项目区基层干部满意度</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0D7902DC">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470A6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738F">
            <w:pPr>
              <w:jc w:val="center"/>
            </w:pPr>
            <w:r>
              <w:rPr>
                <w:rFonts w:ascii="宋体" w:hAnsi="宋体" w:eastAsia="宋体"/>
                <w:sz w:val="16"/>
              </w:rPr>
              <w:t>90%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37E2E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D9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82C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A8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09D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C6F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73554">
            <w:pPr>
              <w:jc w:val="center"/>
            </w:pPr>
          </w:p>
        </w:tc>
      </w:tr>
      <w:tr w14:paraId="74C41B87">
        <w:tblPrEx>
          <w:tblCellMar>
            <w:top w:w="0" w:type="dxa"/>
            <w:left w:w="108" w:type="dxa"/>
            <w:bottom w:w="0" w:type="dxa"/>
            <w:right w:w="108" w:type="dxa"/>
          </w:tblCellMar>
        </w:tblPrEx>
        <w:tc>
          <w:tcPr>
            <w:tcW w:w="262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7E57C6">
            <w:pPr>
              <w:jc w:val="center"/>
            </w:pPr>
            <w:r>
              <w:rPr>
                <w:rFonts w:ascii="宋体" w:hAnsi="宋体" w:eastAsia="宋体"/>
                <w:sz w:val="16"/>
              </w:rPr>
              <w:t>总分</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712AC32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16D4BD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04276C"/>
        </w:tc>
        <w:tc>
          <w:tcPr>
            <w:tcW w:w="776" w:type="dxa"/>
            <w:tcBorders>
              <w:top w:val="single" w:color="auto" w:sz="10" w:space="0"/>
              <w:left w:val="single" w:color="auto" w:sz="10" w:space="0"/>
              <w:bottom w:val="single" w:color="auto" w:sz="10" w:space="0"/>
              <w:right w:val="single" w:color="auto" w:sz="10" w:space="0"/>
              <w:insideV w:val="single" w:sz="10" w:space="0"/>
            </w:tcBorders>
          </w:tcPr>
          <w:p w14:paraId="7DA81C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1FE05">
            <w:pPr>
              <w:jc w:val="center"/>
            </w:pPr>
            <w:r>
              <w:rPr>
                <w:rFonts w:ascii="宋体" w:hAnsi="宋体" w:eastAsia="宋体"/>
                <w:sz w:val="16"/>
              </w:rPr>
              <w:t>99.77分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6146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89EA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6C14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274E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A51244"/>
        </w:tc>
      </w:tr>
    </w:tbl>
    <w:p w14:paraId="4F13790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6D48EC7E">
        <w:tblPrEx>
          <w:tblCellMar>
            <w:top w:w="0" w:type="dxa"/>
            <w:left w:w="108" w:type="dxa"/>
            <w:bottom w:w="0" w:type="dxa"/>
            <w:right w:w="108" w:type="dxa"/>
          </w:tblCellMar>
        </w:tblPrEx>
        <w:tc>
          <w:tcPr>
            <w:tcW w:w="8848" w:type="dxa"/>
            <w:gridSpan w:val="14"/>
            <w:vAlign w:val="center"/>
          </w:tcPr>
          <w:p w14:paraId="0CD6D1FE">
            <w:pPr>
              <w:jc w:val="center"/>
            </w:pPr>
            <w:r>
              <w:rPr>
                <w:rFonts w:ascii="宋体" w:hAnsi="宋体" w:eastAsia="宋体"/>
                <w:sz w:val="24"/>
              </w:rPr>
              <w:t>项目支出绩效自评表</w:t>
            </w:r>
          </w:p>
        </w:tc>
      </w:tr>
      <w:tr w14:paraId="4BFD6C1B">
        <w:tblPrEx>
          <w:tblCellMar>
            <w:top w:w="0" w:type="dxa"/>
            <w:left w:w="108" w:type="dxa"/>
            <w:bottom w:w="0" w:type="dxa"/>
            <w:right w:w="108" w:type="dxa"/>
          </w:tblCellMar>
        </w:tblPrEx>
        <w:tc>
          <w:tcPr>
            <w:tcW w:w="8848" w:type="dxa"/>
            <w:gridSpan w:val="14"/>
            <w:vAlign w:val="center"/>
          </w:tcPr>
          <w:p w14:paraId="10647331">
            <w:pPr>
              <w:jc w:val="center"/>
            </w:pPr>
            <w:r>
              <w:rPr>
                <w:rFonts w:ascii="宋体" w:hAnsi="宋体" w:eastAsia="宋体"/>
                <w:sz w:val="24"/>
              </w:rPr>
              <w:t>(2024年度)</w:t>
            </w:r>
          </w:p>
        </w:tc>
      </w:tr>
      <w:tr w14:paraId="0B4D98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19E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5A3A6C">
            <w:pPr>
              <w:jc w:val="center"/>
            </w:pPr>
            <w:r>
              <w:rPr>
                <w:rFonts w:ascii="宋体" w:hAnsi="宋体" w:eastAsia="宋体"/>
                <w:sz w:val="16"/>
              </w:rPr>
              <w:t>农村综合改革转移支付</w:t>
            </w:r>
          </w:p>
        </w:tc>
      </w:tr>
      <w:tr w14:paraId="4E6F25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56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67A541">
            <w:pPr>
              <w:jc w:val="center"/>
            </w:pPr>
            <w:r>
              <w:rPr>
                <w:rFonts w:ascii="宋体" w:hAnsi="宋体" w:eastAsia="宋体"/>
                <w:sz w:val="16"/>
              </w:rPr>
              <w:t>霍城县惠远镇人民政府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1B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99604D">
            <w:pPr>
              <w:jc w:val="center"/>
            </w:pPr>
            <w:r>
              <w:rPr>
                <w:rFonts w:ascii="宋体" w:hAnsi="宋体" w:eastAsia="宋体"/>
                <w:sz w:val="16"/>
              </w:rPr>
              <w:t>霍城县惠远镇人民政府</w:t>
            </w:r>
          </w:p>
        </w:tc>
      </w:tr>
      <w:tr w14:paraId="6E9659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42BB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B37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AF2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D38E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B11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EA7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85E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53AA">
            <w:pPr>
              <w:jc w:val="center"/>
            </w:pPr>
            <w:r>
              <w:rPr>
                <w:rFonts w:ascii="宋体" w:hAnsi="宋体" w:eastAsia="宋体"/>
                <w:sz w:val="16"/>
              </w:rPr>
              <w:t>得分</w:t>
            </w:r>
          </w:p>
        </w:tc>
      </w:tr>
      <w:tr w14:paraId="35645F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0E7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0A1C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536B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B199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F60A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E6C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C748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88BA">
            <w:pPr>
              <w:jc w:val="center"/>
            </w:pPr>
            <w:r>
              <w:rPr>
                <w:rFonts w:ascii="宋体" w:hAnsi="宋体" w:eastAsia="宋体"/>
                <w:sz w:val="16"/>
              </w:rPr>
              <w:t>10.00</w:t>
            </w:r>
          </w:p>
        </w:tc>
      </w:tr>
      <w:tr w14:paraId="18EBF1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23A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72F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BFA6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78307">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8AF0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0E6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AB4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E87FB">
            <w:pPr>
              <w:jc w:val="center"/>
            </w:pPr>
            <w:r>
              <w:rPr>
                <w:rFonts w:ascii="宋体" w:hAnsi="宋体" w:eastAsia="宋体"/>
                <w:sz w:val="16"/>
              </w:rPr>
              <w:t>—</w:t>
            </w:r>
          </w:p>
        </w:tc>
      </w:tr>
      <w:tr w14:paraId="749A1D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C2A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0466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E2B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74D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AC7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435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302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AB30">
            <w:pPr>
              <w:jc w:val="center"/>
            </w:pPr>
            <w:r>
              <w:rPr>
                <w:rFonts w:ascii="宋体" w:hAnsi="宋体" w:eastAsia="宋体"/>
                <w:sz w:val="16"/>
              </w:rPr>
              <w:t>—</w:t>
            </w:r>
          </w:p>
        </w:tc>
      </w:tr>
      <w:tr w14:paraId="387D91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A914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495B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76A78E">
            <w:pPr>
              <w:jc w:val="center"/>
            </w:pPr>
            <w:r>
              <w:rPr>
                <w:rFonts w:ascii="宋体" w:hAnsi="宋体" w:eastAsia="宋体"/>
                <w:sz w:val="16"/>
              </w:rPr>
              <w:t>实际完成情况</w:t>
            </w:r>
          </w:p>
        </w:tc>
      </w:tr>
      <w:tr w14:paraId="17F13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A07C4">
            <w:bookmarkStart w:id="0" w:name="_GoBack" w:colFirst="1" w:colLast="13"/>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D76BAA">
            <w:pPr>
              <w:jc w:val="both"/>
            </w:pPr>
            <w:r>
              <w:rPr>
                <w:rFonts w:ascii="宋体" w:hAnsi="宋体" w:eastAsia="宋体"/>
                <w:sz w:val="16"/>
              </w:rPr>
              <w:t>惠远镇央布拉克村2024年农村公益事业项目，伊州财农〔2023〕58号，实施金额为50万元。计划村史馆顶楼彩钢棚修缮，墙面维护8.5万元，购置路灯70盏24.5万元，购买新能源垃圾车、扫雪车各一台17万元。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F678AA">
            <w:pPr>
              <w:jc w:val="both"/>
            </w:pPr>
            <w:r>
              <w:rPr>
                <w:rFonts w:ascii="宋体" w:hAnsi="宋体" w:eastAsia="宋体"/>
                <w:sz w:val="16"/>
              </w:rPr>
              <w:t>惠远镇央布拉克村通过改善农村基础设施，农村公益事业项目为村庄的长期发展奠定了基础，促进了城乡协调发展和社会和谐。通过改善村容村貌和人居环境，提升了村庄的生态效益，提升了村民的满意度和幸福感。央布拉克村完成了村史馆顶楼彩钢棚修缮，墙面维护8.5万元，购置路灯70盏24.5万元，购买新能源垃圾车、扫雪车各一台17万元，为村庄可持续发展奠定了基础。</w:t>
            </w:r>
          </w:p>
        </w:tc>
      </w:tr>
      <w:bookmarkEnd w:id="0"/>
      <w:tr w14:paraId="1E8184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409A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783C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B39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613C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ABA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BB5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802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387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FE2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150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A8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1DB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7B1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40A9">
            <w:pPr>
              <w:jc w:val="center"/>
            </w:pPr>
            <w:r>
              <w:rPr>
                <w:rFonts w:ascii="宋体" w:hAnsi="宋体" w:eastAsia="宋体"/>
                <w:sz w:val="16"/>
              </w:rPr>
              <w:t>偏差原因分析及改进措施</w:t>
            </w:r>
          </w:p>
        </w:tc>
      </w:tr>
      <w:tr w14:paraId="3D2447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51541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034B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309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EB53B">
            <w:pPr>
              <w:jc w:val="center"/>
            </w:pPr>
            <w:r>
              <w:rPr>
                <w:rFonts w:ascii="宋体" w:hAnsi="宋体" w:eastAsia="宋体"/>
                <w:sz w:val="16"/>
              </w:rPr>
              <w:t>支持村内公益设施建设数量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092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F7C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77A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FD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80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59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4967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25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C9D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12EB">
            <w:pPr>
              <w:jc w:val="center"/>
            </w:pPr>
          </w:p>
        </w:tc>
      </w:tr>
      <w:tr w14:paraId="1D37A9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9DE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450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B6E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AAF5C">
            <w:pPr>
              <w:jc w:val="center"/>
            </w:pPr>
            <w:r>
              <w:rPr>
                <w:rFonts w:ascii="宋体" w:hAnsi="宋体" w:eastAsia="宋体"/>
                <w:sz w:val="16"/>
              </w:rPr>
              <w:t>村内计划安装路灯数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67B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72F0E">
            <w:pPr>
              <w:jc w:val="center"/>
            </w:pPr>
            <w:r>
              <w:rPr>
                <w:rFonts w:ascii="宋体" w:hAnsi="宋体" w:eastAsia="宋体"/>
                <w:sz w:val="16"/>
              </w:rPr>
              <w:t>&gt;=70盏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C2F5">
            <w:pPr>
              <w:jc w:val="center"/>
            </w:pPr>
            <w:r>
              <w:rPr>
                <w:rFonts w:ascii="宋体" w:hAnsi="宋体" w:eastAsia="宋体"/>
                <w:sz w:val="16"/>
              </w:rPr>
              <w:t>70盏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6ED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88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62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280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909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4F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0E7BF">
            <w:pPr>
              <w:jc w:val="center"/>
            </w:pPr>
          </w:p>
        </w:tc>
      </w:tr>
      <w:tr w14:paraId="65703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87A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AAF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DF0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F447">
            <w:pPr>
              <w:jc w:val="center"/>
            </w:pPr>
            <w:r>
              <w:rPr>
                <w:rFonts w:ascii="宋体" w:hAnsi="宋体" w:eastAsia="宋体"/>
                <w:sz w:val="16"/>
              </w:rPr>
              <w:t>购买环境整治设备数量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6F07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3DF2D">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0492">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14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834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79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2027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76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A34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0E74">
            <w:pPr>
              <w:jc w:val="center"/>
            </w:pPr>
          </w:p>
        </w:tc>
      </w:tr>
      <w:tr w14:paraId="1DB47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58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291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E22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EDE2">
            <w:pPr>
              <w:jc w:val="center"/>
            </w:pPr>
            <w:r>
              <w:rPr>
                <w:rFonts w:ascii="宋体" w:hAnsi="宋体" w:eastAsia="宋体"/>
                <w:sz w:val="16"/>
              </w:rPr>
              <w:t>村内公益设施建设验收合格率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FDAB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254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EF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30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80EE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961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69F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C86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27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3E69">
            <w:pPr>
              <w:jc w:val="center"/>
            </w:pPr>
          </w:p>
        </w:tc>
      </w:tr>
      <w:tr w14:paraId="76D42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BC6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191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6F2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635D2">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386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F4B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BFE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0F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E95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72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6B9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4E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EF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F9CC1">
            <w:pPr>
              <w:jc w:val="center"/>
            </w:pPr>
          </w:p>
        </w:tc>
      </w:tr>
      <w:tr w14:paraId="62FF2F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A14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54E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48B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F9A1F">
            <w:pPr>
              <w:jc w:val="center"/>
            </w:pPr>
            <w:r>
              <w:rPr>
                <w:rFonts w:ascii="宋体" w:hAnsi="宋体" w:eastAsia="宋体"/>
                <w:sz w:val="16"/>
              </w:rPr>
              <w:t>自治区财政资金下达及时性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C94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C3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96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B1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0A4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A7C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E2CD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C3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CB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91F08">
            <w:pPr>
              <w:jc w:val="center"/>
            </w:pPr>
          </w:p>
        </w:tc>
      </w:tr>
      <w:tr w14:paraId="7C821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796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1B2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4A4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6AD70">
            <w:pPr>
              <w:jc w:val="center"/>
            </w:pPr>
            <w:r>
              <w:rPr>
                <w:rFonts w:ascii="宋体" w:hAnsi="宋体" w:eastAsia="宋体"/>
                <w:sz w:val="16"/>
              </w:rPr>
              <w:t>购买环境整治设备完成时间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BA43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1678">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94A1E">
            <w:pPr>
              <w:jc w:val="center"/>
            </w:pPr>
            <w:r>
              <w:rPr>
                <w:rFonts w:ascii="宋体" w:hAnsi="宋体" w:eastAsia="宋体"/>
                <w:sz w:val="16"/>
              </w:rPr>
              <w:t>2024年9月24日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7B2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A302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70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869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998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3C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BC7D0">
            <w:pPr>
              <w:jc w:val="center"/>
            </w:pPr>
            <w:r>
              <w:rPr>
                <w:rFonts w:ascii="宋体" w:hAnsi="宋体" w:eastAsia="宋体"/>
                <w:sz w:val="16"/>
              </w:rPr>
              <w:t>购买垃圾车、扫雪车设备时间滞后</w:t>
            </w:r>
          </w:p>
        </w:tc>
      </w:tr>
      <w:tr w14:paraId="5137E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F8C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B848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160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C289">
            <w:pPr>
              <w:jc w:val="center"/>
            </w:pPr>
            <w:r>
              <w:rPr>
                <w:rFonts w:ascii="宋体" w:hAnsi="宋体" w:eastAsia="宋体"/>
                <w:sz w:val="16"/>
              </w:rPr>
              <w:t>购买路灯费用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5EA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45408">
            <w:pPr>
              <w:jc w:val="center"/>
            </w:pPr>
            <w:r>
              <w:rPr>
                <w:rFonts w:ascii="宋体" w:hAnsi="宋体" w:eastAsia="宋体"/>
                <w:sz w:val="16"/>
              </w:rPr>
              <w:t>&lt;=24.5万元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0B06">
            <w:pPr>
              <w:jc w:val="center"/>
            </w:pPr>
            <w:r>
              <w:rPr>
                <w:rFonts w:ascii="宋体" w:hAnsi="宋体" w:eastAsia="宋体"/>
                <w:sz w:val="16"/>
              </w:rPr>
              <w:t>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6D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E4A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AB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2F8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C0C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B3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6A89">
            <w:pPr>
              <w:jc w:val="center"/>
            </w:pPr>
          </w:p>
        </w:tc>
      </w:tr>
      <w:tr w14:paraId="0D6FF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8F6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655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0D4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95187">
            <w:pPr>
              <w:jc w:val="center"/>
            </w:pPr>
            <w:r>
              <w:rPr>
                <w:rFonts w:ascii="宋体" w:hAnsi="宋体" w:eastAsia="宋体"/>
                <w:sz w:val="16"/>
              </w:rPr>
              <w:t>彩钢棚修缮及墙面维护费用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9BD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D52B3">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5EE09">
            <w:pPr>
              <w:jc w:val="center"/>
            </w:pPr>
            <w:r>
              <w:rPr>
                <w:rFonts w:ascii="宋体" w:hAnsi="宋体" w:eastAsia="宋体"/>
                <w:sz w:val="16"/>
              </w:rPr>
              <w: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50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42A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68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5D4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B4F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5A3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90D43">
            <w:pPr>
              <w:jc w:val="center"/>
            </w:pPr>
          </w:p>
        </w:tc>
      </w:tr>
      <w:tr w14:paraId="33CC3A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061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90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368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64E53">
            <w:pPr>
              <w:jc w:val="center"/>
            </w:pPr>
            <w:r>
              <w:rPr>
                <w:rFonts w:ascii="宋体" w:hAnsi="宋体" w:eastAsia="宋体"/>
                <w:sz w:val="16"/>
              </w:rPr>
              <w:t>购买垃圾车扫雪车费用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64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C44B">
            <w:pPr>
              <w:jc w:val="center"/>
            </w:pPr>
            <w:r>
              <w:rPr>
                <w:rFonts w:ascii="宋体" w:hAnsi="宋体" w:eastAsia="宋体"/>
                <w:sz w:val="16"/>
              </w:rPr>
              <w:t>&lt;=17万元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89D0">
            <w:pPr>
              <w:jc w:val="center"/>
            </w:pPr>
            <w:r>
              <w:rPr>
                <w:rFonts w:ascii="宋体" w:hAnsi="宋体" w:eastAsia="宋体"/>
                <w:sz w:val="16"/>
              </w:rPr>
              <w: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53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9038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777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24A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399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63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DDC7C">
            <w:pPr>
              <w:jc w:val="center"/>
            </w:pPr>
          </w:p>
        </w:tc>
      </w:tr>
      <w:tr w14:paraId="3C27C959">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FDB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A4C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933D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4385">
            <w:pPr>
              <w:jc w:val="center"/>
            </w:pPr>
            <w:r>
              <w:rPr>
                <w:rFonts w:ascii="宋体" w:hAnsi="宋体" w:eastAsia="宋体"/>
                <w:sz w:val="16"/>
              </w:rPr>
              <w:t>农村公益事业滚动项目库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A93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BDDA">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B5B9">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5E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3D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555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1D16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D8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44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310E4">
            <w:pPr>
              <w:jc w:val="center"/>
            </w:pPr>
          </w:p>
        </w:tc>
      </w:tr>
      <w:tr w14:paraId="7B6F2E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F53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2D3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5CC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6FD5">
            <w:pPr>
              <w:jc w:val="center"/>
            </w:pPr>
            <w:r>
              <w:rPr>
                <w:rFonts w:ascii="宋体" w:hAnsi="宋体" w:eastAsia="宋体"/>
                <w:sz w:val="16"/>
              </w:rPr>
              <w:t>农村生态环境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A7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E55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EDE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05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54F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D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2E80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6C7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22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26D4">
            <w:pPr>
              <w:jc w:val="center"/>
            </w:pPr>
          </w:p>
        </w:tc>
      </w:tr>
      <w:tr w14:paraId="70C956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95F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685A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68B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CDF20">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D3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6C6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50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9FB4">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81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EE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2DE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5C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84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E007">
            <w:pPr>
              <w:jc w:val="center"/>
            </w:pPr>
            <w:r>
              <w:rPr>
                <w:rFonts w:ascii="宋体" w:hAnsi="宋体" w:eastAsia="宋体"/>
                <w:sz w:val="16"/>
              </w:rPr>
              <w:t>项目区农民对此项目较为满意</w:t>
            </w:r>
          </w:p>
        </w:tc>
      </w:tr>
      <w:tr w14:paraId="5B7BD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F50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AF1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E5B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D0F6">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44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388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B8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A589">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16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D7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567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38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2A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50C8">
            <w:pPr>
              <w:jc w:val="center"/>
            </w:pPr>
            <w:r>
              <w:rPr>
                <w:rFonts w:ascii="宋体" w:hAnsi="宋体" w:eastAsia="宋体"/>
                <w:sz w:val="16"/>
              </w:rPr>
              <w:t>项目区基层干部对此项目较为满意</w:t>
            </w:r>
          </w:p>
        </w:tc>
      </w:tr>
      <w:tr w14:paraId="73749BF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94672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16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63F4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3CD1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9F7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62526">
            <w:pPr>
              <w:jc w:val="center"/>
            </w:pPr>
            <w:r>
              <w:rPr>
                <w:rFonts w:ascii="宋体" w:hAnsi="宋体" w:eastAsia="宋体"/>
                <w:sz w:val="16"/>
              </w:rPr>
              <w:t>94分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4036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490E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524C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2725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BD1899"/>
        </w:tc>
      </w:tr>
    </w:tbl>
    <w:p w14:paraId="7E5186EE">
      <w:r>
        <w:br w:type="page"/>
      </w:r>
    </w:p>
    <w:p w14:paraId="1717BF22">
      <w:pPr>
        <w:spacing w:line="640" w:lineRule="exact"/>
        <w:ind w:firstLine="640"/>
        <w:jc w:val="both"/>
        <w:outlineLvl w:val="2"/>
      </w:pPr>
      <w:r>
        <w:rPr>
          <w:rFonts w:ascii="黑体" w:hAnsi="黑体" w:eastAsia="黑体"/>
          <w:sz w:val="32"/>
        </w:rPr>
        <w:t>十二、其他需说明的事项</w:t>
      </w:r>
    </w:p>
    <w:p w14:paraId="73B24F34">
      <w:pPr>
        <w:spacing w:line="580" w:lineRule="exact"/>
        <w:ind w:firstLine="640"/>
        <w:jc w:val="both"/>
      </w:pPr>
      <w:r>
        <w:rPr>
          <w:rFonts w:ascii="仿宋_GB2312" w:hAnsi="仿宋_GB2312" w:eastAsia="仿宋_GB2312"/>
          <w:b w:val="0"/>
          <w:sz w:val="32"/>
        </w:rPr>
        <w:t>本单位无其他需说明的事项。</w:t>
      </w:r>
    </w:p>
    <w:p w14:paraId="7A6CB27F">
      <w:r>
        <w:br w:type="page"/>
      </w:r>
    </w:p>
    <w:p w14:paraId="39565C44">
      <w:pPr>
        <w:spacing w:line="240" w:lineRule="auto"/>
        <w:jc w:val="center"/>
        <w:outlineLvl w:val="1"/>
      </w:pPr>
      <w:r>
        <w:rPr>
          <w:rFonts w:ascii="黑体" w:hAnsi="黑体" w:eastAsia="黑体"/>
          <w:sz w:val="32"/>
        </w:rPr>
        <w:t>第三部分 专业名词解释</w:t>
      </w:r>
    </w:p>
    <w:p w14:paraId="7D932E4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85D604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30FF7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D668B8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B81D17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7CDEA8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09B67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B9692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A36FE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B7C01F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87933F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90E7E9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84CD85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010FE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AC44CD8">
      <w:r>
        <w:br w:type="page"/>
      </w:r>
    </w:p>
    <w:p w14:paraId="6F47C1B8">
      <w:pPr>
        <w:spacing w:line="240" w:lineRule="auto"/>
        <w:jc w:val="center"/>
        <w:outlineLvl w:val="1"/>
      </w:pPr>
      <w:r>
        <w:rPr>
          <w:rFonts w:ascii="黑体" w:hAnsi="黑体" w:eastAsia="黑体"/>
          <w:sz w:val="32"/>
        </w:rPr>
        <w:t>第四部分 部门决算报表（见附表）</w:t>
      </w:r>
    </w:p>
    <w:p w14:paraId="77A9644F">
      <w:pPr>
        <w:spacing w:line="240" w:lineRule="auto"/>
        <w:ind w:firstLine="640"/>
        <w:jc w:val="both"/>
      </w:pPr>
      <w:r>
        <w:rPr>
          <w:rFonts w:ascii="仿宋_GB2312" w:hAnsi="仿宋_GB2312" w:eastAsia="仿宋_GB2312"/>
          <w:b w:val="0"/>
          <w:sz w:val="32"/>
        </w:rPr>
        <w:t>一、《收入支出决算总表》</w:t>
      </w:r>
    </w:p>
    <w:p w14:paraId="5A74501A">
      <w:pPr>
        <w:spacing w:line="240" w:lineRule="auto"/>
        <w:ind w:firstLine="640"/>
        <w:jc w:val="both"/>
      </w:pPr>
      <w:r>
        <w:rPr>
          <w:rFonts w:ascii="仿宋_GB2312" w:hAnsi="仿宋_GB2312" w:eastAsia="仿宋_GB2312"/>
          <w:b w:val="0"/>
          <w:sz w:val="32"/>
        </w:rPr>
        <w:t>二、《收入决算表》</w:t>
      </w:r>
    </w:p>
    <w:p w14:paraId="1197B8A7">
      <w:pPr>
        <w:spacing w:line="240" w:lineRule="auto"/>
        <w:ind w:firstLine="640"/>
        <w:jc w:val="both"/>
      </w:pPr>
      <w:r>
        <w:rPr>
          <w:rFonts w:ascii="仿宋_GB2312" w:hAnsi="仿宋_GB2312" w:eastAsia="仿宋_GB2312"/>
          <w:b w:val="0"/>
          <w:sz w:val="32"/>
        </w:rPr>
        <w:t>三、《支出决算表》</w:t>
      </w:r>
    </w:p>
    <w:p w14:paraId="68F140A4">
      <w:pPr>
        <w:spacing w:line="240" w:lineRule="auto"/>
        <w:ind w:firstLine="640"/>
        <w:jc w:val="both"/>
      </w:pPr>
      <w:r>
        <w:rPr>
          <w:rFonts w:ascii="仿宋_GB2312" w:hAnsi="仿宋_GB2312" w:eastAsia="仿宋_GB2312"/>
          <w:b w:val="0"/>
          <w:sz w:val="32"/>
        </w:rPr>
        <w:t>四、《财政拨款收入支出决算总表》</w:t>
      </w:r>
    </w:p>
    <w:p w14:paraId="0C2C24CE">
      <w:pPr>
        <w:spacing w:line="240" w:lineRule="auto"/>
        <w:ind w:firstLine="640"/>
        <w:jc w:val="both"/>
      </w:pPr>
      <w:r>
        <w:rPr>
          <w:rFonts w:ascii="仿宋_GB2312" w:hAnsi="仿宋_GB2312" w:eastAsia="仿宋_GB2312"/>
          <w:b w:val="0"/>
          <w:sz w:val="32"/>
        </w:rPr>
        <w:t>五、《一般公共预算财政拨款支出决算表》</w:t>
      </w:r>
    </w:p>
    <w:p w14:paraId="44A02BF7">
      <w:pPr>
        <w:spacing w:line="240" w:lineRule="auto"/>
        <w:ind w:firstLine="640"/>
        <w:jc w:val="both"/>
      </w:pPr>
      <w:r>
        <w:rPr>
          <w:rFonts w:ascii="仿宋_GB2312" w:hAnsi="仿宋_GB2312" w:eastAsia="仿宋_GB2312"/>
          <w:b w:val="0"/>
          <w:sz w:val="32"/>
        </w:rPr>
        <w:t>六、《一般公共预算财政拨款基本支出决算表》</w:t>
      </w:r>
    </w:p>
    <w:p w14:paraId="7FC73106">
      <w:pPr>
        <w:spacing w:line="240" w:lineRule="auto"/>
        <w:ind w:firstLine="640"/>
        <w:jc w:val="both"/>
      </w:pPr>
      <w:r>
        <w:rPr>
          <w:rFonts w:ascii="仿宋_GB2312" w:hAnsi="仿宋_GB2312" w:eastAsia="仿宋_GB2312"/>
          <w:b w:val="0"/>
          <w:sz w:val="32"/>
        </w:rPr>
        <w:t>七、《政府性基金预算财政拨款收入支出决算表》</w:t>
      </w:r>
    </w:p>
    <w:p w14:paraId="58F453BC">
      <w:pPr>
        <w:spacing w:line="240" w:lineRule="auto"/>
        <w:ind w:firstLine="640"/>
        <w:jc w:val="both"/>
      </w:pPr>
      <w:r>
        <w:rPr>
          <w:rFonts w:ascii="仿宋_GB2312" w:hAnsi="仿宋_GB2312" w:eastAsia="仿宋_GB2312"/>
          <w:b w:val="0"/>
          <w:sz w:val="32"/>
        </w:rPr>
        <w:t>八、《国有资本经营预算财政拨款收入支出决算表》</w:t>
      </w:r>
    </w:p>
    <w:p w14:paraId="157B0E2D">
      <w:pPr>
        <w:spacing w:line="240" w:lineRule="auto"/>
        <w:ind w:firstLine="640"/>
        <w:jc w:val="both"/>
      </w:pPr>
      <w:r>
        <w:rPr>
          <w:rFonts w:ascii="仿宋_GB2312" w:hAnsi="仿宋_GB2312" w:eastAsia="仿宋_GB2312"/>
          <w:b w:val="0"/>
          <w:sz w:val="32"/>
        </w:rPr>
        <w:t>九、《财政拨款“三公”经费支出决算表》</w:t>
      </w:r>
    </w:p>
    <w:p w14:paraId="761CA133">
      <w:pPr>
        <w:spacing w:line="240" w:lineRule="auto"/>
        <w:ind w:firstLine="640"/>
        <w:jc w:val="both"/>
      </w:pPr>
    </w:p>
    <w:p w14:paraId="51BF19C8">
      <w:pPr>
        <w:spacing w:line="240" w:lineRule="auto"/>
        <w:ind w:firstLine="640"/>
        <w:jc w:val="both"/>
      </w:pPr>
    </w:p>
    <w:p w14:paraId="38484C19">
      <w:pPr>
        <w:spacing w:line="240" w:lineRule="auto"/>
        <w:ind w:firstLine="640"/>
        <w:jc w:val="both"/>
      </w:pPr>
    </w:p>
    <w:p w14:paraId="75406F80">
      <w:pPr>
        <w:spacing w:line="240" w:lineRule="auto"/>
        <w:ind w:firstLine="640"/>
        <w:jc w:val="both"/>
      </w:pPr>
    </w:p>
    <w:p w14:paraId="02D2968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983EDE"/>
    <w:rsid w:val="09A729D8"/>
    <w:rsid w:val="0A3C58E8"/>
    <w:rsid w:val="0A7B4867"/>
    <w:rsid w:val="0B8C3ECC"/>
    <w:rsid w:val="0C3613A3"/>
    <w:rsid w:val="0C7227A7"/>
    <w:rsid w:val="0DCA6EF7"/>
    <w:rsid w:val="0E4B1576"/>
    <w:rsid w:val="0EA04331"/>
    <w:rsid w:val="0F9811B3"/>
    <w:rsid w:val="11E15093"/>
    <w:rsid w:val="120E0809"/>
    <w:rsid w:val="149C26A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1F67EDC"/>
    <w:rsid w:val="326F0A17"/>
    <w:rsid w:val="3277581B"/>
    <w:rsid w:val="38006E2C"/>
    <w:rsid w:val="3914510A"/>
    <w:rsid w:val="3B1220C9"/>
    <w:rsid w:val="3C104C21"/>
    <w:rsid w:val="3D5275AC"/>
    <w:rsid w:val="3EA7725F"/>
    <w:rsid w:val="3EC014A1"/>
    <w:rsid w:val="40834692"/>
    <w:rsid w:val="423A32B2"/>
    <w:rsid w:val="423C0CB4"/>
    <w:rsid w:val="427B5743"/>
    <w:rsid w:val="42E64542"/>
    <w:rsid w:val="464B7E04"/>
    <w:rsid w:val="464F7E64"/>
    <w:rsid w:val="46901EEE"/>
    <w:rsid w:val="469C74D2"/>
    <w:rsid w:val="47445515"/>
    <w:rsid w:val="49634005"/>
    <w:rsid w:val="4B4C0111"/>
    <w:rsid w:val="4BB23021"/>
    <w:rsid w:val="4F3F074E"/>
    <w:rsid w:val="50DB5F45"/>
    <w:rsid w:val="52F92565"/>
    <w:rsid w:val="53E70726"/>
    <w:rsid w:val="543D17CB"/>
    <w:rsid w:val="55612304"/>
    <w:rsid w:val="55DA564E"/>
    <w:rsid w:val="56E07045"/>
    <w:rsid w:val="583059FA"/>
    <w:rsid w:val="587E6212"/>
    <w:rsid w:val="5AFC6609"/>
    <w:rsid w:val="5F1471E2"/>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3A38BE"/>
    <w:rsid w:val="71473612"/>
    <w:rsid w:val="718F7F65"/>
    <w:rsid w:val="71F9675B"/>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7175</Words>
  <Characters>8380</Characters>
  <Lines>0</Lines>
  <Paragraphs>0</Paragraphs>
  <TotalTime>9</TotalTime>
  <ScaleCrop>false</ScaleCrop>
  <LinksUpToDate>false</LinksUpToDate>
  <CharactersWithSpaces>8388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2025-09-25T08:05:02Z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