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霍城县审计局2024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1DB84D8">
      <w:r>
        <w:br w:type="page"/>
      </w:r>
    </w:p>
    <w:p w14:paraId="3E422CFB">
      <w:pPr>
        <w:spacing w:line="640" w:lineRule="exact"/>
        <w:jc w:val="center"/>
        <w:outlineLvl w:val="1"/>
      </w:pPr>
      <w:r>
        <w:rPr>
          <w:rFonts w:ascii="黑体" w:hAnsi="黑体" w:eastAsia="黑体"/>
          <w:sz w:val="32"/>
        </w:rPr>
        <w:t>第一部分 单位概况</w:t>
      </w:r>
    </w:p>
    <w:p w14:paraId="1B1C452E">
      <w:pPr>
        <w:spacing w:line="640" w:lineRule="exact"/>
        <w:ind w:firstLine="640"/>
        <w:jc w:val="both"/>
        <w:outlineLvl w:val="2"/>
      </w:pPr>
      <w:r>
        <w:rPr>
          <w:rFonts w:ascii="黑体" w:hAnsi="黑体" w:eastAsia="黑体"/>
          <w:sz w:val="32"/>
        </w:rPr>
        <w:t>一、主要职能</w:t>
      </w:r>
    </w:p>
    <w:p w14:paraId="49D77A80">
      <w:pPr>
        <w:spacing w:line="580" w:lineRule="exact"/>
        <w:ind w:firstLine="640"/>
        <w:jc w:val="both"/>
      </w:pPr>
      <w:r>
        <w:rPr>
          <w:rFonts w:ascii="仿宋_GB2312" w:hAnsi="仿宋_GB2312" w:eastAsia="仿宋_GB2312"/>
          <w:sz w:val="32"/>
        </w:rPr>
        <w:t>霍城县审计局为霍城县人民政府组成部门，是霍城县人民政府的审计机关，主要负责贯彻执行国家有关审计工作的方针政策，审计监督本县财政预算执行情况及其他财政、财务收支工作、对重大投资的预算、决算审计及按规定对党政领导干部和国有企业代表人进行经济责任审计等，向霍城县人民政府报告及有关部门通报审计情况。</w:t>
      </w:r>
    </w:p>
    <w:p w14:paraId="24A717EA">
      <w:pPr>
        <w:spacing w:line="640" w:lineRule="exact"/>
        <w:ind w:firstLine="640"/>
        <w:jc w:val="both"/>
        <w:outlineLvl w:val="2"/>
      </w:pPr>
      <w:r>
        <w:rPr>
          <w:rFonts w:ascii="黑体" w:hAnsi="黑体" w:eastAsia="黑体"/>
          <w:sz w:val="32"/>
        </w:rPr>
        <w:t>二、机构设置及人员情况</w:t>
      </w:r>
    </w:p>
    <w:p w14:paraId="54B98F77">
      <w:pPr>
        <w:spacing w:line="580" w:lineRule="exact"/>
        <w:ind w:firstLine="640"/>
        <w:jc w:val="both"/>
      </w:pPr>
      <w:r>
        <w:rPr>
          <w:rFonts w:ascii="仿宋_GB2312" w:hAnsi="仿宋_GB2312" w:eastAsia="仿宋_GB2312"/>
          <w:sz w:val="32"/>
        </w:rPr>
        <w:t>霍城县审计局2024年度，实有人数26人，其中：在职人员14人，减少1人；离休人员0人，增加0人；退休人员12人,减少2人。</w:t>
      </w:r>
    </w:p>
    <w:p w14:paraId="404918B4">
      <w:pPr>
        <w:spacing w:line="580" w:lineRule="exact"/>
        <w:ind w:firstLine="640"/>
        <w:jc w:val="both"/>
      </w:pPr>
      <w:r>
        <w:rPr>
          <w:rFonts w:ascii="仿宋_GB2312" w:hAnsi="仿宋_GB2312" w:eastAsia="仿宋_GB2312"/>
          <w:sz w:val="32"/>
        </w:rPr>
        <w:t>霍城县审计局无下属预算单位，下设5个科室，分别是：办公室、综合业务科、法制科、经责科、投资科。</w:t>
      </w:r>
    </w:p>
    <w:p w14:paraId="6EDC28CC">
      <w:r>
        <w:br w:type="page"/>
      </w:r>
    </w:p>
    <w:p w14:paraId="18B9CF53">
      <w:pPr>
        <w:spacing w:line="240" w:lineRule="auto"/>
        <w:jc w:val="center"/>
        <w:outlineLvl w:val="1"/>
      </w:pPr>
      <w:r>
        <w:rPr>
          <w:rFonts w:ascii="黑体" w:hAnsi="黑体" w:eastAsia="黑体"/>
          <w:sz w:val="32"/>
        </w:rPr>
        <w:t>第二部分 部门决算情况说明</w:t>
      </w:r>
    </w:p>
    <w:p w14:paraId="331BDFE6">
      <w:pPr>
        <w:spacing w:line="640" w:lineRule="exact"/>
        <w:ind w:firstLine="640"/>
        <w:jc w:val="both"/>
        <w:outlineLvl w:val="2"/>
      </w:pPr>
      <w:r>
        <w:rPr>
          <w:rFonts w:ascii="黑体" w:hAnsi="黑体" w:eastAsia="黑体"/>
          <w:sz w:val="32"/>
        </w:rPr>
        <w:t>一、收入支出决算总体情况说明</w:t>
      </w:r>
    </w:p>
    <w:p w14:paraId="7317E301">
      <w:pPr>
        <w:spacing w:line="580" w:lineRule="exact"/>
        <w:ind w:firstLine="640"/>
        <w:jc w:val="both"/>
      </w:pPr>
      <w:r>
        <w:rPr>
          <w:rFonts w:ascii="仿宋_GB2312" w:hAnsi="仿宋_GB2312" w:eastAsia="仿宋_GB2312"/>
          <w:b/>
          <w:sz w:val="32"/>
        </w:rPr>
        <w:t>2024年度收入总计367.61万元，</w:t>
      </w:r>
      <w:r>
        <w:rPr>
          <w:rFonts w:ascii="仿宋_GB2312" w:hAnsi="仿宋_GB2312" w:eastAsia="仿宋_GB2312"/>
          <w:b w:val="0"/>
          <w:sz w:val="32"/>
        </w:rPr>
        <w:t>其中：本年收入合计367.61万元，使用非财政拨款结余（含专用结余）0.00万元，年初结转和结余0.00万元。</w:t>
      </w:r>
    </w:p>
    <w:p w14:paraId="412B552A">
      <w:pPr>
        <w:spacing w:line="580" w:lineRule="exact"/>
        <w:ind w:firstLine="640"/>
        <w:jc w:val="both"/>
      </w:pPr>
      <w:r>
        <w:rPr>
          <w:rFonts w:ascii="仿宋_GB2312" w:hAnsi="仿宋_GB2312" w:eastAsia="仿宋_GB2312"/>
          <w:b/>
          <w:sz w:val="32"/>
        </w:rPr>
        <w:t>2024年度支出总计367.61万元，</w:t>
      </w:r>
      <w:r>
        <w:rPr>
          <w:rFonts w:ascii="仿宋_GB2312" w:hAnsi="仿宋_GB2312" w:eastAsia="仿宋_GB2312"/>
          <w:b w:val="0"/>
          <w:sz w:val="32"/>
        </w:rPr>
        <w:t>其中：本年支出合计365.96万元，结余分配0.00万元，年末结转和结余1.65万元。</w:t>
      </w:r>
    </w:p>
    <w:p w14:paraId="6B312AD5">
      <w:pPr>
        <w:spacing w:line="580" w:lineRule="exact"/>
        <w:ind w:firstLine="640"/>
        <w:jc w:val="both"/>
      </w:pPr>
      <w:r>
        <w:rPr>
          <w:rFonts w:ascii="仿宋_GB2312" w:hAnsi="仿宋_GB2312" w:eastAsia="仿宋_GB2312"/>
          <w:b w:val="0"/>
          <w:sz w:val="32"/>
        </w:rPr>
        <w:t>收入支出总体与上年相比，增加23.67万元，增长6.88%，主要原因是：本年在职人员工资调增，社保、公积金基数调增，人员经费增加。</w:t>
      </w:r>
    </w:p>
    <w:p w14:paraId="1A16BED6">
      <w:pPr>
        <w:spacing w:line="640" w:lineRule="exact"/>
        <w:ind w:firstLine="640"/>
        <w:jc w:val="both"/>
        <w:outlineLvl w:val="2"/>
      </w:pPr>
      <w:r>
        <w:rPr>
          <w:rFonts w:ascii="黑体" w:hAnsi="黑体" w:eastAsia="黑体"/>
          <w:sz w:val="32"/>
        </w:rPr>
        <w:t>二、收入决算情况说明</w:t>
      </w:r>
    </w:p>
    <w:p w14:paraId="61008FE3">
      <w:pPr>
        <w:spacing w:line="580" w:lineRule="exact"/>
        <w:ind w:firstLine="640"/>
        <w:jc w:val="both"/>
      </w:pPr>
      <w:r>
        <w:rPr>
          <w:rFonts w:ascii="仿宋_GB2312" w:hAnsi="仿宋_GB2312" w:eastAsia="仿宋_GB2312"/>
          <w:b/>
          <w:sz w:val="32"/>
        </w:rPr>
        <w:t>本年收入367.61万元，</w:t>
      </w:r>
      <w:r>
        <w:rPr>
          <w:rFonts w:ascii="仿宋_GB2312" w:hAnsi="仿宋_GB2312" w:eastAsia="仿宋_GB2312"/>
          <w:b w:val="0"/>
          <w:sz w:val="32"/>
        </w:rPr>
        <w:t>其中：财政拨款收入353.61万元，占96.19%；上级补助收入0.00万元，占0.00%；事业收入0.00万元，占0.00%；经营收入0.00万元，占0.00%；附属单位上缴收入0.00万元，占0.00%；其他收入14.00万元，占3.81%。</w:t>
      </w:r>
    </w:p>
    <w:p w14:paraId="48063936">
      <w:pPr>
        <w:spacing w:line="640" w:lineRule="exact"/>
        <w:ind w:firstLine="640"/>
        <w:jc w:val="both"/>
        <w:outlineLvl w:val="2"/>
      </w:pPr>
      <w:r>
        <w:rPr>
          <w:rFonts w:ascii="黑体" w:hAnsi="黑体" w:eastAsia="黑体"/>
          <w:sz w:val="32"/>
        </w:rPr>
        <w:t>三、支出决算情况说明</w:t>
      </w:r>
    </w:p>
    <w:p w14:paraId="7C5A918E">
      <w:pPr>
        <w:spacing w:line="580" w:lineRule="exact"/>
        <w:ind w:firstLine="640"/>
        <w:jc w:val="both"/>
      </w:pPr>
      <w:r>
        <w:rPr>
          <w:rFonts w:ascii="仿宋_GB2312" w:hAnsi="仿宋_GB2312" w:eastAsia="仿宋_GB2312"/>
          <w:b/>
          <w:sz w:val="32"/>
        </w:rPr>
        <w:t>本年支出365.96万元，</w:t>
      </w:r>
      <w:r>
        <w:rPr>
          <w:rFonts w:ascii="仿宋_GB2312" w:hAnsi="仿宋_GB2312" w:eastAsia="仿宋_GB2312"/>
          <w:b w:val="0"/>
          <w:sz w:val="32"/>
        </w:rPr>
        <w:t>其中：基本支出310.97万元，占84.97%；项目支出54.99万元，占15.03%；上缴上级支出0.00万元，占0.00%；经营支出0.00万元，占0.00%；对附属单位补助支出0.00万元，占0.00%。</w:t>
      </w:r>
    </w:p>
    <w:p w14:paraId="7AD01505">
      <w:pPr>
        <w:spacing w:line="640" w:lineRule="exact"/>
        <w:ind w:firstLine="640"/>
        <w:jc w:val="both"/>
        <w:outlineLvl w:val="2"/>
      </w:pPr>
      <w:r>
        <w:rPr>
          <w:rFonts w:ascii="黑体" w:hAnsi="黑体" w:eastAsia="黑体"/>
          <w:sz w:val="32"/>
        </w:rPr>
        <w:t>四、财政拨款收入支出决算总体情况说明</w:t>
      </w:r>
    </w:p>
    <w:p w14:paraId="698EDFA6">
      <w:pPr>
        <w:spacing w:line="580" w:lineRule="exact"/>
        <w:ind w:firstLine="640"/>
        <w:jc w:val="both"/>
      </w:pPr>
      <w:r>
        <w:rPr>
          <w:rFonts w:ascii="仿宋_GB2312" w:hAnsi="仿宋_GB2312" w:eastAsia="仿宋_GB2312"/>
          <w:b/>
          <w:sz w:val="32"/>
        </w:rPr>
        <w:t>2024年度财政拨款收入总计353.61万元，</w:t>
      </w:r>
      <w:r>
        <w:rPr>
          <w:rFonts w:ascii="仿宋_GB2312" w:hAnsi="仿宋_GB2312" w:eastAsia="仿宋_GB2312"/>
          <w:b w:val="0"/>
          <w:sz w:val="32"/>
        </w:rPr>
        <w:t>其中：年初财政拨款结转和结余0.00万元，本年财政拨款收入353.61万元。</w:t>
      </w:r>
      <w:r>
        <w:rPr>
          <w:rFonts w:ascii="仿宋_GB2312" w:hAnsi="仿宋_GB2312" w:eastAsia="仿宋_GB2312"/>
          <w:b/>
          <w:sz w:val="32"/>
        </w:rPr>
        <w:t>财政拨款支出总计353.61万元，</w:t>
      </w:r>
      <w:r>
        <w:rPr>
          <w:rFonts w:ascii="仿宋_GB2312" w:hAnsi="仿宋_GB2312" w:eastAsia="仿宋_GB2312"/>
          <w:b w:val="0"/>
          <w:sz w:val="32"/>
        </w:rPr>
        <w:t>其中：年末财政拨款结转和结余0.00万元，本年财政拨款支出353.61万元。</w:t>
      </w:r>
    </w:p>
    <w:p w14:paraId="0554776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增加9.67万元，增长2.81%，主要原因是：本年在职人员工资调增，社保、公积金基数调增，人员经费增加。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年初预算数328.94万元，决算数353.61万元，预决算差异率7.50%，主要原因是：年中追加人员工资、社保、公积金基数调增部分资金，导致预决算存在差异。</w:t>
      </w:r>
    </w:p>
    <w:p w14:paraId="1913D1F8">
      <w:pPr>
        <w:spacing w:line="640" w:lineRule="exact"/>
        <w:ind w:firstLine="640"/>
        <w:jc w:val="both"/>
        <w:outlineLvl w:val="2"/>
      </w:pPr>
      <w:r>
        <w:rPr>
          <w:rFonts w:ascii="黑体" w:hAnsi="黑体" w:eastAsia="黑体"/>
          <w:sz w:val="32"/>
        </w:rPr>
        <w:t>五、一般公共预算财政拨款支出决算情况说明</w:t>
      </w:r>
    </w:p>
    <w:p w14:paraId="14229696">
      <w:pPr>
        <w:spacing w:line="640" w:lineRule="exact"/>
        <w:ind w:firstLine="640"/>
        <w:jc w:val="both"/>
        <w:outlineLvl w:val="3"/>
      </w:pPr>
      <w:r>
        <w:rPr>
          <w:rFonts w:ascii="楷体_GB2312" w:hAnsi="楷体_GB2312" w:eastAsia="楷体_GB2312"/>
          <w:b/>
          <w:sz w:val="32"/>
        </w:rPr>
        <w:t>（一）一般公共预算财政拨款支出决算总体情况</w:t>
      </w:r>
    </w:p>
    <w:p w14:paraId="43EA6428">
      <w:pPr>
        <w:spacing w:line="580" w:lineRule="exact"/>
        <w:ind w:firstLine="640"/>
        <w:jc w:val="both"/>
      </w:pPr>
      <w:r>
        <w:rPr>
          <w:rFonts w:ascii="仿宋_GB2312" w:hAnsi="仿宋_GB2312" w:eastAsia="仿宋_GB2312"/>
          <w:b/>
          <w:sz w:val="32"/>
        </w:rPr>
        <w:t>2024年度一般公共预算财政拨款支出353.61万元，</w:t>
      </w:r>
      <w:r>
        <w:rPr>
          <w:rFonts w:ascii="仿宋_GB2312" w:hAnsi="仿宋_GB2312" w:eastAsia="仿宋_GB2312"/>
          <w:b w:val="0"/>
          <w:sz w:val="32"/>
        </w:rPr>
        <w:t>占本年支出合计的96.63%。</w:t>
      </w:r>
      <w:r>
        <w:rPr>
          <w:rFonts w:ascii="仿宋_GB2312" w:hAnsi="仿宋_GB2312" w:eastAsia="仿宋_GB2312"/>
          <w:b/>
          <w:sz w:val="32"/>
        </w:rPr>
        <w:t>与上年相比，</w:t>
      </w:r>
      <w:r>
        <w:rPr>
          <w:rFonts w:ascii="仿宋_GB2312" w:hAnsi="仿宋_GB2312" w:eastAsia="仿宋_GB2312"/>
          <w:b w:val="0"/>
          <w:sz w:val="32"/>
        </w:rPr>
        <w:t>增加9.67万元，增长2.81%，主要原因是：本年在职人员工资调增，社保、公积金基数调增，人员经费增加。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年初预算数328.94万元，决算数353.61万元，预决算差异率7.50%，主要原因是：年中追加人员工资、社保、公积金基数调增部分资金，导致预决算存在差异。</w:t>
      </w:r>
    </w:p>
    <w:p w14:paraId="42A7575A">
      <w:pPr>
        <w:spacing w:line="640" w:lineRule="exact"/>
        <w:ind w:firstLine="640"/>
        <w:jc w:val="both"/>
        <w:outlineLvl w:val="3"/>
      </w:pPr>
      <w:r>
        <w:rPr>
          <w:rFonts w:ascii="楷体_GB2312" w:hAnsi="楷体_GB2312" w:eastAsia="楷体_GB2312"/>
          <w:b/>
          <w:sz w:val="32"/>
        </w:rPr>
        <w:t>（二）一般公共预算财政拨款支出决算结构情况</w:t>
      </w:r>
    </w:p>
    <w:p w14:paraId="4D3EFC2D">
      <w:pPr>
        <w:spacing w:line="580" w:lineRule="exact"/>
        <w:ind w:firstLine="640"/>
        <w:jc w:val="both"/>
      </w:pPr>
      <w:r>
        <w:rPr>
          <w:rFonts w:ascii="仿宋_GB2312" w:hAnsi="仿宋_GB2312" w:eastAsia="仿宋_GB2312"/>
          <w:b w:val="0"/>
          <w:sz w:val="32"/>
        </w:rPr>
        <w:t>1.一般公共服务支出(类)186.54万元,占52.75%。</w:t>
      </w:r>
    </w:p>
    <w:p w14:paraId="412C6110">
      <w:pPr>
        <w:spacing w:line="580" w:lineRule="exact"/>
        <w:ind w:firstLine="640"/>
        <w:jc w:val="both"/>
      </w:pPr>
      <w:r>
        <w:rPr>
          <w:rFonts w:ascii="仿宋_GB2312" w:hAnsi="仿宋_GB2312" w:eastAsia="仿宋_GB2312"/>
          <w:b w:val="0"/>
          <w:sz w:val="32"/>
        </w:rPr>
        <w:t>2.科学技术支出(类)54.99万元,占15.55%。</w:t>
      </w:r>
    </w:p>
    <w:p w14:paraId="43F44C3D">
      <w:pPr>
        <w:spacing w:line="580" w:lineRule="exact"/>
        <w:ind w:firstLine="640"/>
        <w:jc w:val="both"/>
      </w:pPr>
      <w:r>
        <w:rPr>
          <w:rFonts w:ascii="仿宋_GB2312" w:hAnsi="仿宋_GB2312" w:eastAsia="仿宋_GB2312"/>
          <w:b w:val="0"/>
          <w:sz w:val="32"/>
        </w:rPr>
        <w:t>3.社会保障和就业支出(类)79.03万元,占22.35%。</w:t>
      </w:r>
    </w:p>
    <w:p w14:paraId="58679862">
      <w:pPr>
        <w:spacing w:line="580" w:lineRule="exact"/>
        <w:ind w:firstLine="640"/>
        <w:jc w:val="both"/>
      </w:pPr>
      <w:r>
        <w:rPr>
          <w:rFonts w:ascii="仿宋_GB2312" w:hAnsi="仿宋_GB2312" w:eastAsia="仿宋_GB2312"/>
          <w:b w:val="0"/>
          <w:sz w:val="32"/>
        </w:rPr>
        <w:t>4.卫生健康支出(类)12.93万元,占3.66%。</w:t>
      </w:r>
    </w:p>
    <w:p w14:paraId="09E68220">
      <w:pPr>
        <w:spacing w:line="580" w:lineRule="exact"/>
        <w:ind w:firstLine="640"/>
        <w:jc w:val="both"/>
      </w:pPr>
      <w:r>
        <w:rPr>
          <w:rFonts w:ascii="仿宋_GB2312" w:hAnsi="仿宋_GB2312" w:eastAsia="仿宋_GB2312"/>
          <w:b w:val="0"/>
          <w:sz w:val="32"/>
        </w:rPr>
        <w:t>5.住房保障支出(类)20.12万元,占5.69%。</w:t>
      </w:r>
    </w:p>
    <w:p w14:paraId="3ECCD3A1">
      <w:pPr>
        <w:spacing w:line="640" w:lineRule="exact"/>
        <w:ind w:firstLine="640"/>
        <w:jc w:val="both"/>
        <w:outlineLvl w:val="3"/>
      </w:pPr>
      <w:r>
        <w:rPr>
          <w:rFonts w:ascii="楷体_GB2312" w:hAnsi="楷体_GB2312" w:eastAsia="楷体_GB2312"/>
          <w:b/>
          <w:sz w:val="32"/>
        </w:rPr>
        <w:t>（三）一般公共预算财政拨款支出决算具体情况</w:t>
      </w:r>
    </w:p>
    <w:p w14:paraId="6307B3BC">
      <w:pPr>
        <w:spacing w:line="580" w:lineRule="exact"/>
        <w:ind w:firstLine="640"/>
        <w:jc w:val="both"/>
      </w:pPr>
      <w:r>
        <w:rPr>
          <w:rFonts w:ascii="仿宋_GB2312" w:hAnsi="仿宋_GB2312" w:eastAsia="仿宋_GB2312"/>
          <w:b w:val="0"/>
          <w:sz w:val="32"/>
        </w:rPr>
        <w:t>1.一般公共服务支出(类)审计事务(款)行政运行(项):支出决算数为151.66万元，比上年决算减少16.04万元，下降9.56%,主要原因是：本年行政在职人员减少，相应人员经费较上年减少。</w:t>
      </w:r>
    </w:p>
    <w:p w14:paraId="000FA265">
      <w:pPr>
        <w:spacing w:line="580" w:lineRule="exact"/>
        <w:ind w:firstLine="640"/>
        <w:jc w:val="both"/>
      </w:pPr>
      <w:r>
        <w:rPr>
          <w:rFonts w:ascii="仿宋_GB2312" w:hAnsi="仿宋_GB2312" w:eastAsia="仿宋_GB2312"/>
          <w:b w:val="0"/>
          <w:sz w:val="32"/>
        </w:rPr>
        <w:t>2.一般公共服务支出(类)审计事务(款)审计业务(项):支出决算数为0.00万元，比上年决算减少7.00万元，下降100.00%,主要原因是：本年科目调整，审计业务经费上年在审计业务科目列支，本年在其他科学技术支出科目列支，导致经费较上年减少。</w:t>
      </w:r>
    </w:p>
    <w:p w14:paraId="4E8B13C8">
      <w:pPr>
        <w:spacing w:line="580" w:lineRule="exact"/>
        <w:ind w:firstLine="640"/>
        <w:jc w:val="both"/>
      </w:pPr>
      <w:r>
        <w:rPr>
          <w:rFonts w:ascii="仿宋_GB2312" w:hAnsi="仿宋_GB2312" w:eastAsia="仿宋_GB2312"/>
          <w:b w:val="0"/>
          <w:sz w:val="32"/>
        </w:rPr>
        <w:t>3.一般公共服务支出(类)审计事务(款)事业运行(项):支出决算数为34.88万元，比上年决算增加4.58万元，增长15.12%,主要原因是：本年在职人员工资调增，导致相关人员经费较上年有所增加。</w:t>
      </w:r>
    </w:p>
    <w:p w14:paraId="436C5D39">
      <w:pPr>
        <w:spacing w:line="580" w:lineRule="exact"/>
        <w:ind w:firstLine="640"/>
        <w:jc w:val="both"/>
      </w:pPr>
      <w:r>
        <w:rPr>
          <w:rFonts w:ascii="仿宋_GB2312" w:hAnsi="仿宋_GB2312" w:eastAsia="仿宋_GB2312"/>
          <w:b w:val="0"/>
          <w:sz w:val="32"/>
        </w:rPr>
        <w:t>4.科学技术支出(类)科技条件与服务(款)其他科技条件与服务支出(项):支出决算数为49.99万元，比上年决算减少10.01万元，下降16.68%,主要原因是：本年第三方委托项目减少，导致经费较上年减少。</w:t>
      </w:r>
    </w:p>
    <w:p w14:paraId="6E17A5B0">
      <w:pPr>
        <w:spacing w:line="580" w:lineRule="exact"/>
        <w:ind w:firstLine="640"/>
        <w:jc w:val="both"/>
      </w:pPr>
      <w:r>
        <w:rPr>
          <w:rFonts w:ascii="仿宋_GB2312" w:hAnsi="仿宋_GB2312" w:eastAsia="仿宋_GB2312"/>
          <w:b w:val="0"/>
          <w:sz w:val="32"/>
        </w:rPr>
        <w:t>5.科学技术支出(类)其他科学技术支出(款)其他科学技术支出(项):支出决算数为5.00万元，比上年决算增加5.00万元，增长100.00%,主要原因是：本年度科目调整，审计业务经费上年在审计业务科目列支，本年在其他科学技术支出科目列支，导致经费较上年增加。</w:t>
      </w:r>
    </w:p>
    <w:p w14:paraId="5DB39CCB">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6.社会保障和就业支出(类)行政事业单位养老支出(款)行政单位离退休(项):支出决算数为9.25万元，比上年决算增加6.42万元，增长226.86%,主要原因是：本年增加退休人员基础绩效奖，退休费支出增加。</w:t>
      </w:r>
    </w:p>
    <w:p w14:paraId="035D1FC5">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23.03万元，比上年决算增加0.62万元，增长2.77%,主要原因是：本年在职人员工资基数调增，养老缴费基数上涨，相应支出增加。</w:t>
      </w:r>
    </w:p>
    <w:p w14:paraId="4A0C263A">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8.社会保障和就业支出(类)行政事业单位养老支出(款)机关事业单位职业年金缴费支出(项):支出决算数为4.88万元，比上年决算减少9.65万元，下降66.41%,主要原因是：本年补发退休人员职业年金缴费较上年减少。</w:t>
      </w:r>
    </w:p>
    <w:p w14:paraId="1478DCFF">
      <w:pPr>
        <w:spacing w:line="580" w:lineRule="exact"/>
        <w:ind w:firstLine="640"/>
        <w:jc w:val="both"/>
      </w:pPr>
      <w:r>
        <w:rPr>
          <w:rFonts w:ascii="仿宋_GB2312" w:hAnsi="仿宋_GB2312" w:eastAsia="仿宋_GB2312"/>
          <w:b w:val="0"/>
          <w:sz w:val="32"/>
        </w:rPr>
        <w:t>9.社会保障和就业支出(类)抚恤(款)死亡抚恤(项):支出决算数为41.86万元，比上年决算增加41.86万元，增长100.00%,主要原因是：本年新增死亡人员，死亡抚恤支出增加。</w:t>
      </w:r>
    </w:p>
    <w:p w14:paraId="61BD993C">
      <w:pPr>
        <w:spacing w:line="580" w:lineRule="exact"/>
        <w:ind w:firstLine="640"/>
        <w:jc w:val="both"/>
      </w:pPr>
      <w:r>
        <w:rPr>
          <w:rFonts w:ascii="仿宋_GB2312" w:hAnsi="仿宋_GB2312" w:eastAsia="仿宋_GB2312"/>
          <w:b w:val="0"/>
          <w:sz w:val="32"/>
        </w:rPr>
        <w:t>10.卫生健康支出(类)行政事业单位医疗(款)行政单位医疗(项):支出决算数为10.57万元，比上年决算减少7.35万元，下降41.02%,主要原因是：因退休人员医疗保险制度改革，退休人员基本医疗不再由单位缴纳，导致经费较上年减少。</w:t>
      </w:r>
    </w:p>
    <w:p w14:paraId="4AA08135">
      <w:pPr>
        <w:spacing w:line="580" w:lineRule="exact"/>
        <w:ind w:firstLine="640"/>
        <w:jc w:val="both"/>
      </w:pPr>
      <w:r>
        <w:rPr>
          <w:rFonts w:ascii="仿宋_GB2312" w:hAnsi="仿宋_GB2312" w:eastAsia="仿宋_GB2312"/>
          <w:b w:val="0"/>
          <w:sz w:val="32"/>
        </w:rPr>
        <w:t>11.卫生健康支出(类)行政事业单位医疗(款)事业单位医疗(项):支出决算数为2.14万元，比上年决算增加0.27万元，增长14.44%,主要原因是：本年在职人员工资基数调增，医疗缴费基数上涨，相应支出增加。</w:t>
      </w:r>
    </w:p>
    <w:p w14:paraId="4BDCC766">
      <w:pPr>
        <w:spacing w:line="580" w:lineRule="exact"/>
        <w:ind w:firstLine="640"/>
        <w:jc w:val="both"/>
      </w:pPr>
      <w:r>
        <w:rPr>
          <w:rFonts w:ascii="仿宋_GB2312" w:hAnsi="仿宋_GB2312" w:eastAsia="仿宋_GB2312"/>
          <w:b w:val="0"/>
          <w:sz w:val="32"/>
        </w:rPr>
        <w:t>12.卫生健康支出(类)行政事业单位医疗(款)公务员医疗补助(项):支出决算数为0.22万元，比上年决算减少1.05万元，下降82.68%,主要原因是：本年在职人员减少，公务员医疗补助较上年减少。</w:t>
      </w:r>
    </w:p>
    <w:p w14:paraId="5322B600">
      <w:pPr>
        <w:spacing w:line="580" w:lineRule="exact"/>
        <w:ind w:firstLine="640"/>
        <w:jc w:val="both"/>
      </w:pPr>
      <w:r>
        <w:rPr>
          <w:rFonts w:ascii="仿宋_GB2312" w:hAnsi="仿宋_GB2312" w:eastAsia="仿宋_GB2312"/>
          <w:b w:val="0"/>
          <w:sz w:val="32"/>
        </w:rPr>
        <w:t>13.住房保障支出(类)保障性安居工程支出(款)廉租住房(项):支出决算数为0.00万元，比上年决算减少1.04万元，下降100.00%,主要原因是：本年度科目调整，西部志愿者的住房公积金经费上年在廉租住房科目列支，本年在其他科技条件与服务支出科目列支，导致经费减少。</w:t>
      </w:r>
    </w:p>
    <w:p w14:paraId="489D1943">
      <w:pPr>
        <w:spacing w:line="580" w:lineRule="exact"/>
        <w:ind w:firstLine="640"/>
        <w:jc w:val="both"/>
      </w:pPr>
      <w:r>
        <w:rPr>
          <w:rFonts w:ascii="仿宋_GB2312" w:hAnsi="仿宋_GB2312" w:eastAsia="仿宋_GB2312"/>
          <w:b w:val="0"/>
          <w:sz w:val="32"/>
        </w:rPr>
        <w:t>14.住房保障支出(类)住房改革支出(款)住房公积金(项):支出决算数为20.12万元，比上年决算增加3.04万元，增长17.80%,主要原因是：本年在职人员工资基数调增，公积金缴费基数上涨，相应支出增加。</w:t>
      </w:r>
    </w:p>
    <w:p w14:paraId="153BFC1E">
      <w:pPr>
        <w:spacing w:line="640" w:lineRule="exact"/>
        <w:ind w:firstLine="640"/>
        <w:jc w:val="both"/>
        <w:outlineLvl w:val="2"/>
      </w:pPr>
      <w:r>
        <w:rPr>
          <w:rFonts w:ascii="黑体" w:hAnsi="黑体" w:eastAsia="黑体"/>
          <w:sz w:val="32"/>
        </w:rPr>
        <w:t>六、一般公共预算财政拨款基本支出决算情况说明</w:t>
      </w:r>
    </w:p>
    <w:p w14:paraId="4ACECD53">
      <w:pPr>
        <w:spacing w:line="580" w:lineRule="exact"/>
        <w:ind w:firstLine="640"/>
        <w:jc w:val="both"/>
      </w:pPr>
      <w:r>
        <w:rPr>
          <w:rFonts w:ascii="仿宋_GB2312" w:hAnsi="仿宋_GB2312" w:eastAsia="仿宋_GB2312"/>
          <w:b w:val="0"/>
          <w:sz w:val="32"/>
        </w:rPr>
        <w:t>2024年度一般公共预算财政拨款基本支出298.62万元，其中：</w:t>
      </w:r>
      <w:r>
        <w:rPr>
          <w:rFonts w:ascii="仿宋_GB2312" w:hAnsi="仿宋_GB2312" w:eastAsia="仿宋_GB2312"/>
          <w:b/>
          <w:sz w:val="32"/>
        </w:rPr>
        <w:t>人员经费289.82万元，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w:t>
      </w:r>
    </w:p>
    <w:p w14:paraId="71216100">
      <w:pPr>
        <w:spacing w:line="580" w:lineRule="exact"/>
        <w:ind w:firstLine="640"/>
        <w:jc w:val="both"/>
      </w:pPr>
      <w:r>
        <w:rPr>
          <w:rFonts w:ascii="仿宋_GB2312" w:hAnsi="仿宋_GB2312" w:eastAsia="仿宋_GB2312"/>
          <w:b/>
          <w:sz w:val="32"/>
        </w:rPr>
        <w:t>公用经费8.80万元，</w:t>
      </w:r>
      <w:r>
        <w:rPr>
          <w:rFonts w:ascii="仿宋_GB2312" w:hAnsi="仿宋_GB2312" w:eastAsia="仿宋_GB2312"/>
          <w:b w:val="0"/>
          <w:sz w:val="32"/>
        </w:rPr>
        <w:t>包括：办公费、印刷费、差旅费、培训费、工会经费、福利费、公务用车运行维护费。</w:t>
      </w:r>
    </w:p>
    <w:p w14:paraId="21408F16">
      <w:pPr>
        <w:spacing w:line="640" w:lineRule="exact"/>
        <w:ind w:firstLine="640"/>
        <w:jc w:val="both"/>
        <w:outlineLvl w:val="2"/>
      </w:pPr>
      <w:r>
        <w:rPr>
          <w:rFonts w:ascii="黑体" w:hAnsi="黑体" w:eastAsia="黑体"/>
          <w:sz w:val="32"/>
        </w:rPr>
        <w:t>七、政府性基金预算财政拨款收入支出决算情况说明</w:t>
      </w:r>
    </w:p>
    <w:p w14:paraId="6685DEF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9430935">
      <w:pPr>
        <w:spacing w:line="640" w:lineRule="exact"/>
        <w:ind w:firstLine="640"/>
        <w:jc w:val="both"/>
        <w:outlineLvl w:val="2"/>
      </w:pPr>
      <w:r>
        <w:rPr>
          <w:rFonts w:ascii="黑体" w:hAnsi="黑体" w:eastAsia="黑体"/>
          <w:sz w:val="32"/>
        </w:rPr>
        <w:t>八、国有资本经营预算财政拨款收入支出决算情况说明</w:t>
      </w:r>
    </w:p>
    <w:p w14:paraId="1F536D4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08A1BAB">
      <w:pPr>
        <w:spacing w:line="640" w:lineRule="exact"/>
        <w:ind w:firstLine="640"/>
        <w:jc w:val="both"/>
        <w:outlineLvl w:val="2"/>
      </w:pPr>
      <w:r>
        <w:rPr>
          <w:rFonts w:ascii="黑体" w:hAnsi="黑体" w:eastAsia="黑体"/>
          <w:sz w:val="32"/>
        </w:rPr>
        <w:t>九、财政拨款“三公”经费支出决算情况说明</w:t>
      </w:r>
    </w:p>
    <w:p w14:paraId="6C4EB016">
      <w:pPr>
        <w:spacing w:line="580" w:lineRule="exact"/>
        <w:ind w:firstLine="640"/>
        <w:jc w:val="both"/>
      </w:pPr>
      <w:r>
        <w:rPr>
          <w:rFonts w:ascii="仿宋_GB2312" w:hAnsi="仿宋_GB2312" w:eastAsia="仿宋_GB2312"/>
          <w:b/>
          <w:sz w:val="32"/>
        </w:rPr>
        <w:t>2024年度财政拨款“三公”经费支出1.46万元，</w:t>
      </w:r>
      <w:r>
        <w:rPr>
          <w:rFonts w:ascii="仿宋_GB2312" w:hAnsi="仿宋_GB2312" w:eastAsia="仿宋_GB2312"/>
          <w:b w:val="0"/>
          <w:sz w:val="32"/>
        </w:rPr>
        <w:t>比上年增加0.46万元，增长46.00%，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1.46万元，占100.00%，比上年增加0.46万元，增长46.00%，主要原因是：本单位公务用车日渐老化，维修维护成本增加，导致公务用车运行维护费较上年增加。公务接待费支出0.00万元，占0.00%，比上年增加0.00万元，增长0.00%，主要原因是：2023年与2024年均未安排公务接待费支出。</w:t>
      </w:r>
    </w:p>
    <w:p w14:paraId="4C43E3F6">
      <w:pPr>
        <w:spacing w:line="580" w:lineRule="exact"/>
        <w:ind w:firstLine="640"/>
        <w:jc w:val="both"/>
      </w:pPr>
      <w:r>
        <w:rPr>
          <w:rFonts w:ascii="仿宋_GB2312" w:hAnsi="仿宋_GB2312" w:eastAsia="仿宋_GB2312"/>
          <w:b/>
          <w:sz w:val="32"/>
        </w:rPr>
        <w:t>具体情况如下：</w:t>
      </w:r>
    </w:p>
    <w:p w14:paraId="5BD6637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044A08B">
      <w:pPr>
        <w:spacing w:line="580" w:lineRule="exact"/>
        <w:ind w:firstLine="640"/>
        <w:jc w:val="both"/>
      </w:pPr>
      <w:r>
        <w:rPr>
          <w:rFonts w:ascii="仿宋_GB2312" w:hAnsi="仿宋_GB2312" w:eastAsia="仿宋_GB2312"/>
          <w:b w:val="0"/>
          <w:sz w:val="32"/>
        </w:rPr>
        <w:t>公务用车购置及运行维护费1.46万元，其中：公务用车购置费0.00万元，公务用车运行维护费1.46万元。公务用车运行维护费开支内容包括车辆燃油费，车辆保险费，过路费。公务用车购置数0辆，公务用车保有量2辆。国有资产占用情况中固定资产车辆2辆，与公务用车保有量差异原因是：本单位固定资产车辆与公务用车保有量一致无差异。</w:t>
      </w:r>
    </w:p>
    <w:p w14:paraId="36797A8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850110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1.46万元，决算数1.46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1.46万元，决算数1.46万元，预决算差异率0.00%，主要原因是：严格按照预算执行，预决算无差异。公务接待费全年预算数0.00万元，决算数0.00万元，预决算差异率0.00%，主要原因是：本单位无公务接待费。</w:t>
      </w:r>
    </w:p>
    <w:p w14:paraId="61B7770F">
      <w:pPr>
        <w:spacing w:line="640" w:lineRule="exact"/>
        <w:ind w:firstLine="640"/>
        <w:jc w:val="both"/>
        <w:outlineLvl w:val="2"/>
      </w:pPr>
      <w:r>
        <w:rPr>
          <w:rFonts w:ascii="黑体" w:hAnsi="黑体" w:eastAsia="黑体"/>
          <w:sz w:val="32"/>
        </w:rPr>
        <w:t>十、其他重要事项的情况说明</w:t>
      </w:r>
    </w:p>
    <w:p w14:paraId="5E3C8C5D">
      <w:pPr>
        <w:spacing w:line="640" w:lineRule="exact"/>
        <w:ind w:firstLine="640"/>
        <w:jc w:val="both"/>
        <w:outlineLvl w:val="3"/>
      </w:pPr>
      <w:r>
        <w:rPr>
          <w:rFonts w:ascii="楷体_GB2312" w:hAnsi="楷体_GB2312" w:eastAsia="楷体_GB2312"/>
          <w:b/>
          <w:sz w:val="32"/>
        </w:rPr>
        <w:t>（一）机关运行经费及公用经费支出情况</w:t>
      </w:r>
    </w:p>
    <w:p w14:paraId="0D124FD2">
      <w:pPr>
        <w:spacing w:line="580" w:lineRule="exact"/>
        <w:ind w:firstLine="640"/>
        <w:jc w:val="both"/>
      </w:pPr>
      <w:r>
        <w:rPr>
          <w:rFonts w:ascii="仿宋_GB2312" w:hAnsi="仿宋_GB2312" w:eastAsia="仿宋_GB2312"/>
          <w:b w:val="0"/>
          <w:sz w:val="32"/>
        </w:rPr>
        <w:t>2024年度霍城县审计局（行政单位和参照公务员法管理事业单位）机关运行经费支出8.80万元，比上年增加3.09万元，增长54.12%，主要原因是：本年更新、维护补充办公用品，导致机关运行经费较上年增加。</w:t>
      </w:r>
    </w:p>
    <w:p w14:paraId="51F528F4">
      <w:pPr>
        <w:spacing w:line="640" w:lineRule="exact"/>
        <w:ind w:firstLine="640"/>
        <w:jc w:val="both"/>
        <w:outlineLvl w:val="3"/>
      </w:pPr>
      <w:r>
        <w:rPr>
          <w:rFonts w:ascii="楷体_GB2312" w:hAnsi="楷体_GB2312" w:eastAsia="楷体_GB2312"/>
          <w:b/>
          <w:sz w:val="32"/>
        </w:rPr>
        <w:t>（二）政府采购情况</w:t>
      </w:r>
    </w:p>
    <w:p w14:paraId="5E87C1CA">
      <w:pPr>
        <w:spacing w:line="580" w:lineRule="exact"/>
        <w:ind w:firstLine="640"/>
        <w:jc w:val="both"/>
      </w:pPr>
      <w:r>
        <w:rPr>
          <w:rFonts w:ascii="仿宋_GB2312" w:hAnsi="仿宋_GB2312" w:eastAsia="仿宋_GB2312"/>
          <w:b w:val="0"/>
          <w:sz w:val="32"/>
        </w:rPr>
        <w:t>2024年度政府采购支出总额0.74万元，其中：政府采购货物支出0.00万元、政府采购工程支出0.00万元、政府采购服务支出0.74万元。</w:t>
      </w:r>
    </w:p>
    <w:p w14:paraId="62319930">
      <w:pPr>
        <w:spacing w:line="580" w:lineRule="exact"/>
        <w:ind w:firstLine="640"/>
        <w:jc w:val="both"/>
      </w:pPr>
      <w:r>
        <w:rPr>
          <w:rFonts w:ascii="仿宋_GB2312" w:hAnsi="仿宋_GB2312" w:eastAsia="仿宋_GB2312"/>
          <w:b w:val="0"/>
          <w:sz w:val="32"/>
        </w:rPr>
        <w:t>授予中小企业合同金额0.74万元，占政府采购支出总额的100.00%，其中：授予小微企业合同金额0.74万元，占政府采购支出总额的100.00%。</w:t>
      </w:r>
    </w:p>
    <w:p w14:paraId="7B94F1EC">
      <w:pPr>
        <w:spacing w:line="640" w:lineRule="exact"/>
        <w:ind w:firstLine="640"/>
        <w:jc w:val="both"/>
        <w:outlineLvl w:val="3"/>
      </w:pPr>
      <w:r>
        <w:rPr>
          <w:rFonts w:ascii="楷体_GB2312" w:hAnsi="楷体_GB2312" w:eastAsia="楷体_GB2312"/>
          <w:b/>
          <w:sz w:val="32"/>
        </w:rPr>
        <w:t>（三）国有资产占用情况说明</w:t>
      </w:r>
    </w:p>
    <w:p w14:paraId="55863783">
      <w:pPr>
        <w:spacing w:line="580" w:lineRule="exact"/>
        <w:ind w:firstLine="640"/>
        <w:jc w:val="both"/>
      </w:pPr>
      <w:r>
        <w:rPr>
          <w:rFonts w:ascii="仿宋_GB2312" w:hAnsi="仿宋_GB2312" w:eastAsia="仿宋_GB2312"/>
          <w:b w:val="0"/>
          <w:sz w:val="32"/>
        </w:rPr>
        <w:t>截至2024年12月31日，房屋0.00平方米，价值0.00万元。车辆2辆，价值43.97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70983959">
      <w:pPr>
        <w:spacing w:line="640" w:lineRule="exact"/>
        <w:ind w:firstLine="640"/>
        <w:jc w:val="both"/>
        <w:outlineLvl w:val="2"/>
      </w:pPr>
      <w:r>
        <w:rPr>
          <w:rFonts w:ascii="黑体" w:hAnsi="黑体" w:eastAsia="黑体"/>
          <w:sz w:val="32"/>
        </w:rPr>
        <w:t>十一、预算绩效的情况说明</w:t>
      </w:r>
    </w:p>
    <w:p w14:paraId="0CCFB03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367.61万元，实际执行总额365.95万元；预算绩效评价项目1个，全年预算数50.00万元，全年执行数50.00万元。预算绩效管理取得的成效：一是提高了</w:t>
      </w:r>
      <w:r>
        <w:rPr>
          <w:rFonts w:hint="eastAsia" w:ascii="仿宋_GB2312" w:hAnsi="仿宋_GB2312" w:eastAsia="仿宋_GB2312"/>
          <w:b w:val="0"/>
          <w:sz w:val="32"/>
          <w:lang w:eastAsia="zh-CN"/>
        </w:rPr>
        <w:t>财政资金使用</w:t>
      </w:r>
      <w:r>
        <w:rPr>
          <w:rFonts w:ascii="仿宋_GB2312" w:hAnsi="仿宋_GB2312" w:eastAsia="仿宋_GB2312"/>
          <w:b w:val="0"/>
          <w:sz w:val="32"/>
        </w:rPr>
        <w:t>效益。通过对预算项目进行全面、系统的绩效评估，能够确保资金投向更具效益和价值的领域，减少了资源的浪费和闲置。二是增强了预算编制的科学性和合理性。基于绩效目标的设定和评估，使得预算安排更加精准，与实际需求和预期成果紧密结合。三是促进了政府部门的责任意识和效率提升。明确的绩效目标和责任要求，促使部门更加注重工作的质量和效果，积极采取措施提高工作效率。发现的问题及原因：问题：1.绩效目标设定不够明确，导致无法准确衡量项目成果。2.绩效数据收集不完整、不准确，影响评估的客观性和准确性。3.绩效评价指标体系不完善，不能全面反映项目的效益和效果。原因：1.对预算绩效管理的重视程度不够，缺乏相关意识和理念。2.预算编制和管理的科学性不足，前期调研和论证不充分。3.部门之间沟通协调不畅，信息共享不及时，导致数据收集困难。下一步改进措施：1.强化主体责任意识：加强培训与宣传，提高各部门对预算绩效管理的重视程度和认识水平，使其深入理解绩效管理的意义和作用。明确部门一把手在预算绩效管理中的领导责任，推动建立全员参与的绩效管理机制。2.健全管理体制和机制：完善协调机制，明确各部门在绩效管理中的职责，避免仅将工作落实到财务人员头上，确保相关人员清楚了解绩效指标的基础数据和信息资料。建立健全绩效激励约束机制，将绩效结果与预算安排、政策调整紧密挂钩，以充分发挥其在优化财政资源配置和提高政府效能方面的作用。3.优化项目事前绩效评估与项目评审的协调：合并项目事前绩效评估与项目预算评审流程，在项目预算评审环节同时开展事前绩效评估，并由第三方出具相应报告。具体附整体支出绩效自评表，项目支出绩效自评表和评价报告。</w:t>
      </w:r>
    </w:p>
    <w:p w14:paraId="448069A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FDAAA73">
        <w:tblPrEx>
          <w:tblCellMar>
            <w:top w:w="0" w:type="dxa"/>
            <w:left w:w="108" w:type="dxa"/>
            <w:bottom w:w="0" w:type="dxa"/>
            <w:right w:w="108" w:type="dxa"/>
          </w:tblCellMar>
        </w:tblPrEx>
        <w:tc>
          <w:tcPr>
            <w:tcW w:w="8840" w:type="dxa"/>
            <w:gridSpan w:val="8"/>
            <w:vAlign w:val="center"/>
          </w:tcPr>
          <w:p w14:paraId="22D96526">
            <w:pPr>
              <w:jc w:val="center"/>
            </w:pPr>
            <w:r>
              <w:rPr>
                <w:rFonts w:ascii="宋体" w:hAnsi="宋体" w:eastAsia="宋体"/>
                <w:sz w:val="24"/>
              </w:rPr>
              <w:t>单位整体支出绩效自评表</w:t>
            </w:r>
          </w:p>
        </w:tc>
      </w:tr>
      <w:tr w14:paraId="65073E4C">
        <w:tblPrEx>
          <w:tblCellMar>
            <w:top w:w="0" w:type="dxa"/>
            <w:left w:w="108" w:type="dxa"/>
            <w:bottom w:w="0" w:type="dxa"/>
            <w:right w:w="108" w:type="dxa"/>
          </w:tblCellMar>
        </w:tblPrEx>
        <w:tc>
          <w:tcPr>
            <w:tcW w:w="8840" w:type="dxa"/>
            <w:gridSpan w:val="8"/>
            <w:vAlign w:val="center"/>
          </w:tcPr>
          <w:p w14:paraId="0BC1B216">
            <w:pPr>
              <w:jc w:val="center"/>
            </w:pPr>
            <w:r>
              <w:rPr>
                <w:rFonts w:ascii="宋体" w:hAnsi="宋体" w:eastAsia="宋体"/>
                <w:sz w:val="24"/>
              </w:rPr>
              <w:t>（2024年度）</w:t>
            </w:r>
          </w:p>
        </w:tc>
      </w:tr>
      <w:tr w14:paraId="553E2EE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2CC88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A27AB7">
            <w:pPr>
              <w:jc w:val="center"/>
            </w:pPr>
            <w:r>
              <w:rPr>
                <w:rFonts w:ascii="宋体" w:hAnsi="宋体" w:eastAsia="宋体"/>
                <w:sz w:val="16"/>
              </w:rPr>
              <w:t>霍城县审计局</w:t>
            </w:r>
          </w:p>
        </w:tc>
      </w:tr>
      <w:tr w14:paraId="339520F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65419">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F2184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280FD1">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FF466C">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D32F7E">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901D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C4E85E">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623641">
            <w:pPr>
              <w:jc w:val="center"/>
            </w:pPr>
            <w:r>
              <w:rPr>
                <w:rFonts w:ascii="宋体" w:hAnsi="宋体" w:eastAsia="宋体"/>
                <w:sz w:val="16"/>
              </w:rPr>
              <w:t>得分</w:t>
            </w:r>
          </w:p>
        </w:tc>
      </w:tr>
      <w:tr w14:paraId="6B05EF3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CEC66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3A9D8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027DD5">
            <w:pPr>
              <w:jc w:val="center"/>
            </w:pPr>
            <w:r>
              <w:rPr>
                <w:rFonts w:ascii="宋体" w:hAnsi="宋体" w:eastAsia="宋体"/>
                <w:sz w:val="16"/>
              </w:rPr>
              <w:t>328.94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DC5830">
            <w:pPr>
              <w:jc w:val="center"/>
            </w:pPr>
            <w:r>
              <w:rPr>
                <w:rFonts w:ascii="宋体" w:hAnsi="宋体" w:eastAsia="宋体"/>
                <w:sz w:val="16"/>
              </w:rPr>
              <w:t>367.61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B2ECC3">
            <w:pPr>
              <w:jc w:val="center"/>
            </w:pPr>
            <w:r>
              <w:rPr>
                <w:rFonts w:ascii="宋体" w:hAnsi="宋体" w:eastAsia="宋体"/>
                <w:sz w:val="16"/>
              </w:rPr>
              <w:t>365.95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37939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FFD799">
            <w:pPr>
              <w:jc w:val="center"/>
            </w:pPr>
            <w:r>
              <w:rPr>
                <w:rFonts w:ascii="宋体" w:hAnsi="宋体" w:eastAsia="宋体"/>
                <w:sz w:val="16"/>
              </w:rPr>
              <w:t>99.55%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EDA427">
            <w:pPr>
              <w:jc w:val="center"/>
            </w:pPr>
            <w:r>
              <w:rPr>
                <w:rFonts w:ascii="宋体" w:hAnsi="宋体" w:eastAsia="宋体"/>
                <w:sz w:val="16"/>
              </w:rPr>
              <w:t>9.96</w:t>
            </w:r>
          </w:p>
        </w:tc>
      </w:tr>
      <w:tr w14:paraId="1B2981F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EF6E2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7307FE">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3F996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28DD5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1735B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698CA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2149C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FF17AC">
            <w:pPr>
              <w:jc w:val="center"/>
            </w:pPr>
            <w:r>
              <w:rPr>
                <w:rFonts w:ascii="宋体" w:hAnsi="宋体" w:eastAsia="宋体"/>
                <w:sz w:val="16"/>
              </w:rPr>
              <w:t>-</w:t>
            </w:r>
          </w:p>
        </w:tc>
      </w:tr>
      <w:tr w14:paraId="1CAC2F3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B86C1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DCBFA3">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95A30B">
            <w:pPr>
              <w:jc w:val="center"/>
            </w:pPr>
            <w:r>
              <w:rPr>
                <w:rFonts w:ascii="宋体" w:hAnsi="宋体" w:eastAsia="宋体"/>
                <w:sz w:val="16"/>
              </w:rPr>
              <w:t>328.94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F1B87">
            <w:pPr>
              <w:jc w:val="center"/>
            </w:pPr>
            <w:r>
              <w:rPr>
                <w:rFonts w:ascii="宋体" w:hAnsi="宋体" w:eastAsia="宋体"/>
                <w:sz w:val="16"/>
              </w:rPr>
              <w:t>353.61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994CAE">
            <w:pPr>
              <w:jc w:val="center"/>
            </w:pPr>
            <w:r>
              <w:rPr>
                <w:rFonts w:ascii="宋体" w:hAnsi="宋体" w:eastAsia="宋体"/>
                <w:sz w:val="16"/>
              </w:rPr>
              <w:t>353.61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2774A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385DD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92496">
            <w:pPr>
              <w:jc w:val="center"/>
            </w:pPr>
            <w:r>
              <w:rPr>
                <w:rFonts w:ascii="宋体" w:hAnsi="宋体" w:eastAsia="宋体"/>
                <w:sz w:val="16"/>
              </w:rPr>
              <w:t>-</w:t>
            </w:r>
          </w:p>
        </w:tc>
      </w:tr>
      <w:tr w14:paraId="525294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3E031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E5678C">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11DF6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70CAF">
            <w:pPr>
              <w:jc w:val="center"/>
            </w:pPr>
            <w:r>
              <w:rPr>
                <w:rFonts w:ascii="宋体" w:hAnsi="宋体" w:eastAsia="宋体"/>
                <w:sz w:val="16"/>
              </w:rPr>
              <w:t>14.00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AACE2">
            <w:pPr>
              <w:jc w:val="center"/>
            </w:pPr>
            <w:r>
              <w:rPr>
                <w:rFonts w:ascii="宋体" w:hAnsi="宋体" w:eastAsia="宋体"/>
                <w:sz w:val="16"/>
              </w:rPr>
              <w:t>12.34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E8068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4E440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E265AD">
            <w:pPr>
              <w:jc w:val="center"/>
            </w:pPr>
            <w:r>
              <w:rPr>
                <w:rFonts w:ascii="宋体" w:hAnsi="宋体" w:eastAsia="宋体"/>
                <w:sz w:val="16"/>
              </w:rPr>
              <w:t>-</w:t>
            </w:r>
          </w:p>
        </w:tc>
      </w:tr>
      <w:tr w14:paraId="4C3D93D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FBF0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1C65D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69DFE2">
            <w:pPr>
              <w:jc w:val="center"/>
            </w:pPr>
            <w:r>
              <w:rPr>
                <w:rFonts w:ascii="宋体" w:hAnsi="宋体" w:eastAsia="宋体"/>
                <w:sz w:val="16"/>
              </w:rPr>
              <w:t>实际完成情况</w:t>
            </w:r>
          </w:p>
        </w:tc>
      </w:tr>
      <w:tr w14:paraId="0C50711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E2C8D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B3C491">
            <w:pPr>
              <w:jc w:val="both"/>
            </w:pPr>
            <w:r>
              <w:rPr>
                <w:rFonts w:ascii="宋体" w:hAnsi="宋体" w:eastAsia="宋体"/>
                <w:sz w:val="16"/>
              </w:rPr>
              <w:t>坚持以习近平新时代中国特色社会主义思想为指导，全面贯彻落实党的二十大精神，认真落实习近平总书记关于审计工作的重要论述和重要指示批示精神，根据自治州党委审计委员会办公室和自治州审计局2024年审计项目计划要求，围绕霍城县“十四五”规划和县委、县政府工作的部署要求，完整、准确、全面贯彻新发展理念，立足“审计监督首先是经济监督”的定位，聚焦主责主业，做好常态化“经济体检”工作，既揭示问题“查病”，又促进“治已病、防未病”预警防范风险，更好地发挥审计在党和国家监督体系中的重要作用，</w:t>
            </w:r>
            <w:r>
              <w:rPr>
                <w:rFonts w:hint="eastAsia" w:ascii="宋体" w:hAnsi="宋体"/>
                <w:sz w:val="16"/>
                <w:lang w:eastAsia="zh-CN"/>
              </w:rPr>
              <w:t>推进国家治理体系和治理能力现代化</w:t>
            </w:r>
            <w:r>
              <w:rPr>
                <w:rFonts w:ascii="宋体" w:hAnsi="宋体" w:eastAsia="宋体"/>
                <w:sz w:val="16"/>
              </w:rPr>
              <w:t>。</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56CB14">
            <w:pPr>
              <w:jc w:val="both"/>
            </w:pPr>
            <w:r>
              <w:rPr>
                <w:rFonts w:ascii="宋体" w:hAnsi="宋体" w:eastAsia="宋体"/>
                <w:sz w:val="16"/>
              </w:rPr>
              <w:t>2024年霍城县审计局开展5个方面28个项目，截至目前，已完成审计项目20个，待出具报告4个，正在组织实施审计项目2个。审计查出问题163个，向被审单位提出审计建议54条均被采纳向有关部门</w:t>
            </w:r>
            <w:r>
              <w:rPr>
                <w:rFonts w:hint="eastAsia" w:ascii="宋体" w:hAnsi="宋体"/>
                <w:sz w:val="16"/>
                <w:lang w:eastAsia="zh-CN"/>
              </w:rPr>
              <w:t>移交问题线索</w:t>
            </w:r>
            <w:r>
              <w:rPr>
                <w:rFonts w:ascii="宋体" w:hAnsi="宋体" w:eastAsia="宋体"/>
                <w:sz w:val="16"/>
              </w:rPr>
              <w:t>11个，已办结10个。已整改问题131个，正在整改问题32个，整改率为80.37%。聚焦主责主业，预警防范风险，更好地发挥审计在党和国家监督体系中的重要作用。</w:t>
            </w:r>
          </w:p>
        </w:tc>
      </w:tr>
      <w:tr w14:paraId="5C76662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76D1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C0232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107D8C">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C70D13">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23703">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BABA9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AC9470">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3F665F">
            <w:pPr>
              <w:jc w:val="center"/>
            </w:pPr>
            <w:r>
              <w:rPr>
                <w:rFonts w:ascii="宋体" w:hAnsi="宋体" w:eastAsia="宋体"/>
                <w:sz w:val="16"/>
              </w:rPr>
              <w:t>得分</w:t>
            </w:r>
          </w:p>
        </w:tc>
      </w:tr>
      <w:tr w14:paraId="14D6916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A5E98">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7E87D6">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F68FCA">
            <w:pPr>
              <w:jc w:val="center"/>
            </w:pPr>
            <w:r>
              <w:rPr>
                <w:rFonts w:ascii="宋体" w:hAnsi="宋体" w:eastAsia="宋体"/>
                <w:sz w:val="16"/>
              </w:rPr>
              <w:t>审计项目数量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15FFE">
            <w:pPr>
              <w:jc w:val="center"/>
            </w:pPr>
            <w:r>
              <w:rPr>
                <w:rFonts w:ascii="宋体" w:hAnsi="宋体" w:eastAsia="宋体"/>
                <w:sz w:val="16"/>
              </w:rPr>
              <w:t>&gt;=25个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675B16">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02128C">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8B7E3A">
            <w:pPr>
              <w:jc w:val="center"/>
            </w:pPr>
            <w:r>
              <w:rPr>
                <w:rFonts w:ascii="宋体" w:hAnsi="宋体" w:eastAsia="宋体"/>
                <w:sz w:val="16"/>
              </w:rPr>
              <w:t>28个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D77581">
            <w:pPr>
              <w:jc w:val="center"/>
            </w:pPr>
            <w:r>
              <w:rPr>
                <w:rFonts w:ascii="宋体" w:hAnsi="宋体" w:eastAsia="宋体"/>
                <w:sz w:val="16"/>
              </w:rPr>
              <w:t>30</w:t>
            </w:r>
          </w:p>
        </w:tc>
      </w:tr>
      <w:tr w14:paraId="2369A3C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27F8A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76986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23543B">
            <w:pPr>
              <w:jc w:val="center"/>
            </w:pPr>
            <w:r>
              <w:rPr>
                <w:rFonts w:ascii="宋体" w:hAnsi="宋体" w:eastAsia="宋体"/>
                <w:sz w:val="16"/>
              </w:rPr>
              <w:t>被审计单位对审计建议采纳数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38E3B5">
            <w:pPr>
              <w:jc w:val="center"/>
            </w:pPr>
            <w:r>
              <w:rPr>
                <w:rFonts w:ascii="宋体" w:hAnsi="宋体" w:eastAsia="宋体"/>
                <w:sz w:val="16"/>
              </w:rPr>
              <w:t>&gt;=50个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088523">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7AD731">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26FA62">
            <w:pPr>
              <w:jc w:val="center"/>
            </w:pPr>
            <w:r>
              <w:rPr>
                <w:rFonts w:ascii="宋体" w:hAnsi="宋体" w:eastAsia="宋体"/>
                <w:sz w:val="16"/>
              </w:rPr>
              <w:t>54个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D6A94A">
            <w:pPr>
              <w:jc w:val="center"/>
            </w:pPr>
            <w:r>
              <w:rPr>
                <w:rFonts w:ascii="宋体" w:hAnsi="宋体" w:eastAsia="宋体"/>
                <w:sz w:val="16"/>
              </w:rPr>
              <w:t>30</w:t>
            </w:r>
          </w:p>
        </w:tc>
      </w:tr>
      <w:tr w14:paraId="48B5B93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9A0E03">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CD0E3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3065FC">
            <w:pPr>
              <w:jc w:val="center"/>
            </w:pPr>
            <w:r>
              <w:rPr>
                <w:rFonts w:ascii="宋体" w:hAnsi="宋体" w:eastAsia="宋体"/>
                <w:sz w:val="16"/>
              </w:rPr>
              <w:t>审计问题整改率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AA930A">
            <w:pPr>
              <w:jc w:val="center"/>
            </w:pPr>
            <w:r>
              <w:rPr>
                <w:rFonts w:ascii="宋体" w:hAnsi="宋体" w:eastAsia="宋体"/>
                <w:sz w:val="16"/>
              </w:rPr>
              <w:t>&gt;=80%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6AB5D1">
            <w:pPr>
              <w:jc w:val="center"/>
            </w:pPr>
            <w:r>
              <w:rPr>
                <w:rFonts w:ascii="宋体" w:hAnsi="宋体" w:eastAsia="宋体"/>
                <w:sz w:val="16"/>
              </w:rPr>
              <w:t>审计问题整改报告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5F2045">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F4A4D3">
            <w:pPr>
              <w:jc w:val="center"/>
            </w:pPr>
            <w:r>
              <w:rPr>
                <w:rFonts w:ascii="宋体" w:hAnsi="宋体" w:eastAsia="宋体"/>
                <w:sz w:val="16"/>
              </w:rPr>
              <w:t>80.37%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C0A742">
            <w:pPr>
              <w:jc w:val="center"/>
            </w:pPr>
            <w:r>
              <w:rPr>
                <w:rFonts w:ascii="宋体" w:hAnsi="宋体" w:eastAsia="宋体"/>
                <w:sz w:val="16"/>
              </w:rPr>
              <w:t>30</w:t>
            </w:r>
          </w:p>
        </w:tc>
      </w:tr>
    </w:tbl>
    <w:p w14:paraId="638A967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04400FEB">
        <w:tblPrEx>
          <w:tblCellMar>
            <w:top w:w="0" w:type="dxa"/>
            <w:left w:w="108" w:type="dxa"/>
            <w:bottom w:w="0" w:type="dxa"/>
            <w:right w:w="108" w:type="dxa"/>
          </w:tblCellMar>
        </w:tblPrEx>
        <w:tc>
          <w:tcPr>
            <w:tcW w:w="8848" w:type="dxa"/>
            <w:gridSpan w:val="14"/>
            <w:vAlign w:val="center"/>
          </w:tcPr>
          <w:p w14:paraId="3779CD82">
            <w:pPr>
              <w:jc w:val="center"/>
            </w:pPr>
            <w:r>
              <w:rPr>
                <w:rFonts w:ascii="宋体" w:hAnsi="宋体" w:eastAsia="宋体"/>
                <w:sz w:val="24"/>
              </w:rPr>
              <w:t>项目支出绩效自评表</w:t>
            </w:r>
          </w:p>
        </w:tc>
      </w:tr>
      <w:tr w14:paraId="5DC9D1AA">
        <w:tblPrEx>
          <w:tblCellMar>
            <w:top w:w="0" w:type="dxa"/>
            <w:left w:w="108" w:type="dxa"/>
            <w:bottom w:w="0" w:type="dxa"/>
            <w:right w:w="108" w:type="dxa"/>
          </w:tblCellMar>
        </w:tblPrEx>
        <w:tc>
          <w:tcPr>
            <w:tcW w:w="8848" w:type="dxa"/>
            <w:gridSpan w:val="14"/>
            <w:vAlign w:val="center"/>
          </w:tcPr>
          <w:p w14:paraId="3B75FBEC">
            <w:pPr>
              <w:jc w:val="center"/>
            </w:pPr>
            <w:r>
              <w:rPr>
                <w:rFonts w:ascii="宋体" w:hAnsi="宋体" w:eastAsia="宋体"/>
                <w:sz w:val="24"/>
              </w:rPr>
              <w:t>(2024年度)</w:t>
            </w:r>
          </w:p>
        </w:tc>
      </w:tr>
      <w:tr w14:paraId="417A55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34B8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4CCA81">
            <w:pPr>
              <w:jc w:val="center"/>
            </w:pPr>
            <w:r>
              <w:rPr>
                <w:rFonts w:ascii="宋体" w:hAnsi="宋体" w:eastAsia="宋体"/>
                <w:sz w:val="16"/>
              </w:rPr>
              <w:t>审计委托服务费</w:t>
            </w:r>
          </w:p>
        </w:tc>
      </w:tr>
      <w:tr w14:paraId="248E6D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97D2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3BCE28">
            <w:pPr>
              <w:jc w:val="center"/>
            </w:pPr>
            <w:r>
              <w:rPr>
                <w:rFonts w:ascii="宋体" w:hAnsi="宋体" w:eastAsia="宋体"/>
                <w:sz w:val="16"/>
              </w:rPr>
              <w:t>霍城县审计局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146B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ECD437">
            <w:pPr>
              <w:jc w:val="center"/>
            </w:pPr>
            <w:r>
              <w:rPr>
                <w:rFonts w:ascii="宋体" w:hAnsi="宋体" w:eastAsia="宋体"/>
                <w:sz w:val="16"/>
              </w:rPr>
              <w:t>霍城县审计局</w:t>
            </w:r>
          </w:p>
        </w:tc>
      </w:tr>
      <w:tr w14:paraId="689AAF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D608E5">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AD5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481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0C0A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0E2B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1094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BD9B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DC730">
            <w:pPr>
              <w:jc w:val="center"/>
            </w:pPr>
            <w:r>
              <w:rPr>
                <w:rFonts w:ascii="宋体" w:hAnsi="宋体" w:eastAsia="宋体"/>
                <w:sz w:val="16"/>
              </w:rPr>
              <w:t>得分</w:t>
            </w:r>
          </w:p>
        </w:tc>
      </w:tr>
      <w:tr w14:paraId="62D428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BB0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8324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B2109">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C62A9">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17AC4">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7CB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B497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83C61">
            <w:pPr>
              <w:jc w:val="center"/>
            </w:pPr>
            <w:r>
              <w:rPr>
                <w:rFonts w:ascii="宋体" w:hAnsi="宋体" w:eastAsia="宋体"/>
                <w:sz w:val="16"/>
              </w:rPr>
              <w:t>10.00</w:t>
            </w:r>
          </w:p>
        </w:tc>
      </w:tr>
      <w:tr w14:paraId="62D03B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A40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6D19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DC4CA">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C4854">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DD9D9">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37D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9A0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DF64A">
            <w:pPr>
              <w:jc w:val="center"/>
            </w:pPr>
            <w:r>
              <w:rPr>
                <w:rFonts w:ascii="宋体" w:hAnsi="宋体" w:eastAsia="宋体"/>
                <w:sz w:val="16"/>
              </w:rPr>
              <w:t>—</w:t>
            </w:r>
          </w:p>
        </w:tc>
      </w:tr>
      <w:tr w14:paraId="7A0764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A9F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9012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495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279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F44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A93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E79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5055C">
            <w:pPr>
              <w:jc w:val="center"/>
            </w:pPr>
            <w:r>
              <w:rPr>
                <w:rFonts w:ascii="宋体" w:hAnsi="宋体" w:eastAsia="宋体"/>
                <w:sz w:val="16"/>
              </w:rPr>
              <w:t>—</w:t>
            </w:r>
          </w:p>
        </w:tc>
      </w:tr>
      <w:tr w14:paraId="0266F8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409D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83054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BFAA43">
            <w:pPr>
              <w:jc w:val="center"/>
            </w:pPr>
            <w:r>
              <w:rPr>
                <w:rFonts w:ascii="宋体" w:hAnsi="宋体" w:eastAsia="宋体"/>
                <w:sz w:val="16"/>
              </w:rPr>
              <w:t>实际完成情况</w:t>
            </w:r>
          </w:p>
        </w:tc>
      </w:tr>
      <w:tr w14:paraId="36FAA0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3DF4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C40167">
            <w:pPr>
              <w:jc w:val="both"/>
            </w:pPr>
            <w:r>
              <w:rPr>
                <w:rFonts w:ascii="宋体" w:hAnsi="宋体" w:eastAsia="宋体"/>
                <w:sz w:val="16"/>
              </w:rPr>
              <w:t>根据霍城县审计委员会工作要求，为了按期完成霍城县政府固定资产投资项目审计任务，依法全面履行审计监督职责，加强项目管理，防范国有资产流失，提升财政资金使用效益，克服审计力量有限的困难，需要向社会购买审计服务，委托有资质的第三方审计中介公司对霍城县政府固定资产投资项目进行审计，对建设项目实行监督，防止“跑、冒、滴、漏”，提高政府投资固定资产项目资金使用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FA60B8">
            <w:pPr>
              <w:jc w:val="both"/>
            </w:pPr>
            <w:r>
              <w:rPr>
                <w:rFonts w:ascii="宋体" w:hAnsi="宋体" w:eastAsia="宋体"/>
                <w:sz w:val="16"/>
              </w:rPr>
              <w:t>根据霍城县审计委员会工作要求，围绕党委、政府工作中心立项，对立项的审计项目，做好审前调查，完成审计项目15个，充分掌握相关情况，提出明确的审计目标，对委托审计项目严把关，明确审计方向，依法审计，及时完成审计任务。</w:t>
            </w:r>
          </w:p>
        </w:tc>
      </w:tr>
      <w:tr w14:paraId="0748E1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8BD7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6104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BBD8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0B37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0209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4FB75">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5C191">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43C6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569C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B4F7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70D6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0FBD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F592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7048F">
            <w:pPr>
              <w:jc w:val="center"/>
            </w:pPr>
            <w:r>
              <w:rPr>
                <w:rFonts w:ascii="宋体" w:hAnsi="宋体" w:eastAsia="宋体"/>
                <w:sz w:val="16"/>
              </w:rPr>
              <w:t>偏差原因分析及改进措施</w:t>
            </w:r>
          </w:p>
        </w:tc>
      </w:tr>
      <w:tr w14:paraId="376279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9223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C4E51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8A1F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A03E0">
            <w:pPr>
              <w:jc w:val="center"/>
            </w:pPr>
            <w:r>
              <w:rPr>
                <w:rFonts w:ascii="宋体" w:hAnsi="宋体" w:eastAsia="宋体"/>
                <w:sz w:val="16"/>
              </w:rPr>
              <w:t>审计项目数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A7449">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BB200">
            <w:pPr>
              <w:jc w:val="center"/>
            </w:pPr>
            <w:r>
              <w:rPr>
                <w:rFonts w:ascii="宋体" w:hAnsi="宋体" w:eastAsia="宋体"/>
                <w:sz w:val="16"/>
              </w:rPr>
              <w:t>&gt;=15个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B5355">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3B0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158C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163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C2F83">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37A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7A2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54230">
            <w:pPr>
              <w:jc w:val="center"/>
            </w:pPr>
          </w:p>
        </w:tc>
      </w:tr>
      <w:tr w14:paraId="7E6E8E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82C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DAC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C320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D8FF8">
            <w:pPr>
              <w:jc w:val="center"/>
            </w:pPr>
            <w:r>
              <w:rPr>
                <w:rFonts w:ascii="宋体" w:hAnsi="宋体" w:eastAsia="宋体"/>
                <w:sz w:val="16"/>
              </w:rPr>
              <w:t>审计报告完成率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BBAA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93F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B46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CEA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9B100">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D0A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670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C0F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60E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4A2E1">
            <w:pPr>
              <w:jc w:val="center"/>
            </w:pPr>
          </w:p>
        </w:tc>
      </w:tr>
      <w:tr w14:paraId="7038EF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1CA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1A4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6F55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D9FC3">
            <w:pPr>
              <w:jc w:val="center"/>
            </w:pPr>
            <w:r>
              <w:rPr>
                <w:rFonts w:ascii="宋体" w:hAnsi="宋体" w:eastAsia="宋体"/>
                <w:sz w:val="16"/>
              </w:rPr>
              <w:t>审计任务完成及时率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831D9">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18C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6B6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EE6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24C38">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CAB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8BF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80D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759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8BAC7">
            <w:pPr>
              <w:jc w:val="center"/>
            </w:pPr>
          </w:p>
        </w:tc>
      </w:tr>
      <w:tr w14:paraId="386058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7960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828EB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A070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CD940">
            <w:pPr>
              <w:jc w:val="center"/>
            </w:pPr>
            <w:r>
              <w:rPr>
                <w:rFonts w:ascii="宋体" w:hAnsi="宋体" w:eastAsia="宋体"/>
                <w:sz w:val="16"/>
              </w:rPr>
              <w:t>审计投资项目审计委托服务费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352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F8D8D">
            <w:pPr>
              <w:jc w:val="center"/>
            </w:pPr>
            <w:r>
              <w:rPr>
                <w:rFonts w:ascii="宋体" w:hAnsi="宋体" w:eastAsia="宋体"/>
                <w:sz w:val="16"/>
              </w:rPr>
              <w:t>=44万元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21728">
            <w:pPr>
              <w:jc w:val="center"/>
            </w:pPr>
            <w:r>
              <w:rPr>
                <w:rFonts w:ascii="宋体" w:hAnsi="宋体" w:eastAsia="宋体"/>
                <w:sz w:val="16"/>
              </w:rPr>
              <w:t>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DC5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790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E82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0E8D0">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835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43C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3F83">
            <w:pPr>
              <w:jc w:val="center"/>
            </w:pPr>
          </w:p>
        </w:tc>
      </w:tr>
      <w:tr w14:paraId="62A3CF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A6B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70A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42C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F51F2">
            <w:pPr>
              <w:jc w:val="center"/>
            </w:pPr>
            <w:r>
              <w:rPr>
                <w:rFonts w:ascii="宋体" w:hAnsi="宋体" w:eastAsia="宋体"/>
                <w:sz w:val="16"/>
              </w:rPr>
              <w:t>中介费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6E1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FDFE1">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44595">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60B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DC0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097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9E13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408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0B1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D6368">
            <w:pPr>
              <w:jc w:val="center"/>
            </w:pPr>
          </w:p>
        </w:tc>
      </w:tr>
      <w:tr w14:paraId="59B616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AFA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25FE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98F3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43D49">
            <w:pPr>
              <w:jc w:val="center"/>
            </w:pPr>
            <w:r>
              <w:rPr>
                <w:rFonts w:ascii="宋体" w:hAnsi="宋体" w:eastAsia="宋体"/>
                <w:sz w:val="16"/>
              </w:rPr>
              <w:t>促进廉洁政府建设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D298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61900">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32C24">
            <w:pPr>
              <w:jc w:val="center"/>
            </w:pPr>
            <w:r>
              <w:rPr>
                <w:rFonts w:ascii="宋体" w:hAnsi="宋体" w:eastAsia="宋体"/>
                <w:sz w:val="16"/>
              </w:rPr>
              <w:t>有所促进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035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D82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DE5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7563F">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E344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387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256EF">
            <w:pPr>
              <w:jc w:val="center"/>
            </w:pPr>
          </w:p>
        </w:tc>
      </w:tr>
      <w:tr w14:paraId="2568AA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55B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679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0B1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BF9EB">
            <w:pPr>
              <w:jc w:val="center"/>
            </w:pPr>
            <w:r>
              <w:rPr>
                <w:rFonts w:ascii="宋体" w:hAnsi="宋体" w:eastAsia="宋体"/>
                <w:sz w:val="16"/>
              </w:rPr>
              <w:t>被审计单位满意度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A40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12D1A">
            <w:pPr>
              <w:jc w:val="center"/>
            </w:pPr>
            <w:r>
              <w:rPr>
                <w:rFonts w:ascii="宋体" w:hAnsi="宋体" w:eastAsia="宋体"/>
                <w:sz w:val="16"/>
              </w:rPr>
              <w:t>&gt;=92%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12E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701D3">
            <w:pPr>
              <w:jc w:val="center"/>
            </w:pPr>
            <w:r>
              <w:rPr>
                <w:rFonts w:ascii="宋体" w:hAnsi="宋体" w:eastAsia="宋体"/>
                <w:sz w:val="16"/>
              </w:rPr>
              <w:t>108.69%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B9B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FFE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08AE3">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BEF2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513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FA235">
            <w:pPr>
              <w:jc w:val="center"/>
            </w:pPr>
            <w:r>
              <w:rPr>
                <w:rFonts w:ascii="宋体" w:hAnsi="宋体" w:eastAsia="宋体"/>
                <w:sz w:val="16"/>
              </w:rPr>
              <w:t>项目顺利完成，被审计单位反馈满意度较高。</w:t>
            </w:r>
          </w:p>
        </w:tc>
      </w:tr>
      <w:tr w14:paraId="724CBDE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4DD69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49A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19BD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A964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FFDF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68304">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F83C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7921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7FB1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118E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9B88CD"/>
        </w:tc>
      </w:tr>
    </w:tbl>
    <w:p w14:paraId="708C74CB">
      <w:r>
        <w:br w:type="page"/>
      </w:r>
    </w:p>
    <w:p w14:paraId="56938A6A">
      <w:pPr>
        <w:spacing w:line="640" w:lineRule="exact"/>
        <w:ind w:firstLine="640"/>
        <w:jc w:val="both"/>
        <w:outlineLvl w:val="2"/>
      </w:pPr>
      <w:r>
        <w:rPr>
          <w:rFonts w:ascii="黑体" w:hAnsi="黑体" w:eastAsia="黑体"/>
          <w:sz w:val="32"/>
        </w:rPr>
        <w:t>十二、其他需说明的事项</w:t>
      </w:r>
    </w:p>
    <w:p w14:paraId="35D4CD1A">
      <w:pPr>
        <w:spacing w:line="580" w:lineRule="exact"/>
        <w:ind w:firstLine="640"/>
        <w:jc w:val="both"/>
      </w:pPr>
      <w:r>
        <w:rPr>
          <w:rFonts w:ascii="仿宋_GB2312" w:hAnsi="仿宋_GB2312" w:eastAsia="仿宋_GB2312"/>
          <w:b w:val="0"/>
          <w:sz w:val="32"/>
        </w:rPr>
        <w:t>本单位无其他需说明的事项。</w:t>
      </w:r>
    </w:p>
    <w:p w14:paraId="4A96E6CC">
      <w:r>
        <w:br w:type="page"/>
      </w:r>
    </w:p>
    <w:p w14:paraId="2A60EE65">
      <w:pPr>
        <w:spacing w:line="240" w:lineRule="auto"/>
        <w:jc w:val="center"/>
        <w:outlineLvl w:val="1"/>
      </w:pPr>
      <w:r>
        <w:rPr>
          <w:rFonts w:ascii="黑体" w:hAnsi="黑体" w:eastAsia="黑体"/>
          <w:sz w:val="32"/>
        </w:rPr>
        <w:t>第三部分 专业名词解释</w:t>
      </w:r>
    </w:p>
    <w:p w14:paraId="7BE5CFF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62B2DE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3C7B2F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519F8F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C6C83E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90798C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D41453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1F50A7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4DA2C3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902544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21A52B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BCEBC3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3918C8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7775AF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ECD0F9C">
      <w:r>
        <w:br w:type="page"/>
      </w:r>
    </w:p>
    <w:p w14:paraId="1B3DDA43">
      <w:pPr>
        <w:spacing w:line="240" w:lineRule="auto"/>
        <w:jc w:val="center"/>
        <w:outlineLvl w:val="1"/>
      </w:pPr>
      <w:r>
        <w:rPr>
          <w:rFonts w:ascii="黑体" w:hAnsi="黑体" w:eastAsia="黑体"/>
          <w:sz w:val="32"/>
        </w:rPr>
        <w:t>第四部分 部门决算报表（见附表）</w:t>
      </w:r>
    </w:p>
    <w:p w14:paraId="1879775C">
      <w:pPr>
        <w:spacing w:line="240" w:lineRule="auto"/>
        <w:ind w:firstLine="640"/>
        <w:jc w:val="both"/>
      </w:pPr>
      <w:r>
        <w:rPr>
          <w:rFonts w:ascii="仿宋_GB2312" w:hAnsi="仿宋_GB2312" w:eastAsia="仿宋_GB2312"/>
          <w:b w:val="0"/>
          <w:sz w:val="32"/>
        </w:rPr>
        <w:t>一、《收入支出决算总表》</w:t>
      </w:r>
    </w:p>
    <w:p w14:paraId="7254C265">
      <w:pPr>
        <w:spacing w:line="240" w:lineRule="auto"/>
        <w:ind w:firstLine="640"/>
        <w:jc w:val="both"/>
      </w:pPr>
      <w:r>
        <w:rPr>
          <w:rFonts w:ascii="仿宋_GB2312" w:hAnsi="仿宋_GB2312" w:eastAsia="仿宋_GB2312"/>
          <w:b w:val="0"/>
          <w:sz w:val="32"/>
        </w:rPr>
        <w:t>二、《收入决算表》</w:t>
      </w:r>
    </w:p>
    <w:p w14:paraId="31A32E13">
      <w:pPr>
        <w:spacing w:line="240" w:lineRule="auto"/>
        <w:ind w:firstLine="640"/>
        <w:jc w:val="both"/>
      </w:pPr>
      <w:r>
        <w:rPr>
          <w:rFonts w:ascii="仿宋_GB2312" w:hAnsi="仿宋_GB2312" w:eastAsia="仿宋_GB2312"/>
          <w:b w:val="0"/>
          <w:sz w:val="32"/>
        </w:rPr>
        <w:t>三、《支出决算表》</w:t>
      </w:r>
    </w:p>
    <w:p w14:paraId="0C1E8BA9">
      <w:pPr>
        <w:spacing w:line="240" w:lineRule="auto"/>
        <w:ind w:firstLine="640"/>
        <w:jc w:val="both"/>
      </w:pPr>
      <w:r>
        <w:rPr>
          <w:rFonts w:ascii="仿宋_GB2312" w:hAnsi="仿宋_GB2312" w:eastAsia="仿宋_GB2312"/>
          <w:b w:val="0"/>
          <w:sz w:val="32"/>
        </w:rPr>
        <w:t>四、《财政拨款收入支出决算总表》</w:t>
      </w:r>
    </w:p>
    <w:p w14:paraId="6786E43A">
      <w:pPr>
        <w:spacing w:line="240" w:lineRule="auto"/>
        <w:ind w:firstLine="640"/>
        <w:jc w:val="both"/>
      </w:pPr>
      <w:r>
        <w:rPr>
          <w:rFonts w:ascii="仿宋_GB2312" w:hAnsi="仿宋_GB2312" w:eastAsia="仿宋_GB2312"/>
          <w:b w:val="0"/>
          <w:sz w:val="32"/>
        </w:rPr>
        <w:t>五、《一般公共预算财政拨款支出决算表》</w:t>
      </w:r>
    </w:p>
    <w:p w14:paraId="07051986">
      <w:pPr>
        <w:spacing w:line="240" w:lineRule="auto"/>
        <w:ind w:firstLine="640"/>
        <w:jc w:val="both"/>
      </w:pPr>
      <w:r>
        <w:rPr>
          <w:rFonts w:ascii="仿宋_GB2312" w:hAnsi="仿宋_GB2312" w:eastAsia="仿宋_GB2312"/>
          <w:b w:val="0"/>
          <w:sz w:val="32"/>
        </w:rPr>
        <w:t>六、《一般公共预算财政拨款基本支出决算表》</w:t>
      </w:r>
    </w:p>
    <w:p w14:paraId="3BB2D1FD">
      <w:pPr>
        <w:spacing w:line="240" w:lineRule="auto"/>
        <w:ind w:firstLine="640"/>
        <w:jc w:val="both"/>
      </w:pPr>
      <w:r>
        <w:rPr>
          <w:rFonts w:ascii="仿宋_GB2312" w:hAnsi="仿宋_GB2312" w:eastAsia="仿宋_GB2312"/>
          <w:b w:val="0"/>
          <w:sz w:val="32"/>
        </w:rPr>
        <w:t>七、《政府性基金预算财政拨款收入支出决算表》</w:t>
      </w:r>
    </w:p>
    <w:p w14:paraId="16F7E1C4">
      <w:pPr>
        <w:spacing w:line="240" w:lineRule="auto"/>
        <w:ind w:firstLine="640"/>
        <w:jc w:val="both"/>
      </w:pPr>
      <w:r>
        <w:rPr>
          <w:rFonts w:ascii="仿宋_GB2312" w:hAnsi="仿宋_GB2312" w:eastAsia="仿宋_GB2312"/>
          <w:b w:val="0"/>
          <w:sz w:val="32"/>
        </w:rPr>
        <w:t>八、《国有资本经营预算财政拨款收入支出决算表》</w:t>
      </w:r>
    </w:p>
    <w:p w14:paraId="4B72D642">
      <w:pPr>
        <w:spacing w:line="240" w:lineRule="auto"/>
        <w:ind w:firstLine="640"/>
        <w:jc w:val="both"/>
      </w:pPr>
      <w:r>
        <w:rPr>
          <w:rFonts w:ascii="仿宋_GB2312" w:hAnsi="仿宋_GB2312" w:eastAsia="仿宋_GB2312"/>
          <w:b w:val="0"/>
          <w:sz w:val="32"/>
        </w:rPr>
        <w:t>九、《财政拨款“三公”经费支出决算表》</w:t>
      </w:r>
    </w:p>
    <w:p w14:paraId="4D88EC02">
      <w:pPr>
        <w:spacing w:line="240" w:lineRule="auto"/>
        <w:ind w:firstLine="640"/>
        <w:jc w:val="both"/>
      </w:pPr>
    </w:p>
    <w:p w14:paraId="227D47C3">
      <w:pPr>
        <w:spacing w:line="240" w:lineRule="auto"/>
        <w:ind w:firstLine="640"/>
        <w:jc w:val="both"/>
      </w:pPr>
    </w:p>
    <w:p w14:paraId="7729FB6D">
      <w:pPr>
        <w:spacing w:line="240" w:lineRule="auto"/>
        <w:ind w:firstLine="640"/>
        <w:jc w:val="both"/>
      </w:pPr>
    </w:p>
    <w:p w14:paraId="16B4976F">
      <w:pPr>
        <w:spacing w:line="240" w:lineRule="auto"/>
        <w:ind w:firstLine="640"/>
        <w:jc w:val="both"/>
      </w:pPr>
    </w:p>
    <w:p w14:paraId="14AB38D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9369579-E372-4746-9959-F22DDBF9943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2957A45-7F29-434B-8B27-EDFE80F1EF69}"/>
  </w:font>
  <w:font w:name="仿宋_GB2312">
    <w:panose1 w:val="02010609030101010101"/>
    <w:charset w:val="86"/>
    <w:family w:val="modern"/>
    <w:pitch w:val="default"/>
    <w:sig w:usb0="00000001" w:usb1="080E0000" w:usb2="00000000" w:usb3="00000000" w:csb0="00040000" w:csb1="00000000"/>
    <w:embedRegular r:id="rId3" w:fontKey="{78811028-BB03-4E82-8A1E-F95EE4732C84}"/>
  </w:font>
  <w:font w:name="楷体_GB2312">
    <w:panose1 w:val="02010609030101010101"/>
    <w:charset w:val="86"/>
    <w:family w:val="auto"/>
    <w:pitch w:val="default"/>
    <w:sig w:usb0="00000001" w:usb1="080E0000" w:usb2="00000000" w:usb3="00000000" w:csb0="00040000" w:csb1="00000000"/>
    <w:embedRegular r:id="rId4" w:fontKey="{D2D88F6E-EBCB-455D-8434-0D4741339F0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4D66CD2"/>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A323BC"/>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6468</Words>
  <Characters>7341</Characters>
  <Lines>0</Lines>
  <Paragraphs>0</Paragraphs>
  <TotalTime>28</TotalTime>
  <ScaleCrop>false</ScaleCrop>
  <LinksUpToDate>false</LinksUpToDate>
  <CharactersWithSpaces>7349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2025-09-25T04:13:57Z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