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ACEE6E0">
      <w:r>
        <w:br w:type="page"/>
      </w:r>
    </w:p>
    <w:p w14:paraId="505A1B35">
      <w:pPr>
        <w:spacing w:line="640" w:lineRule="exact"/>
        <w:jc w:val="center"/>
        <w:outlineLvl w:val="1"/>
      </w:pPr>
      <w:r>
        <w:rPr>
          <w:rFonts w:ascii="黑体" w:hAnsi="黑体" w:eastAsia="黑体"/>
          <w:sz w:val="32"/>
        </w:rPr>
        <w:t>第一部分 单位概况</w:t>
      </w:r>
    </w:p>
    <w:p w14:paraId="5959FBDD">
      <w:pPr>
        <w:spacing w:line="640" w:lineRule="exact"/>
        <w:ind w:firstLine="640"/>
        <w:jc w:val="both"/>
        <w:outlineLvl w:val="2"/>
      </w:pPr>
      <w:r>
        <w:rPr>
          <w:rFonts w:ascii="黑体" w:hAnsi="黑体" w:eastAsia="黑体"/>
          <w:sz w:val="32"/>
        </w:rPr>
        <w:t>一、主要职能</w:t>
      </w:r>
    </w:p>
    <w:p w14:paraId="79E5D6E3">
      <w:pPr>
        <w:spacing w:line="580" w:lineRule="exact"/>
        <w:ind w:firstLine="640"/>
        <w:jc w:val="both"/>
      </w:pPr>
      <w:r>
        <w:rPr>
          <w:rFonts w:ascii="仿宋_GB2312" w:hAnsi="仿宋_GB2312" w:eastAsia="仿宋_GB2312"/>
          <w:sz w:val="32"/>
        </w:rPr>
        <w:t>为全县妇女儿童提供围产保健、妇女保健、儿童保健等妇幼儿童常见病防治、助产技术服务等，承担技术服务、优生指导、避孕药具发放、信息咨询、随访服务、生殖保健、人员培训等任务</w:t>
      </w:r>
      <w:r>
        <w:rPr>
          <w:rFonts w:hint="eastAsia" w:ascii="仿宋_GB2312" w:hAnsi="仿宋_GB2312" w:eastAsia="仿宋_GB2312"/>
          <w:sz w:val="32"/>
          <w:lang w:eastAsia="zh-CN"/>
        </w:rPr>
        <w:t>；</w:t>
      </w:r>
      <w:r>
        <w:rPr>
          <w:rFonts w:ascii="仿宋_GB2312" w:hAnsi="仿宋_GB2312" w:eastAsia="仿宋_GB2312"/>
          <w:sz w:val="32"/>
        </w:rPr>
        <w:t>开展孕前优生健康检查和出生缺陷综合防治服务等工作</w:t>
      </w:r>
      <w:r>
        <w:rPr>
          <w:rFonts w:hint="eastAsia" w:ascii="仿宋_GB2312" w:hAnsi="仿宋_GB2312" w:eastAsia="仿宋_GB2312"/>
          <w:sz w:val="32"/>
          <w:lang w:eastAsia="zh-CN"/>
        </w:rPr>
        <w:t>；</w:t>
      </w:r>
      <w:r>
        <w:rPr>
          <w:rFonts w:ascii="仿宋_GB2312" w:hAnsi="仿宋_GB2312" w:eastAsia="仿宋_GB2312"/>
          <w:sz w:val="32"/>
        </w:rPr>
        <w:t>受县</w:t>
      </w:r>
      <w:r>
        <w:rPr>
          <w:rFonts w:hint="eastAsia" w:ascii="仿宋_GB2312" w:hAnsi="仿宋_GB2312" w:eastAsia="仿宋_GB2312"/>
          <w:sz w:val="32"/>
          <w:lang w:eastAsia="zh-CN"/>
        </w:rPr>
        <w:t>卫健委</w:t>
      </w:r>
      <w:r>
        <w:rPr>
          <w:rFonts w:ascii="仿宋_GB2312" w:hAnsi="仿宋_GB2312" w:eastAsia="仿宋_GB2312"/>
          <w:sz w:val="32"/>
        </w:rPr>
        <w:t>委托承担全县妇幼保健业务管理、培训和技术指导工作。</w:t>
      </w:r>
    </w:p>
    <w:p w14:paraId="2BA515FF">
      <w:pPr>
        <w:spacing w:line="640" w:lineRule="exact"/>
        <w:ind w:firstLine="640"/>
        <w:jc w:val="both"/>
        <w:outlineLvl w:val="2"/>
      </w:pPr>
      <w:r>
        <w:rPr>
          <w:rFonts w:ascii="黑体" w:hAnsi="黑体" w:eastAsia="黑体"/>
          <w:sz w:val="32"/>
        </w:rPr>
        <w:t>二、机构设置及人员情况</w:t>
      </w:r>
    </w:p>
    <w:p w14:paraId="702BEE1B">
      <w:pPr>
        <w:spacing w:line="580" w:lineRule="exact"/>
        <w:ind w:firstLine="640"/>
        <w:jc w:val="both"/>
      </w:pPr>
      <w:r>
        <w:rPr>
          <w:rFonts w:ascii="仿宋_GB2312" w:hAnsi="仿宋_GB2312" w:eastAsia="仿宋_GB2312"/>
          <w:sz w:val="32"/>
        </w:rPr>
        <w:t>霍城县妇幼保健计划生育服务中心2024年度，实有人数96人，其中：在职人员58人，增加1人；离休人员0人，增加0人；退休人员38人,增加2人。</w:t>
      </w:r>
    </w:p>
    <w:p w14:paraId="4DCD1282">
      <w:pPr>
        <w:spacing w:line="580" w:lineRule="exact"/>
        <w:ind w:firstLine="640"/>
        <w:jc w:val="both"/>
      </w:pPr>
      <w:r>
        <w:rPr>
          <w:rFonts w:ascii="仿宋_GB2312" w:hAnsi="仿宋_GB2312" w:eastAsia="仿宋_GB2312"/>
          <w:sz w:val="32"/>
        </w:rPr>
        <w:t>霍城县妇幼保健计划生育服务中心无下属预算单位，下设15个科室，分别是：行政科、医务科、护理院感办、财务科、基层保健科、孕产保健科、</w:t>
      </w:r>
      <w:r>
        <w:rPr>
          <w:rFonts w:hint="eastAsia" w:ascii="仿宋_GB2312" w:hAnsi="仿宋_GB2312" w:eastAsia="仿宋_GB2312"/>
          <w:sz w:val="32"/>
          <w:lang w:val="en-US" w:eastAsia="zh-CN"/>
        </w:rPr>
        <w:t>JHSY</w:t>
      </w:r>
      <w:r>
        <w:rPr>
          <w:rFonts w:ascii="仿宋_GB2312" w:hAnsi="仿宋_GB2312" w:eastAsia="仿宋_GB2312"/>
          <w:sz w:val="32"/>
        </w:rPr>
        <w:t>科、儿保科、影像科、妇产科、内儿科（中医组）、检验科、药剂科、总务科、后勤安保科。</w:t>
      </w:r>
    </w:p>
    <w:p w14:paraId="3093901B">
      <w:r>
        <w:br w:type="page"/>
      </w:r>
    </w:p>
    <w:p w14:paraId="402B7FE0">
      <w:pPr>
        <w:spacing w:line="240" w:lineRule="auto"/>
        <w:jc w:val="center"/>
        <w:outlineLvl w:val="1"/>
      </w:pPr>
      <w:r>
        <w:rPr>
          <w:rFonts w:ascii="黑体" w:hAnsi="黑体" w:eastAsia="黑体"/>
          <w:sz w:val="32"/>
        </w:rPr>
        <w:t>第二部分 部门决算情况说明</w:t>
      </w:r>
    </w:p>
    <w:p w14:paraId="54DA193F">
      <w:pPr>
        <w:spacing w:line="640" w:lineRule="exact"/>
        <w:ind w:firstLine="640"/>
        <w:jc w:val="both"/>
        <w:outlineLvl w:val="2"/>
      </w:pPr>
      <w:r>
        <w:rPr>
          <w:rFonts w:ascii="黑体" w:hAnsi="黑体" w:eastAsia="黑体"/>
          <w:sz w:val="32"/>
        </w:rPr>
        <w:t>一、收入支出决算总体情况说明</w:t>
      </w:r>
    </w:p>
    <w:p w14:paraId="0DCC82E4">
      <w:pPr>
        <w:spacing w:line="580" w:lineRule="exact"/>
        <w:ind w:firstLine="640"/>
        <w:jc w:val="both"/>
      </w:pPr>
      <w:r>
        <w:rPr>
          <w:rFonts w:ascii="仿宋_GB2312" w:hAnsi="仿宋_GB2312" w:eastAsia="仿宋_GB2312"/>
          <w:b/>
          <w:sz w:val="32"/>
        </w:rPr>
        <w:t>2024年度收入总计1,945.79万元，</w:t>
      </w:r>
      <w:r>
        <w:rPr>
          <w:rFonts w:ascii="仿宋_GB2312" w:hAnsi="仿宋_GB2312" w:eastAsia="仿宋_GB2312"/>
          <w:b w:val="0"/>
          <w:sz w:val="32"/>
        </w:rPr>
        <w:t>其中：本年收入合计1,940.65万元，使用非财政拨款结余（含专用结余）5.14万元，年初结转和结余0.00万元。</w:t>
      </w:r>
    </w:p>
    <w:p w14:paraId="054E86DE">
      <w:pPr>
        <w:spacing w:line="580" w:lineRule="exact"/>
        <w:ind w:firstLine="640"/>
        <w:jc w:val="both"/>
      </w:pPr>
      <w:r>
        <w:rPr>
          <w:rFonts w:ascii="仿宋_GB2312" w:hAnsi="仿宋_GB2312" w:eastAsia="仿宋_GB2312"/>
          <w:b/>
          <w:sz w:val="32"/>
        </w:rPr>
        <w:t>2024年度支出总计1,945.79万元，</w:t>
      </w:r>
      <w:r>
        <w:rPr>
          <w:rFonts w:ascii="仿宋_GB2312" w:hAnsi="仿宋_GB2312" w:eastAsia="仿宋_GB2312"/>
          <w:b w:val="0"/>
          <w:sz w:val="32"/>
        </w:rPr>
        <w:t>其中：本年支出合计1,945.79万元，结余分配0.00万元，年末结转和结余0.00万元。</w:t>
      </w:r>
    </w:p>
    <w:p w14:paraId="4DB5C012">
      <w:pPr>
        <w:spacing w:line="580" w:lineRule="exact"/>
        <w:ind w:firstLine="640"/>
        <w:jc w:val="both"/>
      </w:pPr>
      <w:r>
        <w:rPr>
          <w:rFonts w:ascii="仿宋_GB2312" w:hAnsi="仿宋_GB2312" w:eastAsia="仿宋_GB2312"/>
          <w:b w:val="0"/>
          <w:sz w:val="32"/>
        </w:rPr>
        <w:t>收入支出总体与上年相比，减少188.23万元，下降8.82%，主要原因是：本年减少援疆资金拨付的核酸检测（PCR）实验室采购项目资金。</w:t>
      </w:r>
    </w:p>
    <w:p w14:paraId="01A49065">
      <w:pPr>
        <w:spacing w:line="640" w:lineRule="exact"/>
        <w:ind w:firstLine="640"/>
        <w:jc w:val="both"/>
        <w:outlineLvl w:val="2"/>
      </w:pPr>
      <w:r>
        <w:rPr>
          <w:rFonts w:ascii="黑体" w:hAnsi="黑体" w:eastAsia="黑体"/>
          <w:sz w:val="32"/>
        </w:rPr>
        <w:t>二、收入决算情况说明</w:t>
      </w:r>
    </w:p>
    <w:p w14:paraId="4A221691">
      <w:pPr>
        <w:spacing w:line="580" w:lineRule="exact"/>
        <w:ind w:firstLine="640"/>
        <w:jc w:val="both"/>
      </w:pPr>
      <w:r>
        <w:rPr>
          <w:rFonts w:ascii="仿宋_GB2312" w:hAnsi="仿宋_GB2312" w:eastAsia="仿宋_GB2312"/>
          <w:b/>
          <w:sz w:val="32"/>
        </w:rPr>
        <w:t>本年收入1,940.65万元，</w:t>
      </w:r>
      <w:r>
        <w:rPr>
          <w:rFonts w:ascii="仿宋_GB2312" w:hAnsi="仿宋_GB2312" w:eastAsia="仿宋_GB2312"/>
          <w:b w:val="0"/>
          <w:sz w:val="32"/>
        </w:rPr>
        <w:t>其中：财政拨款收入1,112.77万元，占57.34%；上级补助收入0.00万元，占0.00%；事业收入730.43万元，占37.64%；经营收入0.00万元，占0.00%；附属单位上缴收入0.00万元，占0.00%；其他收入97.46万元，占5.02%。</w:t>
      </w:r>
    </w:p>
    <w:p w14:paraId="0F8B4070">
      <w:pPr>
        <w:spacing w:line="640" w:lineRule="exact"/>
        <w:ind w:firstLine="640"/>
        <w:jc w:val="both"/>
        <w:outlineLvl w:val="2"/>
      </w:pPr>
      <w:r>
        <w:rPr>
          <w:rFonts w:ascii="黑体" w:hAnsi="黑体" w:eastAsia="黑体"/>
          <w:sz w:val="32"/>
        </w:rPr>
        <w:t>三、支出决算情况说明</w:t>
      </w:r>
    </w:p>
    <w:p w14:paraId="2486D805">
      <w:pPr>
        <w:spacing w:line="580" w:lineRule="exact"/>
        <w:ind w:firstLine="640"/>
        <w:jc w:val="both"/>
      </w:pPr>
      <w:r>
        <w:rPr>
          <w:rFonts w:ascii="仿宋_GB2312" w:hAnsi="仿宋_GB2312" w:eastAsia="仿宋_GB2312"/>
          <w:b/>
          <w:sz w:val="32"/>
        </w:rPr>
        <w:t>本年支出1,945.79万元，</w:t>
      </w:r>
      <w:r>
        <w:rPr>
          <w:rFonts w:ascii="仿宋_GB2312" w:hAnsi="仿宋_GB2312" w:eastAsia="仿宋_GB2312"/>
          <w:b w:val="0"/>
          <w:sz w:val="32"/>
        </w:rPr>
        <w:t>其中：基本支出1,699.08万元，占87.32%；项目支出246.71万元，占12.68%；上缴上级支出0.00万元，占0.00%；经营支出0.00万元，占0.00%；对附属单位补助支出0.00万元，占0.00%。</w:t>
      </w:r>
    </w:p>
    <w:p w14:paraId="1C5E0F8F">
      <w:pPr>
        <w:spacing w:line="640" w:lineRule="exact"/>
        <w:ind w:firstLine="640"/>
        <w:jc w:val="both"/>
        <w:outlineLvl w:val="2"/>
      </w:pPr>
      <w:r>
        <w:rPr>
          <w:rFonts w:ascii="黑体" w:hAnsi="黑体" w:eastAsia="黑体"/>
          <w:sz w:val="32"/>
        </w:rPr>
        <w:t>四、财政拨款收入支出决算总体情况说明</w:t>
      </w:r>
    </w:p>
    <w:p w14:paraId="3B7393D5">
      <w:pPr>
        <w:spacing w:line="580" w:lineRule="exact"/>
        <w:ind w:firstLine="640"/>
        <w:jc w:val="both"/>
      </w:pPr>
      <w:r>
        <w:rPr>
          <w:rFonts w:ascii="仿宋_GB2312" w:hAnsi="仿宋_GB2312" w:eastAsia="仿宋_GB2312"/>
          <w:b/>
          <w:sz w:val="32"/>
        </w:rPr>
        <w:t>2024年度财政拨款收入总计1,112.77万元，</w:t>
      </w:r>
      <w:r>
        <w:rPr>
          <w:rFonts w:ascii="仿宋_GB2312" w:hAnsi="仿宋_GB2312" w:eastAsia="仿宋_GB2312"/>
          <w:b w:val="0"/>
          <w:sz w:val="32"/>
        </w:rPr>
        <w:t>其中：年初财政拨款结转和结余0.00万元，本年财政拨款收入1,112.77万元。</w:t>
      </w:r>
      <w:r>
        <w:rPr>
          <w:rFonts w:ascii="仿宋_GB2312" w:hAnsi="仿宋_GB2312" w:eastAsia="仿宋_GB2312"/>
          <w:b/>
          <w:sz w:val="32"/>
        </w:rPr>
        <w:t>财政拨款支出总计1,112.77万元，</w:t>
      </w:r>
      <w:r>
        <w:rPr>
          <w:rFonts w:ascii="仿宋_GB2312" w:hAnsi="仿宋_GB2312" w:eastAsia="仿宋_GB2312"/>
          <w:b w:val="0"/>
          <w:sz w:val="32"/>
        </w:rPr>
        <w:t>其中：年末财政拨款结转和结余0.00万元，本年财政拨款支出1,112.77万元。</w:t>
      </w:r>
    </w:p>
    <w:p w14:paraId="70B734E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增加69.99万元，增长6.71%，主要原因是：本年增加免费手术费服务资金、医疗服务与保障能力提升补助资金、宫颈癌筛查项目补助资金。</w:t>
      </w:r>
      <w:r>
        <w:rPr>
          <w:rFonts w:ascii="仿宋_GB2312" w:hAnsi="仿宋_GB2312" w:eastAsia="仿宋_GB2312"/>
          <w:b/>
          <w:sz w:val="32"/>
        </w:rPr>
        <w:t>与年初预算相比，</w:t>
      </w:r>
      <w:r>
        <w:rPr>
          <w:rFonts w:ascii="仿宋_GB2312" w:hAnsi="仿宋_GB2312" w:eastAsia="仿宋_GB2312"/>
          <w:b w:val="0"/>
          <w:sz w:val="32"/>
        </w:rPr>
        <w:t>年初预算数891.71万元，决算数1,112.77万元，预决算差异率24.79%，主要原因是：年中追加免费手术费服务资金、医疗服务与保障能力提升补助资金等项目资金，导致预决算存在差异。</w:t>
      </w:r>
    </w:p>
    <w:p w14:paraId="694EDB10">
      <w:pPr>
        <w:spacing w:line="640" w:lineRule="exact"/>
        <w:ind w:firstLine="640"/>
        <w:jc w:val="both"/>
        <w:outlineLvl w:val="2"/>
      </w:pPr>
      <w:r>
        <w:rPr>
          <w:rFonts w:ascii="黑体" w:hAnsi="黑体" w:eastAsia="黑体"/>
          <w:sz w:val="32"/>
        </w:rPr>
        <w:t>五、一般公共预算财政拨款支出决算情况说明</w:t>
      </w:r>
    </w:p>
    <w:p w14:paraId="14D38F0D">
      <w:pPr>
        <w:spacing w:line="640" w:lineRule="exact"/>
        <w:ind w:firstLine="640"/>
        <w:jc w:val="both"/>
        <w:outlineLvl w:val="3"/>
      </w:pPr>
      <w:r>
        <w:rPr>
          <w:rFonts w:ascii="楷体_GB2312" w:hAnsi="楷体_GB2312" w:eastAsia="楷体_GB2312"/>
          <w:b/>
          <w:sz w:val="32"/>
        </w:rPr>
        <w:t>（一）一般公共预算财政拨款支出决算总体情况</w:t>
      </w:r>
    </w:p>
    <w:p w14:paraId="64909A83">
      <w:pPr>
        <w:spacing w:line="580" w:lineRule="exact"/>
        <w:ind w:firstLine="640"/>
        <w:jc w:val="both"/>
      </w:pPr>
      <w:r>
        <w:rPr>
          <w:rFonts w:ascii="仿宋_GB2312" w:hAnsi="仿宋_GB2312" w:eastAsia="仿宋_GB2312"/>
          <w:b/>
          <w:sz w:val="32"/>
        </w:rPr>
        <w:t>2024年度一般公共预算财政拨款支出1,096.77万元，</w:t>
      </w:r>
      <w:r>
        <w:rPr>
          <w:rFonts w:ascii="仿宋_GB2312" w:hAnsi="仿宋_GB2312" w:eastAsia="仿宋_GB2312"/>
          <w:b w:val="0"/>
          <w:sz w:val="32"/>
        </w:rPr>
        <w:t>占本年支出合计的56.37%。</w:t>
      </w:r>
      <w:r>
        <w:rPr>
          <w:rFonts w:ascii="仿宋_GB2312" w:hAnsi="仿宋_GB2312" w:eastAsia="仿宋_GB2312"/>
          <w:b/>
          <w:sz w:val="32"/>
        </w:rPr>
        <w:t>与上年相比，</w:t>
      </w:r>
      <w:r>
        <w:rPr>
          <w:rFonts w:ascii="仿宋_GB2312" w:hAnsi="仿宋_GB2312" w:eastAsia="仿宋_GB2312"/>
          <w:b w:val="0"/>
          <w:sz w:val="32"/>
        </w:rPr>
        <w:t>增加53.99万元，增长5.18%，主要原因是：本年增加免费手术费服务资金、医疗服务与保障能力提升补助资金等项目资金。</w:t>
      </w:r>
      <w:r>
        <w:rPr>
          <w:rFonts w:ascii="仿宋_GB2312" w:hAnsi="仿宋_GB2312" w:eastAsia="仿宋_GB2312"/>
          <w:b/>
          <w:sz w:val="32"/>
        </w:rPr>
        <w:t>与年初预算相比,</w:t>
      </w:r>
      <w:r>
        <w:rPr>
          <w:rFonts w:ascii="仿宋_GB2312" w:hAnsi="仿宋_GB2312" w:eastAsia="仿宋_GB2312"/>
          <w:b w:val="0"/>
          <w:sz w:val="32"/>
        </w:rPr>
        <w:t>年初预算数891.71万元，决算数1,096.77万元，预决算差异率23.00%，主要原因是：年中追加免费手术费服务资金、医疗服务与保障能力提升补助资金等项目资金，导致预决算存在差异。</w:t>
      </w:r>
    </w:p>
    <w:p w14:paraId="500C55F4">
      <w:pPr>
        <w:spacing w:line="640" w:lineRule="exact"/>
        <w:ind w:firstLine="640"/>
        <w:jc w:val="both"/>
        <w:outlineLvl w:val="3"/>
      </w:pPr>
      <w:r>
        <w:rPr>
          <w:rFonts w:ascii="楷体_GB2312" w:hAnsi="楷体_GB2312" w:eastAsia="楷体_GB2312"/>
          <w:b/>
          <w:sz w:val="32"/>
        </w:rPr>
        <w:t>（二）一般公共预算财政拨款支出决算结构情况</w:t>
      </w:r>
    </w:p>
    <w:p w14:paraId="3FE6E480">
      <w:pPr>
        <w:spacing w:line="580" w:lineRule="exact"/>
        <w:ind w:firstLine="640"/>
        <w:jc w:val="both"/>
      </w:pPr>
      <w:r>
        <w:rPr>
          <w:rFonts w:ascii="仿宋_GB2312" w:hAnsi="仿宋_GB2312" w:eastAsia="仿宋_GB2312"/>
          <w:b w:val="0"/>
          <w:sz w:val="32"/>
        </w:rPr>
        <w:t>1.社会保障和就业支出(类)153.38万元,占13.98%。</w:t>
      </w:r>
    </w:p>
    <w:p w14:paraId="67C0E80D">
      <w:pPr>
        <w:spacing w:line="580" w:lineRule="exact"/>
        <w:ind w:firstLine="640"/>
        <w:jc w:val="both"/>
      </w:pPr>
      <w:r>
        <w:rPr>
          <w:rFonts w:ascii="仿宋_GB2312" w:hAnsi="仿宋_GB2312" w:eastAsia="仿宋_GB2312"/>
          <w:b w:val="0"/>
          <w:sz w:val="32"/>
        </w:rPr>
        <w:t>2.卫生健康支出(类)863.00万元,占78.69%。</w:t>
      </w:r>
    </w:p>
    <w:p w14:paraId="4386288F">
      <w:pPr>
        <w:spacing w:line="580" w:lineRule="exact"/>
        <w:ind w:firstLine="640"/>
        <w:jc w:val="both"/>
      </w:pPr>
      <w:r>
        <w:rPr>
          <w:rFonts w:ascii="仿宋_GB2312" w:hAnsi="仿宋_GB2312" w:eastAsia="仿宋_GB2312"/>
          <w:b w:val="0"/>
          <w:sz w:val="32"/>
        </w:rPr>
        <w:t>3.住房保障支出(类)80.39万元,占7.33%。</w:t>
      </w:r>
    </w:p>
    <w:p w14:paraId="214F0AB3">
      <w:pPr>
        <w:spacing w:line="640" w:lineRule="exact"/>
        <w:ind w:firstLine="640"/>
        <w:jc w:val="both"/>
        <w:outlineLvl w:val="3"/>
      </w:pPr>
      <w:r>
        <w:rPr>
          <w:rFonts w:ascii="楷体_GB2312" w:hAnsi="楷体_GB2312" w:eastAsia="楷体_GB2312"/>
          <w:b/>
          <w:sz w:val="32"/>
        </w:rPr>
        <w:t>（三）一般公共预算财政拨款支出决算具体情况</w:t>
      </w:r>
    </w:p>
    <w:p w14:paraId="4CBB2E30">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1.社会保障和就业支出(类)行政事业单位养老支出(款)事业单位离退休(项):支出决算数为28.28万元，比上年决算增加19.64万元，增长227.31%,主要原因是：本年增加退休人员基础绩效奖，退休费支出增加。</w:t>
      </w:r>
    </w:p>
    <w:p w14:paraId="14DBFB2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99.10万元，比上年决算增加13.05万元，增长15.17%,主要原因是：本年在职人员工资基数调增，养老缴费基数上涨，相应支出增加。</w:t>
      </w:r>
    </w:p>
    <w:p w14:paraId="19BA4A93">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20.17万元，比上年决算减少6.40万元，下降24.09%,主要原因是：本年退休人员较上年退休人员专业技术岗位低，职业年金缴费较上年减少。</w:t>
      </w:r>
    </w:p>
    <w:p w14:paraId="08BE2E66">
      <w:pPr>
        <w:spacing w:line="580" w:lineRule="exact"/>
        <w:ind w:firstLine="640"/>
        <w:jc w:val="both"/>
      </w:pPr>
      <w:r>
        <w:rPr>
          <w:rFonts w:ascii="仿宋_GB2312" w:hAnsi="仿宋_GB2312" w:eastAsia="仿宋_GB2312"/>
          <w:b w:val="0"/>
          <w:sz w:val="32"/>
        </w:rPr>
        <w:t>4.社会保障和就业支出(类)抚恤(款)死亡抚恤(项):支出决算数为5.83万元，比上年决算增加5.83万元，增长100.00%,主要原因是：本年新增死亡人员，死亡抚恤支出增加。</w:t>
      </w:r>
    </w:p>
    <w:p w14:paraId="07CAFAEB">
      <w:pPr>
        <w:spacing w:line="580" w:lineRule="exact"/>
        <w:ind w:firstLine="640"/>
        <w:jc w:val="both"/>
      </w:pPr>
      <w:r>
        <w:rPr>
          <w:rFonts w:ascii="仿宋_GB2312" w:hAnsi="仿宋_GB2312" w:eastAsia="仿宋_GB2312"/>
          <w:b w:val="0"/>
          <w:sz w:val="32"/>
        </w:rPr>
        <w:t>5.卫生健康支出(类)公立医院(款)其他公立医院支出(项):支出决算数为16.20万元，比上年决算增加6.47万元，增长66.50%,主要原因是：本年增加医疗服务与保障能力提升补助资金。</w:t>
      </w:r>
    </w:p>
    <w:p w14:paraId="396EC5E0">
      <w:pPr>
        <w:spacing w:line="580" w:lineRule="exact"/>
        <w:ind w:firstLine="640"/>
        <w:jc w:val="both"/>
      </w:pPr>
      <w:r>
        <w:rPr>
          <w:rFonts w:ascii="仿宋_GB2312" w:hAnsi="仿宋_GB2312" w:eastAsia="仿宋_GB2312"/>
          <w:b w:val="0"/>
          <w:sz w:val="32"/>
        </w:rPr>
        <w:t>6.卫生健康支出(类)公共卫生(款)妇幼保健机构(项):支出决算数为661.03万元，比上年决算减少22.23万元，下降3.25%,主要原因是：本年在职人员调入，退休，人员职级不同，基数不同，导致人员经费减少。</w:t>
      </w:r>
    </w:p>
    <w:p w14:paraId="7F6643F9">
      <w:pPr>
        <w:spacing w:line="580" w:lineRule="exact"/>
        <w:ind w:firstLine="640"/>
        <w:jc w:val="both"/>
      </w:pPr>
      <w:r>
        <w:rPr>
          <w:rFonts w:ascii="仿宋_GB2312" w:hAnsi="仿宋_GB2312" w:eastAsia="仿宋_GB2312"/>
          <w:b w:val="0"/>
          <w:sz w:val="32"/>
        </w:rPr>
        <w:t>7.卫生健康支出(类)公共卫生(款)基本公共卫生服务(项):支出决算数为52.00万元，比上年决算减少6.00万元，下降10.34%,主要原因是：本年减少妇幼健康行动补助资金。</w:t>
      </w:r>
    </w:p>
    <w:p w14:paraId="75A0781B">
      <w:pPr>
        <w:spacing w:line="580" w:lineRule="exact"/>
        <w:ind w:firstLine="640"/>
        <w:jc w:val="both"/>
      </w:pPr>
      <w:r>
        <w:rPr>
          <w:rFonts w:ascii="仿宋_GB2312" w:hAnsi="仿宋_GB2312" w:eastAsia="仿宋_GB2312"/>
          <w:b w:val="0"/>
          <w:sz w:val="32"/>
        </w:rPr>
        <w:t>8.卫生健康支出(类)公共卫生(款)重大公共卫生服务(项):支出决算数为12.30万元，比上年决算减少1.60万元，下降11.51%,主要原因是：本年减少重大传染病防控补助资金。</w:t>
      </w:r>
    </w:p>
    <w:p w14:paraId="7125ED24">
      <w:pPr>
        <w:spacing w:line="580" w:lineRule="exact"/>
        <w:ind w:firstLine="640"/>
        <w:jc w:val="both"/>
      </w:pPr>
      <w:r>
        <w:rPr>
          <w:rFonts w:ascii="仿宋_GB2312" w:hAnsi="仿宋_GB2312" w:eastAsia="仿宋_GB2312"/>
          <w:b w:val="0"/>
          <w:sz w:val="32"/>
        </w:rPr>
        <w:t>9.卫生健康支出(类)公共卫生(款)其他公共卫生支出(项):支出决算数为3.03万元，比上年决算增加2.15万元，增长244.32%,主要原因是：本年增加全民健康体检补助资金。</w:t>
      </w:r>
    </w:p>
    <w:p w14:paraId="2369375C">
      <w:pPr>
        <w:spacing w:line="580" w:lineRule="exact"/>
        <w:ind w:firstLine="640"/>
        <w:jc w:val="both"/>
      </w:pPr>
      <w:r>
        <w:rPr>
          <w:rFonts w:ascii="仿宋_GB2312" w:hAnsi="仿宋_GB2312" w:eastAsia="仿宋_GB2312"/>
          <w:b w:val="0"/>
          <w:sz w:val="32"/>
        </w:rPr>
        <w:t>10.卫生健康支出(类)计划生育事务(款)计划生育服务(项):支出决算数为69.00万元，比上年决算增加46.86万元，增长211.65%,主要原因是：本年增加免费手术费服务资金。</w:t>
      </w:r>
    </w:p>
    <w:p w14:paraId="5312C09E">
      <w:pPr>
        <w:spacing w:line="580" w:lineRule="exact"/>
        <w:ind w:firstLine="640"/>
        <w:jc w:val="both"/>
      </w:pPr>
      <w:r>
        <w:rPr>
          <w:rFonts w:ascii="仿宋_GB2312" w:hAnsi="仿宋_GB2312" w:eastAsia="仿宋_GB2312"/>
          <w:b w:val="0"/>
          <w:sz w:val="32"/>
        </w:rPr>
        <w:t>11.卫生健康支出(类)行政事业单位医疗(款)事业单位医疗(项):支出决算数为49.44万元，比上年决算减少13.31万元，下降21.21%,主要原因是：因退休人员医疗保险制度改革，退休人员基本医疗不再由单位缴纳，导致经费较上年减少。</w:t>
      </w:r>
    </w:p>
    <w:p w14:paraId="53E1D616">
      <w:pPr>
        <w:spacing w:line="580" w:lineRule="exact"/>
        <w:ind w:firstLine="640"/>
        <w:jc w:val="both"/>
      </w:pPr>
      <w:r>
        <w:rPr>
          <w:rFonts w:ascii="仿宋_GB2312" w:hAnsi="仿宋_GB2312" w:eastAsia="仿宋_GB2312"/>
          <w:b w:val="0"/>
          <w:sz w:val="32"/>
        </w:rPr>
        <w:t>12.住房保障支出(类)住房改革支出(款)住房公积金(项):支出决算数为80.39万元，比上年决算增加9.53万元，增长13.45%,主要原因是：本年在职人员工资基数调增，公积金缴费基数上涨，相应支出增加。</w:t>
      </w:r>
    </w:p>
    <w:p w14:paraId="3BBA5E72">
      <w:pPr>
        <w:spacing w:line="640" w:lineRule="exact"/>
        <w:ind w:firstLine="640"/>
        <w:jc w:val="both"/>
        <w:outlineLvl w:val="2"/>
      </w:pPr>
      <w:r>
        <w:rPr>
          <w:rFonts w:ascii="黑体" w:hAnsi="黑体" w:eastAsia="黑体"/>
          <w:sz w:val="32"/>
        </w:rPr>
        <w:t>六、一般公共预算财政拨款基本支出决算情况说明</w:t>
      </w:r>
    </w:p>
    <w:p w14:paraId="61521E5E">
      <w:pPr>
        <w:spacing w:line="580" w:lineRule="exact"/>
        <w:ind w:firstLine="640"/>
        <w:jc w:val="both"/>
      </w:pPr>
      <w:r>
        <w:rPr>
          <w:rFonts w:ascii="仿宋_GB2312" w:hAnsi="仿宋_GB2312" w:eastAsia="仿宋_GB2312"/>
          <w:b w:val="0"/>
          <w:sz w:val="32"/>
        </w:rPr>
        <w:t>2024年度一般公共预算财政拨款基本支出944.24万元，其中：</w:t>
      </w:r>
      <w:r>
        <w:rPr>
          <w:rFonts w:ascii="仿宋_GB2312" w:hAnsi="仿宋_GB2312" w:eastAsia="仿宋_GB2312"/>
          <w:b/>
          <w:sz w:val="32"/>
        </w:rPr>
        <w:t>人员经费943.11万元，</w:t>
      </w:r>
      <w:r>
        <w:rPr>
          <w:rFonts w:ascii="仿宋_GB2312" w:hAnsi="仿宋_GB2312" w:eastAsia="仿宋_GB2312"/>
          <w:b w:val="0"/>
          <w:sz w:val="32"/>
        </w:rPr>
        <w:t>包括：基本工资、津贴补贴、机关事业单位基本养老保险缴费、职业年金缴费、职工基本医疗保险缴费、其他社会保障缴费、住房公积金、退休费、抚恤金、奖励金。</w:t>
      </w:r>
    </w:p>
    <w:p w14:paraId="11C5BDBA">
      <w:pPr>
        <w:spacing w:line="580" w:lineRule="exact"/>
        <w:ind w:firstLine="640"/>
        <w:jc w:val="both"/>
      </w:pPr>
      <w:r>
        <w:rPr>
          <w:rFonts w:ascii="仿宋_GB2312" w:hAnsi="仿宋_GB2312" w:eastAsia="仿宋_GB2312"/>
          <w:b/>
          <w:sz w:val="32"/>
        </w:rPr>
        <w:t>公用经费1.13万元，</w:t>
      </w:r>
      <w:r>
        <w:rPr>
          <w:rFonts w:ascii="仿宋_GB2312" w:hAnsi="仿宋_GB2312" w:eastAsia="仿宋_GB2312"/>
          <w:b w:val="0"/>
          <w:sz w:val="32"/>
        </w:rPr>
        <w:t>包括：工会经费。</w:t>
      </w:r>
    </w:p>
    <w:p w14:paraId="61315398">
      <w:pPr>
        <w:spacing w:line="640" w:lineRule="exact"/>
        <w:ind w:firstLine="640"/>
        <w:jc w:val="both"/>
        <w:outlineLvl w:val="2"/>
      </w:pPr>
      <w:r>
        <w:rPr>
          <w:rFonts w:ascii="黑体" w:hAnsi="黑体" w:eastAsia="黑体"/>
          <w:sz w:val="32"/>
        </w:rPr>
        <w:t>七、政府性基金预算财政拨款收入支出决算情况说明</w:t>
      </w:r>
    </w:p>
    <w:p w14:paraId="77D291B2">
      <w:pPr>
        <w:spacing w:line="580" w:lineRule="exact"/>
        <w:ind w:firstLine="640"/>
        <w:jc w:val="both"/>
      </w:pPr>
      <w:r>
        <w:rPr>
          <w:rFonts w:ascii="仿宋_GB2312" w:hAnsi="仿宋_GB2312" w:eastAsia="仿宋_GB2312"/>
          <w:b/>
          <w:sz w:val="32"/>
        </w:rPr>
        <w:t>2024年度政府性基金预算财政拨款收入总计16.00万元，</w:t>
      </w:r>
      <w:r>
        <w:rPr>
          <w:rFonts w:ascii="仿宋_GB2312" w:hAnsi="仿宋_GB2312" w:eastAsia="仿宋_GB2312"/>
          <w:b w:val="0"/>
          <w:sz w:val="32"/>
        </w:rPr>
        <w:t>其中：年初结转和结余0.00万元，本年收入16.00万元。</w:t>
      </w:r>
      <w:r>
        <w:rPr>
          <w:rFonts w:ascii="仿宋_GB2312" w:hAnsi="仿宋_GB2312" w:eastAsia="仿宋_GB2312"/>
          <w:b/>
          <w:sz w:val="32"/>
        </w:rPr>
        <w:t>政府性基金预算财政拨款支出总计16.00万元，</w:t>
      </w:r>
      <w:r>
        <w:rPr>
          <w:rFonts w:ascii="仿宋_GB2312" w:hAnsi="仿宋_GB2312" w:eastAsia="仿宋_GB2312"/>
          <w:b w:val="0"/>
          <w:sz w:val="32"/>
        </w:rPr>
        <w:t>其中：年末结转和结余0.00万元，本年支出16.00万元。</w:t>
      </w:r>
    </w:p>
    <w:p w14:paraId="22EEB98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增加16.00万元，增长100.00%，主要原因是：本年增加宫颈癌筛查补助资金。</w:t>
      </w:r>
      <w:r>
        <w:rPr>
          <w:rFonts w:ascii="仿宋_GB2312" w:hAnsi="仿宋_GB2312" w:eastAsia="仿宋_GB2312"/>
          <w:b/>
          <w:sz w:val="32"/>
        </w:rPr>
        <w:t>与年初预算相比，</w:t>
      </w:r>
      <w:r>
        <w:rPr>
          <w:rFonts w:ascii="仿宋_GB2312" w:hAnsi="仿宋_GB2312" w:eastAsia="仿宋_GB2312"/>
          <w:b w:val="0"/>
          <w:sz w:val="32"/>
        </w:rPr>
        <w:t>年初预算数0.00万元，决算数16.00万元，预决算差异率100.00%，主要原因是：年中追加宫颈癌筛查补助项目资金，导致预决算存在差异。</w:t>
      </w:r>
    </w:p>
    <w:p w14:paraId="4831A5BA">
      <w:pPr>
        <w:spacing w:line="580" w:lineRule="exact"/>
        <w:ind w:firstLine="640"/>
        <w:jc w:val="both"/>
      </w:pPr>
      <w:r>
        <w:rPr>
          <w:rFonts w:ascii="仿宋_GB2312" w:hAnsi="仿宋_GB2312" w:eastAsia="仿宋_GB2312"/>
          <w:b w:val="0"/>
          <w:sz w:val="32"/>
        </w:rPr>
        <w:t>政府性基金预算财政拨款支出16.00万元。</w:t>
      </w:r>
    </w:p>
    <w:p w14:paraId="3FFDDF44">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1.其他支出(类)彩票公益金安排的支出(款)用于城乡医疗救助的彩票公益金支出(项):支出决算数为16.00万元，比上年决算增加16.00万元，增长100.00%,主要原因是：本年增加宫颈癌筛查补助项目资金。</w:t>
      </w:r>
    </w:p>
    <w:p w14:paraId="5E1C8DA9">
      <w:pPr>
        <w:spacing w:line="640" w:lineRule="exact"/>
        <w:ind w:firstLine="640"/>
        <w:jc w:val="both"/>
        <w:outlineLvl w:val="2"/>
      </w:pPr>
      <w:r>
        <w:rPr>
          <w:rFonts w:ascii="黑体" w:hAnsi="黑体" w:eastAsia="黑体"/>
          <w:sz w:val="32"/>
        </w:rPr>
        <w:t>八、国有资本经营预算财政拨款收入支出决算情况说明</w:t>
      </w:r>
    </w:p>
    <w:p w14:paraId="507FEF8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52D391">
      <w:pPr>
        <w:spacing w:line="640" w:lineRule="exact"/>
        <w:ind w:firstLine="640"/>
        <w:jc w:val="both"/>
        <w:outlineLvl w:val="2"/>
      </w:pPr>
      <w:r>
        <w:rPr>
          <w:rFonts w:ascii="黑体" w:hAnsi="黑体" w:eastAsia="黑体"/>
          <w:sz w:val="32"/>
        </w:rPr>
        <w:t>九、财政拨款“三公”经费支出决算情况说明</w:t>
      </w:r>
    </w:p>
    <w:p w14:paraId="260864E2">
      <w:pPr>
        <w:spacing w:line="580" w:lineRule="exact"/>
        <w:ind w:firstLine="640"/>
        <w:jc w:val="both"/>
      </w:pPr>
      <w:r>
        <w:rPr>
          <w:rFonts w:ascii="仿宋_GB2312" w:hAnsi="仿宋_GB2312" w:eastAsia="仿宋_GB2312"/>
          <w:b/>
          <w:sz w:val="32"/>
        </w:rPr>
        <w:t>2024年度财政拨款“三公”经费支出1.79万元，</w:t>
      </w:r>
      <w:r>
        <w:rPr>
          <w:rFonts w:ascii="仿宋_GB2312" w:hAnsi="仿宋_GB2312" w:eastAsia="仿宋_GB2312"/>
          <w:b w:val="0"/>
          <w:sz w:val="32"/>
        </w:rPr>
        <w:t>比上年减少2.78万元，下降60.83%，主要原因是：严格落实中央八项规定精神，厉行节约，减少车辆使用频次，公务用车运行维护费减少。其中：因公出国（境）费支出0.00万元，占0.00%，比上年增加0.00万元，增长0.00%，主要原因是：2023年与2024年均未安排因公出国（境）费支出。公务用车购置及运行维护费支出1.79万元，占100.00%，比上年减少2.78万元，下降60.83%，主要原因是：严格落实中央八项规定精神，厉行节约，减少车辆使用频次，公务用车运行维护费减少。公务接待费支出0.00万元，占0.00%，比上年增加0.00万元，增长0.00%，主要原因是：2023年与2024年均未安排公务接待费支出。</w:t>
      </w:r>
    </w:p>
    <w:p w14:paraId="50722CDA">
      <w:pPr>
        <w:spacing w:line="580" w:lineRule="exact"/>
        <w:ind w:firstLine="640"/>
        <w:jc w:val="both"/>
      </w:pPr>
      <w:r>
        <w:rPr>
          <w:rFonts w:ascii="仿宋_GB2312" w:hAnsi="仿宋_GB2312" w:eastAsia="仿宋_GB2312"/>
          <w:b/>
          <w:sz w:val="32"/>
        </w:rPr>
        <w:t>具体情况如下：</w:t>
      </w:r>
    </w:p>
    <w:p w14:paraId="11A5B2D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2D9A122">
      <w:pPr>
        <w:spacing w:line="580" w:lineRule="exact"/>
        <w:ind w:firstLine="640"/>
        <w:jc w:val="both"/>
      </w:pPr>
      <w:r>
        <w:rPr>
          <w:rFonts w:ascii="仿宋_GB2312" w:hAnsi="仿宋_GB2312" w:eastAsia="仿宋_GB2312"/>
          <w:b w:val="0"/>
          <w:sz w:val="32"/>
        </w:rPr>
        <w:t>公务用车购置及运行维护费1.79万元，其中：公务用车购置费0.00万元，公务用车运行维护费1.79万元。公务用车运行维护费开支内容包括车辆加油费、维修费、保险费、审车费、过路费。公务用车购置数0辆，公务用车保有量5辆。国有资产占用情况中固定资产车辆5辆，与公务用车保有量差异原因是：本单位固定资产车辆与公务用车保有量一致无差异。</w:t>
      </w:r>
    </w:p>
    <w:p w14:paraId="552597D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3D018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1.79万元，决算数1.79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1.79万元，决算数1.79万元，预决算差异率0.00%，主要原因是：严格按照预算执行，预决算无差异。公务接待费全年预算数0.00万元，决算数0.00万元，预决算差异率0.00%，主要原因是：本单位无公务接待费。</w:t>
      </w:r>
    </w:p>
    <w:p w14:paraId="137E859C">
      <w:pPr>
        <w:spacing w:line="640" w:lineRule="exact"/>
        <w:ind w:firstLine="640"/>
        <w:jc w:val="both"/>
        <w:outlineLvl w:val="2"/>
      </w:pPr>
      <w:r>
        <w:rPr>
          <w:rFonts w:ascii="黑体" w:hAnsi="黑体" w:eastAsia="黑体"/>
          <w:sz w:val="32"/>
        </w:rPr>
        <w:t>十、其他重要事项的情况说明</w:t>
      </w:r>
    </w:p>
    <w:p w14:paraId="5CD2E390">
      <w:pPr>
        <w:spacing w:line="640" w:lineRule="exact"/>
        <w:ind w:firstLine="640"/>
        <w:jc w:val="both"/>
        <w:outlineLvl w:val="3"/>
      </w:pPr>
      <w:r>
        <w:rPr>
          <w:rFonts w:ascii="楷体_GB2312" w:hAnsi="楷体_GB2312" w:eastAsia="楷体_GB2312"/>
          <w:b/>
          <w:sz w:val="32"/>
        </w:rPr>
        <w:t>（一）机关运行经费及公用经费支出情况</w:t>
      </w:r>
    </w:p>
    <w:p w14:paraId="20B0F925">
      <w:pPr>
        <w:spacing w:line="580" w:lineRule="exact"/>
        <w:ind w:firstLine="640"/>
        <w:jc w:val="both"/>
      </w:pPr>
      <w:r>
        <w:rPr>
          <w:rFonts w:ascii="仿宋_GB2312" w:hAnsi="仿宋_GB2312" w:eastAsia="仿宋_GB2312"/>
          <w:b w:val="0"/>
          <w:sz w:val="32"/>
        </w:rPr>
        <w:t>2024年度霍城县妇幼保健计划生育服务中心（事业单位）公用经费支出1.13万元，比上年减少3.42万元，下降75.16%，主要原因是：严格控制公用经费，厉行节约，减少不必要开支。</w:t>
      </w:r>
    </w:p>
    <w:p w14:paraId="0286A79E">
      <w:pPr>
        <w:spacing w:line="640" w:lineRule="exact"/>
        <w:ind w:firstLine="640"/>
        <w:jc w:val="both"/>
        <w:outlineLvl w:val="3"/>
      </w:pPr>
      <w:r>
        <w:rPr>
          <w:rFonts w:ascii="楷体_GB2312" w:hAnsi="楷体_GB2312" w:eastAsia="楷体_GB2312"/>
          <w:b/>
          <w:sz w:val="32"/>
        </w:rPr>
        <w:t>（二）政府采购情况</w:t>
      </w:r>
    </w:p>
    <w:p w14:paraId="7406D1AF">
      <w:pPr>
        <w:spacing w:line="580" w:lineRule="exact"/>
        <w:ind w:firstLine="640"/>
        <w:jc w:val="both"/>
      </w:pPr>
      <w:r>
        <w:rPr>
          <w:rFonts w:ascii="仿宋_GB2312" w:hAnsi="仿宋_GB2312" w:eastAsia="仿宋_GB2312"/>
          <w:b w:val="0"/>
          <w:sz w:val="32"/>
        </w:rPr>
        <w:t>2024年度政府采购支出总额62.96万元，其中：政府采购货物支出55.34万元、政府采购工程支出1.40万元、政府采购服务支出6.22万元。</w:t>
      </w:r>
    </w:p>
    <w:p w14:paraId="5E425D0D">
      <w:pPr>
        <w:spacing w:line="580" w:lineRule="exact"/>
        <w:ind w:firstLine="640"/>
        <w:jc w:val="both"/>
      </w:pPr>
      <w:r>
        <w:rPr>
          <w:rFonts w:ascii="仿宋_GB2312" w:hAnsi="仿宋_GB2312" w:eastAsia="仿宋_GB2312"/>
          <w:b w:val="0"/>
          <w:sz w:val="32"/>
        </w:rPr>
        <w:t>授予中小企业合同金额62.96万元，占政府采购支出总额的100.00%，其中：授予小微企业合同金额62.96万元，占政府采购支出总额的100.00%。</w:t>
      </w:r>
    </w:p>
    <w:p w14:paraId="1A9C5138">
      <w:pPr>
        <w:spacing w:line="640" w:lineRule="exact"/>
        <w:ind w:firstLine="640"/>
        <w:jc w:val="both"/>
        <w:outlineLvl w:val="3"/>
      </w:pPr>
      <w:r>
        <w:rPr>
          <w:rFonts w:ascii="楷体_GB2312" w:hAnsi="楷体_GB2312" w:eastAsia="楷体_GB2312"/>
          <w:b/>
          <w:sz w:val="32"/>
        </w:rPr>
        <w:t>（三）国有资产占用情况说明</w:t>
      </w:r>
    </w:p>
    <w:p w14:paraId="24B0BB2F">
      <w:pPr>
        <w:spacing w:line="580" w:lineRule="exact"/>
        <w:ind w:firstLine="640"/>
        <w:jc w:val="both"/>
      </w:pPr>
      <w:r>
        <w:rPr>
          <w:rFonts w:ascii="仿宋_GB2312" w:hAnsi="仿宋_GB2312" w:eastAsia="仿宋_GB2312"/>
          <w:b w:val="0"/>
          <w:sz w:val="32"/>
        </w:rPr>
        <w:t>截至2024年12月31日，房屋2,370.00平方米，价值455.93万元。车辆5辆，价值110.51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5台（套）。</w:t>
      </w:r>
    </w:p>
    <w:p w14:paraId="31D495C2">
      <w:pPr>
        <w:spacing w:line="640" w:lineRule="exact"/>
        <w:ind w:firstLine="640"/>
        <w:jc w:val="both"/>
        <w:outlineLvl w:val="2"/>
      </w:pPr>
      <w:r>
        <w:rPr>
          <w:rFonts w:ascii="黑体" w:hAnsi="黑体" w:eastAsia="黑体"/>
          <w:sz w:val="32"/>
        </w:rPr>
        <w:t>十一、预算绩效的情况说明</w:t>
      </w:r>
    </w:p>
    <w:p w14:paraId="25E4C2E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1,945.78万元，实际执行总额1,945.78万元；预算绩效评价项目3个，全年预算数843.01万元，全年执行数843.01万元。预算绩效管理取得的成效：一是管理制度健全：本单位为加强预算管理，规范财务行为，已制定《霍城县妇幼保健院预算绩效管理工作实施办法》《霍城县妇幼保健院财务管理制度》；同时按照财政要求基本支出分月度申报资金使用计划，由财政部门按照进度每月按期拨付，人员支出按照工资计划发放工资；项目支出属于政府采购的，按照《中华人民共和国政府采购法》《霍城县妇幼保健院采购与招标管理办法》组织人员制定采购计划，按照财政局采购部门批复，进行公开招标、政采云直采招标等方式进行；属于非政府采购的项目，按照“三重一大”制度规定，重大项目支出</w:t>
      </w:r>
      <w:r>
        <w:rPr>
          <w:rFonts w:hint="eastAsia" w:ascii="仿宋_GB2312" w:hAnsi="仿宋_GB2312" w:eastAsia="仿宋_GB2312"/>
          <w:b w:val="0"/>
          <w:sz w:val="32"/>
          <w:lang w:eastAsia="zh-CN"/>
        </w:rPr>
        <w:t>由</w:t>
      </w:r>
      <w:r>
        <w:rPr>
          <w:rFonts w:ascii="仿宋_GB2312" w:hAnsi="仿宋_GB2312" w:eastAsia="仿宋_GB2312"/>
          <w:b w:val="0"/>
          <w:sz w:val="32"/>
        </w:rPr>
        <w:t>党支部委员会研究决定。多措并举有效保障</w:t>
      </w:r>
      <w:r>
        <w:rPr>
          <w:rFonts w:hint="eastAsia" w:ascii="仿宋_GB2312" w:hAnsi="仿宋_GB2312" w:eastAsia="仿宋_GB2312"/>
          <w:b w:val="0"/>
          <w:sz w:val="32"/>
          <w:lang w:eastAsia="zh-CN"/>
        </w:rPr>
        <w:t>本单位</w:t>
      </w:r>
      <w:r>
        <w:rPr>
          <w:rFonts w:ascii="仿宋_GB2312" w:hAnsi="仿宋_GB2312" w:eastAsia="仿宋_GB2312"/>
          <w:b w:val="0"/>
          <w:sz w:val="32"/>
        </w:rPr>
        <w:t>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履行工作职能，较好</w:t>
      </w:r>
      <w:r>
        <w:rPr>
          <w:rFonts w:hint="eastAsia" w:ascii="仿宋_GB2312" w:hAnsi="仿宋_GB2312" w:eastAsia="仿宋_GB2312"/>
          <w:b w:val="0"/>
          <w:sz w:val="32"/>
          <w:lang w:eastAsia="zh-CN"/>
        </w:rPr>
        <w:t>地</w:t>
      </w:r>
      <w:r>
        <w:rPr>
          <w:rFonts w:ascii="仿宋_GB2312" w:hAnsi="仿宋_GB2312" w:eastAsia="仿宋_GB2312"/>
          <w:b w:val="0"/>
          <w:sz w:val="32"/>
        </w:rPr>
        <w:t>促进事业发展。二是资金使</w:t>
      </w:r>
      <w:r>
        <w:rPr>
          <w:rFonts w:hint="eastAsia" w:ascii="仿宋_GB2312" w:hAnsi="仿宋_GB2312" w:eastAsia="仿宋_GB2312"/>
          <w:b w:val="0"/>
          <w:sz w:val="32"/>
          <w:lang w:eastAsia="zh-CN"/>
        </w:rPr>
        <w:t>用的</w:t>
      </w:r>
      <w:r>
        <w:rPr>
          <w:rFonts w:ascii="仿宋_GB2312" w:hAnsi="仿宋_GB2312" w:eastAsia="仿宋_GB2312"/>
          <w:b w:val="0"/>
          <w:sz w:val="32"/>
        </w:rPr>
        <w:t>合规性和安全性：部门预算资金使用符合国家法规和财务管理制度；预算资金拨付有完整的审批程序和手续，符合项目预算批复或合同规定的用途；不存在截留、挤占、挪用、虚列支出等情况，确保我部门预算资金规范运行。三是预决算信息公开性：</w:t>
      </w:r>
      <w:r>
        <w:rPr>
          <w:rFonts w:hint="eastAsia" w:ascii="仿宋_GB2312" w:hAnsi="仿宋_GB2312" w:eastAsia="仿宋_GB2312"/>
          <w:b w:val="0"/>
          <w:sz w:val="32"/>
          <w:lang w:eastAsia="zh-CN"/>
        </w:rPr>
        <w:t>本单位</w:t>
      </w:r>
      <w:r>
        <w:rPr>
          <w:rFonts w:ascii="仿宋_GB2312" w:hAnsi="仿宋_GB2312" w:eastAsia="仿宋_GB2312"/>
          <w:b w:val="0"/>
          <w:sz w:val="32"/>
        </w:rPr>
        <w:t>严格按照财政部门预算编制与预算调整的工作要求，在预算编制、分配依据充分的条件下，切实做好“先定目标再编预算”，确保预算分配结果合理。同时按照《中华人民共和国政府信息公开条例》（国令〔711〕号）及《伊犁哈萨克自治州人民政府信息公开指南》预决算信息公开工作要求，单位预算及绩效目标在霍城县人民政府网公开，广泛接受社会监督。发现的问题及原因：一是绩效指标设置不够明确，部分绩效指标设置存在不够精简、指标数据无法统计和指标值设置过低等问题，部分项目绩效指标值设定为定性的指标，指标设置的科学性、合理性有待进一步提高；二是信息化建设滞后，本单位信息化系统不够完善，如电子病历系统功能简单，无法实现与上级医疗机构的信息共享，影响了医疗服务效率和质量；三是项目监督工作存在薄弱环节，项目实施过程中的上报、跟踪、反馈机制尚未真正形成，</w:t>
      </w:r>
      <w:r>
        <w:rPr>
          <w:rFonts w:hint="eastAsia" w:ascii="仿宋_GB2312" w:hAnsi="仿宋_GB2312" w:eastAsia="仿宋_GB2312"/>
          <w:b w:val="0"/>
          <w:sz w:val="32"/>
          <w:lang w:eastAsia="zh-CN"/>
        </w:rPr>
        <w:t>本单位</w:t>
      </w:r>
      <w:r>
        <w:rPr>
          <w:rFonts w:ascii="仿宋_GB2312" w:hAnsi="仿宋_GB2312" w:eastAsia="仿宋_GB2312"/>
          <w:b w:val="0"/>
          <w:sz w:val="32"/>
        </w:rPr>
        <w:t>的项目资金的使用、实施等监管措施仍然存在改进的空间。下一步改进措施：一是细化预算编制工作，认真做好预算的编制。进一步加强单位内部机构的预算管理意识，严格按照预算编制的相关制度和要求进行预算编制，提高预算的精准度；二是加强财务管理，严格财务审核。加强单位财务管理，健全单位财务管理制度体系，规范单位财务行为。在费用报账支付时，按照预算规定的费用项目和用途进行资金使用审核、列报支付、财务核算，杜绝不合规单据的使用；三是建立健全管理制度，加强资金使用的合规性，完善对资金使用的跟踪监督管理，进行事先审批和事后凭票报销，加强管理，节约开支，压缩</w:t>
      </w:r>
      <w:r>
        <w:rPr>
          <w:rFonts w:hint="eastAsia" w:ascii="仿宋_GB2312" w:hAnsi="仿宋_GB2312" w:eastAsia="仿宋_GB2312"/>
          <w:b w:val="0"/>
          <w:sz w:val="32"/>
          <w:lang w:eastAsia="zh-CN"/>
        </w:rPr>
        <w:t>“三公”经费</w:t>
      </w:r>
      <w:r>
        <w:rPr>
          <w:rFonts w:ascii="仿宋_GB2312" w:hAnsi="仿宋_GB2312" w:eastAsia="仿宋_GB2312"/>
          <w:b w:val="0"/>
          <w:sz w:val="32"/>
        </w:rPr>
        <w:t>开支。四是对相关人员加强培训，特别是针对《中华人民共和国预算法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行政事业单位会计制度》等学习培训，规范部门预算收支核算，切实提高部门预算收支管理水平。具体附整体支出绩效自评表，项目支出绩效自评表和评价报告。</w:t>
      </w:r>
    </w:p>
    <w:p w14:paraId="4C6E372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C32F741">
        <w:tblPrEx>
          <w:tblCellMar>
            <w:top w:w="0" w:type="dxa"/>
            <w:left w:w="108" w:type="dxa"/>
            <w:bottom w:w="0" w:type="dxa"/>
            <w:right w:w="108" w:type="dxa"/>
          </w:tblCellMar>
        </w:tblPrEx>
        <w:tc>
          <w:tcPr>
            <w:tcW w:w="8840" w:type="dxa"/>
            <w:gridSpan w:val="8"/>
            <w:vAlign w:val="center"/>
          </w:tcPr>
          <w:p w14:paraId="5BE94740">
            <w:pPr>
              <w:jc w:val="center"/>
            </w:pPr>
            <w:r>
              <w:rPr>
                <w:rFonts w:ascii="宋体" w:hAnsi="宋体" w:eastAsia="宋体"/>
                <w:sz w:val="24"/>
              </w:rPr>
              <w:t>单位整体支出绩效自评表</w:t>
            </w:r>
          </w:p>
        </w:tc>
      </w:tr>
      <w:tr w14:paraId="20FDE852">
        <w:tblPrEx>
          <w:tblCellMar>
            <w:top w:w="0" w:type="dxa"/>
            <w:left w:w="108" w:type="dxa"/>
            <w:bottom w:w="0" w:type="dxa"/>
            <w:right w:w="108" w:type="dxa"/>
          </w:tblCellMar>
        </w:tblPrEx>
        <w:tc>
          <w:tcPr>
            <w:tcW w:w="8840" w:type="dxa"/>
            <w:gridSpan w:val="8"/>
            <w:vAlign w:val="center"/>
          </w:tcPr>
          <w:p w14:paraId="52816313">
            <w:pPr>
              <w:jc w:val="center"/>
            </w:pPr>
            <w:r>
              <w:rPr>
                <w:rFonts w:ascii="宋体" w:hAnsi="宋体" w:eastAsia="宋体"/>
                <w:sz w:val="24"/>
              </w:rPr>
              <w:t>（2024年度）</w:t>
            </w:r>
          </w:p>
        </w:tc>
      </w:tr>
      <w:tr w14:paraId="43A2B9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CAF6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E6E1F0">
            <w:pPr>
              <w:jc w:val="center"/>
            </w:pPr>
            <w:r>
              <w:rPr>
                <w:rFonts w:ascii="宋体" w:hAnsi="宋体" w:eastAsia="宋体"/>
                <w:sz w:val="16"/>
              </w:rPr>
              <w:t>霍城县妇幼保健计划生育服务中心</w:t>
            </w:r>
          </w:p>
        </w:tc>
      </w:tr>
      <w:tr w14:paraId="7CBD7EB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9690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66FF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DCD9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FC20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1CC9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77D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EABF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DF3BA9">
            <w:pPr>
              <w:jc w:val="center"/>
            </w:pPr>
            <w:r>
              <w:rPr>
                <w:rFonts w:ascii="宋体" w:hAnsi="宋体" w:eastAsia="宋体"/>
                <w:sz w:val="16"/>
              </w:rPr>
              <w:t>得分</w:t>
            </w:r>
          </w:p>
        </w:tc>
      </w:tr>
      <w:tr w14:paraId="645F08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6FBD1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C647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5D128">
            <w:pPr>
              <w:jc w:val="center"/>
            </w:pPr>
            <w:r>
              <w:rPr>
                <w:rFonts w:ascii="宋体" w:hAnsi="宋体" w:eastAsia="宋体"/>
                <w:sz w:val="16"/>
              </w:rPr>
              <w:t>1,720.36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504B1">
            <w:pPr>
              <w:jc w:val="center"/>
            </w:pPr>
            <w:r>
              <w:rPr>
                <w:rFonts w:ascii="宋体" w:hAnsi="宋体" w:eastAsia="宋体"/>
                <w:sz w:val="16"/>
              </w:rPr>
              <w:t>1,945.78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2D15C">
            <w:pPr>
              <w:jc w:val="center"/>
            </w:pPr>
            <w:r>
              <w:rPr>
                <w:rFonts w:ascii="宋体" w:hAnsi="宋体" w:eastAsia="宋体"/>
                <w:sz w:val="16"/>
              </w:rPr>
              <w:t>1,945.78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6AC2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5807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522A7">
            <w:pPr>
              <w:jc w:val="center"/>
            </w:pPr>
            <w:r>
              <w:rPr>
                <w:rFonts w:ascii="宋体" w:hAnsi="宋体" w:eastAsia="宋体"/>
                <w:sz w:val="16"/>
              </w:rPr>
              <w:t>10</w:t>
            </w:r>
          </w:p>
        </w:tc>
      </w:tr>
      <w:tr w14:paraId="788392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3DDD7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923B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CDDE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3594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E5B6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DE75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3476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6C59D">
            <w:pPr>
              <w:jc w:val="center"/>
            </w:pPr>
            <w:r>
              <w:rPr>
                <w:rFonts w:ascii="宋体" w:hAnsi="宋体" w:eastAsia="宋体"/>
                <w:sz w:val="16"/>
              </w:rPr>
              <w:t>-</w:t>
            </w:r>
          </w:p>
        </w:tc>
      </w:tr>
      <w:tr w14:paraId="38A10A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45C9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F5676">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8E525">
            <w:pPr>
              <w:jc w:val="center"/>
            </w:pPr>
            <w:r>
              <w:rPr>
                <w:rFonts w:ascii="宋体" w:hAnsi="宋体" w:eastAsia="宋体"/>
                <w:sz w:val="16"/>
              </w:rPr>
              <w:t>891.71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57661">
            <w:pPr>
              <w:jc w:val="center"/>
            </w:pPr>
            <w:r>
              <w:rPr>
                <w:rFonts w:ascii="宋体" w:hAnsi="宋体" w:eastAsia="宋体"/>
                <w:sz w:val="16"/>
              </w:rPr>
              <w:t>1,112.77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8E2C0">
            <w:pPr>
              <w:jc w:val="center"/>
            </w:pPr>
            <w:r>
              <w:rPr>
                <w:rFonts w:ascii="宋体" w:hAnsi="宋体" w:eastAsia="宋体"/>
                <w:sz w:val="16"/>
              </w:rPr>
              <w:t>1,112.77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7EE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CA87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DD99E">
            <w:pPr>
              <w:jc w:val="center"/>
            </w:pPr>
            <w:r>
              <w:rPr>
                <w:rFonts w:ascii="宋体" w:hAnsi="宋体" w:eastAsia="宋体"/>
                <w:sz w:val="16"/>
              </w:rPr>
              <w:t>-</w:t>
            </w:r>
          </w:p>
        </w:tc>
      </w:tr>
      <w:tr w14:paraId="3A1E53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365A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44A3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3664A">
            <w:pPr>
              <w:jc w:val="center"/>
            </w:pPr>
            <w:r>
              <w:rPr>
                <w:rFonts w:ascii="宋体" w:hAnsi="宋体" w:eastAsia="宋体"/>
                <w:sz w:val="16"/>
              </w:rPr>
              <w:t>828.65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BC4F3">
            <w:pPr>
              <w:jc w:val="center"/>
            </w:pPr>
            <w:r>
              <w:rPr>
                <w:rFonts w:ascii="宋体" w:hAnsi="宋体" w:eastAsia="宋体"/>
                <w:sz w:val="16"/>
              </w:rPr>
              <w:t>833.01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AFCD4">
            <w:pPr>
              <w:jc w:val="center"/>
            </w:pPr>
            <w:r>
              <w:rPr>
                <w:rFonts w:ascii="宋体" w:hAnsi="宋体" w:eastAsia="宋体"/>
                <w:sz w:val="16"/>
              </w:rPr>
              <w:t>833.01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60A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A1E2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856FA5">
            <w:pPr>
              <w:jc w:val="center"/>
            </w:pPr>
            <w:r>
              <w:rPr>
                <w:rFonts w:ascii="宋体" w:hAnsi="宋体" w:eastAsia="宋体"/>
                <w:sz w:val="16"/>
              </w:rPr>
              <w:t>-</w:t>
            </w:r>
          </w:p>
        </w:tc>
      </w:tr>
      <w:tr w14:paraId="46C98BD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C030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CFD2D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808ED8">
            <w:pPr>
              <w:jc w:val="center"/>
            </w:pPr>
            <w:r>
              <w:rPr>
                <w:rFonts w:ascii="宋体" w:hAnsi="宋体" w:eastAsia="宋体"/>
                <w:sz w:val="16"/>
              </w:rPr>
              <w:t>实际完成情况</w:t>
            </w:r>
          </w:p>
        </w:tc>
      </w:tr>
      <w:tr w14:paraId="5186A4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0F29A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0E34B7">
            <w:pPr>
              <w:jc w:val="both"/>
            </w:pPr>
            <w:r>
              <w:rPr>
                <w:rFonts w:ascii="宋体" w:hAnsi="宋体" w:eastAsia="宋体"/>
                <w:sz w:val="16"/>
              </w:rPr>
              <w:t>以习近平新时代中国特色社会主义思想为指导，全面贯彻党的二十大精神，践行以人民为中心的发展思想，促进妇女儿童健康发展，提高妇幼保健工作水平。一是坚持以妇女儿童为中心，推进霍城县妇幼卫生健康服务体系建设，做好母婴安全、农村妇女“两癌”检查、出生缺陷防治、免费孕前优生健康检查等工作，为全县妇女儿童提供系统连续的公共卫生服务；二是不断加强内涵建设、持续优化医疗服务流程和模式，以三级妇幼保健机构绩效考核指标为标尺，全面提升医疗服务和管理水平，不断提高母婴安全保障能力，为全县妇女儿童健康保驾护航。</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8DEC2D">
            <w:pPr>
              <w:jc w:val="both"/>
            </w:pPr>
            <w:r>
              <w:rPr>
                <w:rFonts w:ascii="宋体" w:hAnsi="宋体" w:eastAsia="宋体"/>
                <w:sz w:val="16"/>
              </w:rPr>
              <w:t>霍城县妇幼保健计划生育服务中心坚持以人民为中心，以社会需求为导向，优化服务流程，提升医疗质量，整体推进，各项工作取得显著进展。 一是提高了全县母婴安全妇幼保健质量；扎实开展好孕产妇管理工作。二是稳步提升妇幼重大公共卫生服务项目；三是完成孕产妇管理产前筛查92.75%，7岁以下儿童保健和健康管理96.52%。四是进一步提升医疗服务水平。通过不断提升医疗技术水平和服务质量，为妇女儿童提供安全、有效、便捷、温馨医疗保健服务，提升了患者及家属满意度，树立医院的良好形象，增强社会对医院的认可度和信任度</w:t>
            </w:r>
            <w:r>
              <w:rPr>
                <w:rFonts w:hint="eastAsia" w:ascii="宋体" w:hAnsi="宋体"/>
                <w:sz w:val="16"/>
                <w:lang w:eastAsia="zh-CN"/>
              </w:rPr>
              <w:t>。</w:t>
            </w:r>
          </w:p>
        </w:tc>
      </w:tr>
      <w:tr w14:paraId="1A715EB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056C1">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E3CD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E819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B43D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7201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DAE3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6FAF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4F160">
            <w:pPr>
              <w:jc w:val="center"/>
            </w:pPr>
            <w:r>
              <w:rPr>
                <w:rFonts w:ascii="宋体" w:hAnsi="宋体" w:eastAsia="宋体"/>
                <w:sz w:val="16"/>
              </w:rPr>
              <w:t>得分</w:t>
            </w:r>
          </w:p>
        </w:tc>
      </w:tr>
      <w:tr w14:paraId="1DC157B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76EE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BD1D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0F0D3">
            <w:pPr>
              <w:jc w:val="center"/>
            </w:pPr>
            <w:r>
              <w:rPr>
                <w:rFonts w:ascii="宋体" w:hAnsi="宋体" w:eastAsia="宋体"/>
                <w:sz w:val="16"/>
              </w:rPr>
              <w:t>孕产妇系统管理率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20B6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14D5D">
            <w:pPr>
              <w:jc w:val="center"/>
            </w:pPr>
            <w:r>
              <w:rPr>
                <w:rFonts w:ascii="宋体" w:hAnsi="宋体" w:eastAsia="宋体"/>
                <w:sz w:val="16"/>
              </w:rPr>
              <w:t>《新疆维吾尔自治区妇女及儿童发展规划（2021-2025年）统计监测指标体系》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5F8B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B89F7C">
            <w:pPr>
              <w:jc w:val="center"/>
            </w:pPr>
            <w:r>
              <w:rPr>
                <w:rFonts w:ascii="宋体" w:hAnsi="宋体" w:eastAsia="宋体"/>
                <w:sz w:val="16"/>
              </w:rPr>
              <w:t>92.75%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1B553">
            <w:pPr>
              <w:jc w:val="center"/>
            </w:pPr>
            <w:r>
              <w:rPr>
                <w:rFonts w:ascii="宋体" w:hAnsi="宋体" w:eastAsia="宋体"/>
                <w:sz w:val="16"/>
              </w:rPr>
              <w:t>20</w:t>
            </w:r>
          </w:p>
        </w:tc>
      </w:tr>
      <w:tr w14:paraId="3A9875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3FCC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42832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8CD47">
            <w:pPr>
              <w:jc w:val="center"/>
            </w:pPr>
            <w:r>
              <w:rPr>
                <w:rFonts w:ascii="宋体" w:hAnsi="宋体" w:eastAsia="宋体"/>
                <w:sz w:val="16"/>
              </w:rPr>
              <w:t>7岁以下儿童健康管理率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B85A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A43DD">
            <w:pPr>
              <w:jc w:val="center"/>
            </w:pPr>
            <w:r>
              <w:rPr>
                <w:rFonts w:ascii="宋体" w:hAnsi="宋体" w:eastAsia="宋体"/>
                <w:sz w:val="16"/>
              </w:rPr>
              <w:t>《新疆维吾尔自治区妇女及儿童发展规划（2021-2025年）统计监测指标体系》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790A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F8F85">
            <w:pPr>
              <w:jc w:val="center"/>
            </w:pPr>
            <w:r>
              <w:rPr>
                <w:rFonts w:ascii="宋体" w:hAnsi="宋体" w:eastAsia="宋体"/>
                <w:sz w:val="16"/>
              </w:rPr>
              <w:t>96.52%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29850">
            <w:pPr>
              <w:jc w:val="center"/>
            </w:pPr>
            <w:r>
              <w:rPr>
                <w:rFonts w:ascii="宋体" w:hAnsi="宋体" w:eastAsia="宋体"/>
                <w:sz w:val="16"/>
              </w:rPr>
              <w:t>20</w:t>
            </w:r>
          </w:p>
        </w:tc>
      </w:tr>
      <w:tr w14:paraId="257B17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4AE50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0AC9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1586A">
            <w:pPr>
              <w:jc w:val="center"/>
            </w:pPr>
            <w:r>
              <w:rPr>
                <w:rFonts w:ascii="宋体" w:hAnsi="宋体" w:eastAsia="宋体"/>
                <w:sz w:val="16"/>
              </w:rPr>
              <w:t>AZB感染孕产妇抗AZB病毒用药率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5684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48822">
            <w:pPr>
              <w:jc w:val="center"/>
            </w:pPr>
            <w:r>
              <w:rPr>
                <w:rFonts w:ascii="宋体" w:hAnsi="宋体" w:eastAsia="宋体"/>
                <w:sz w:val="16"/>
              </w:rPr>
              <w:t>《预防</w:t>
            </w:r>
            <w:r>
              <w:rPr>
                <w:rFonts w:hint="eastAsia" w:ascii="宋体" w:hAnsi="宋体"/>
                <w:sz w:val="16"/>
                <w:lang w:val="en-US" w:eastAsia="zh-CN"/>
              </w:rPr>
              <w:t>AZB</w:t>
            </w:r>
            <w:r>
              <w:rPr>
                <w:rFonts w:ascii="宋体" w:hAnsi="宋体" w:eastAsia="宋体"/>
                <w:sz w:val="16"/>
              </w:rPr>
              <w:t>、梅毒和乙肝母婴传播工作规范》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D188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5BA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B781C">
            <w:pPr>
              <w:jc w:val="center"/>
            </w:pPr>
            <w:r>
              <w:rPr>
                <w:rFonts w:ascii="宋体" w:hAnsi="宋体" w:eastAsia="宋体"/>
                <w:sz w:val="16"/>
              </w:rPr>
              <w:t>20</w:t>
            </w:r>
          </w:p>
        </w:tc>
      </w:tr>
      <w:tr w14:paraId="791E9AF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CCF7A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0A14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4C2C33">
            <w:pPr>
              <w:jc w:val="center"/>
            </w:pPr>
            <w:r>
              <w:rPr>
                <w:rFonts w:ascii="宋体" w:hAnsi="宋体" w:eastAsia="宋体"/>
                <w:sz w:val="16"/>
              </w:rPr>
              <w:t>资产负债率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DBC7B">
            <w:pPr>
              <w:jc w:val="center"/>
            </w:pPr>
            <w:r>
              <w:rPr>
                <w:rFonts w:ascii="宋体" w:hAnsi="宋体" w:eastAsia="宋体"/>
                <w:sz w:val="16"/>
              </w:rPr>
              <w:t>&lt;=50%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320A8">
            <w:pPr>
              <w:jc w:val="center"/>
            </w:pPr>
            <w:r>
              <w:rPr>
                <w:rFonts w:ascii="宋体" w:hAnsi="宋体" w:eastAsia="宋体"/>
                <w:sz w:val="16"/>
              </w:rPr>
              <w:t>二级妇幼保健机构绩效考核</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E467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8DFBA">
            <w:pPr>
              <w:jc w:val="center"/>
            </w:pPr>
            <w:r>
              <w:rPr>
                <w:rFonts w:ascii="宋体" w:hAnsi="宋体" w:eastAsia="宋体"/>
                <w:sz w:val="16"/>
              </w:rPr>
              <w:t>44.29%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ABF9E">
            <w:pPr>
              <w:jc w:val="center"/>
            </w:pPr>
            <w:r>
              <w:rPr>
                <w:rFonts w:ascii="宋体" w:hAnsi="宋体" w:eastAsia="宋体"/>
                <w:sz w:val="16"/>
              </w:rPr>
              <w:t>15</w:t>
            </w:r>
          </w:p>
        </w:tc>
      </w:tr>
      <w:tr w14:paraId="08057E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0C6B8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BDBD7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2A964">
            <w:pPr>
              <w:jc w:val="center"/>
            </w:pPr>
            <w:r>
              <w:rPr>
                <w:rFonts w:ascii="宋体" w:hAnsi="宋体" w:eastAsia="宋体"/>
                <w:sz w:val="16"/>
              </w:rPr>
              <w:t>收支结余率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320D4">
            <w:pPr>
              <w:jc w:val="center"/>
            </w:pPr>
            <w:r>
              <w:rPr>
                <w:rFonts w:ascii="宋体" w:hAnsi="宋体" w:eastAsia="宋体"/>
                <w:sz w:val="16"/>
              </w:rPr>
              <w:t>&gt;=0%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A3EC7">
            <w:pPr>
              <w:jc w:val="center"/>
            </w:pPr>
            <w:r>
              <w:rPr>
                <w:rFonts w:ascii="宋体" w:hAnsi="宋体" w:eastAsia="宋体"/>
                <w:sz w:val="16"/>
              </w:rPr>
              <w:t>二级妇幼保健机构绩效考核</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8011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FE645">
            <w:pPr>
              <w:jc w:val="center"/>
            </w:pPr>
            <w:r>
              <w:rPr>
                <w:rFonts w:ascii="宋体" w:hAnsi="宋体" w:eastAsia="宋体"/>
                <w:sz w:val="16"/>
              </w:rPr>
              <w:t>-0.26%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33E48">
            <w:pPr>
              <w:jc w:val="center"/>
            </w:pPr>
            <w:r>
              <w:rPr>
                <w:rFonts w:ascii="宋体" w:hAnsi="宋体" w:eastAsia="宋体"/>
                <w:sz w:val="16"/>
              </w:rPr>
              <w:t>14.74</w:t>
            </w:r>
          </w:p>
        </w:tc>
      </w:tr>
    </w:tbl>
    <w:p w14:paraId="31EBF874">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07"/>
        <w:gridCol w:w="615"/>
        <w:gridCol w:w="856"/>
        <w:gridCol w:w="696"/>
        <w:gridCol w:w="776"/>
        <w:gridCol w:w="615"/>
        <w:gridCol w:w="607"/>
        <w:gridCol w:w="607"/>
        <w:gridCol w:w="608"/>
        <w:gridCol w:w="608"/>
        <w:gridCol w:w="630"/>
      </w:tblGrid>
      <w:tr w14:paraId="1957855C">
        <w:tblPrEx>
          <w:tblCellMar>
            <w:top w:w="0" w:type="dxa"/>
            <w:left w:w="108" w:type="dxa"/>
            <w:bottom w:w="0" w:type="dxa"/>
            <w:right w:w="108" w:type="dxa"/>
          </w:tblCellMar>
        </w:tblPrEx>
        <w:tc>
          <w:tcPr>
            <w:tcW w:w="8848" w:type="dxa"/>
            <w:gridSpan w:val="14"/>
            <w:vAlign w:val="center"/>
          </w:tcPr>
          <w:p w14:paraId="3508A968">
            <w:pPr>
              <w:jc w:val="center"/>
            </w:pPr>
            <w:r>
              <w:rPr>
                <w:rFonts w:ascii="宋体" w:hAnsi="宋体" w:eastAsia="宋体"/>
                <w:sz w:val="24"/>
              </w:rPr>
              <w:t>项目支出绩效自评表</w:t>
            </w:r>
          </w:p>
        </w:tc>
      </w:tr>
      <w:tr w14:paraId="2F2B2205">
        <w:tblPrEx>
          <w:tblCellMar>
            <w:top w:w="0" w:type="dxa"/>
            <w:left w:w="108" w:type="dxa"/>
            <w:bottom w:w="0" w:type="dxa"/>
            <w:right w:w="108" w:type="dxa"/>
          </w:tblCellMar>
        </w:tblPrEx>
        <w:tc>
          <w:tcPr>
            <w:tcW w:w="8848" w:type="dxa"/>
            <w:gridSpan w:val="14"/>
            <w:vAlign w:val="center"/>
          </w:tcPr>
          <w:p w14:paraId="78C0D8FE">
            <w:pPr>
              <w:jc w:val="center"/>
            </w:pPr>
            <w:r>
              <w:rPr>
                <w:rFonts w:ascii="宋体" w:hAnsi="宋体" w:eastAsia="宋体"/>
                <w:sz w:val="24"/>
              </w:rPr>
              <w:t>(2024年度)</w:t>
            </w:r>
          </w:p>
        </w:tc>
      </w:tr>
      <w:tr w14:paraId="207773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17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6038E9">
            <w:pPr>
              <w:jc w:val="center"/>
            </w:pPr>
            <w:r>
              <w:rPr>
                <w:rFonts w:ascii="宋体" w:hAnsi="宋体" w:eastAsia="宋体"/>
                <w:sz w:val="16"/>
              </w:rPr>
              <w:t>2024年事业收入（自有资金）</w:t>
            </w:r>
          </w:p>
        </w:tc>
      </w:tr>
      <w:tr w14:paraId="59A95A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12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9B3C7C">
            <w:pPr>
              <w:jc w:val="center"/>
            </w:pPr>
            <w:r>
              <w:rPr>
                <w:rFonts w:ascii="宋体" w:hAnsi="宋体" w:eastAsia="宋体"/>
                <w:sz w:val="16"/>
              </w:rPr>
              <w:t>霍城县妇幼保健计划生育服务中心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AF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D5D7F3">
            <w:pPr>
              <w:jc w:val="center"/>
            </w:pPr>
            <w:r>
              <w:rPr>
                <w:rFonts w:ascii="宋体" w:hAnsi="宋体" w:eastAsia="宋体"/>
                <w:sz w:val="16"/>
              </w:rPr>
              <w:t>霍城县妇幼保健计划生育服务中心</w:t>
            </w:r>
          </w:p>
        </w:tc>
      </w:tr>
      <w:tr w14:paraId="6B3F2F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0317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6B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7FE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60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80B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EA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BF7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5197C">
            <w:pPr>
              <w:jc w:val="center"/>
            </w:pPr>
            <w:r>
              <w:rPr>
                <w:rFonts w:ascii="宋体" w:hAnsi="宋体" w:eastAsia="宋体"/>
                <w:sz w:val="16"/>
              </w:rPr>
              <w:t>得分</w:t>
            </w:r>
          </w:p>
        </w:tc>
      </w:tr>
      <w:tr w14:paraId="2CE11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B1D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046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996AD">
            <w:pPr>
              <w:jc w:val="center"/>
            </w:pPr>
            <w:r>
              <w:rPr>
                <w:rFonts w:ascii="宋体" w:hAnsi="宋体" w:eastAsia="宋体"/>
                <w:sz w:val="16"/>
              </w:rPr>
              <w:t>828.65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85377">
            <w:pPr>
              <w:jc w:val="center"/>
            </w:pPr>
            <w:r>
              <w:rPr>
                <w:rFonts w:ascii="宋体" w:hAnsi="宋体" w:eastAsia="宋体"/>
                <w:sz w:val="16"/>
              </w:rPr>
              <w:t>823.21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9C48D">
            <w:pPr>
              <w:jc w:val="center"/>
            </w:pPr>
            <w:r>
              <w:rPr>
                <w:rFonts w:ascii="宋体" w:hAnsi="宋体" w:eastAsia="宋体"/>
                <w:sz w:val="16"/>
              </w:rPr>
              <w:t>823.21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A9C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DD7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8835">
            <w:pPr>
              <w:jc w:val="center"/>
            </w:pPr>
            <w:r>
              <w:rPr>
                <w:rFonts w:ascii="宋体" w:hAnsi="宋体" w:eastAsia="宋体"/>
                <w:sz w:val="16"/>
              </w:rPr>
              <w:t>10.00</w:t>
            </w:r>
          </w:p>
        </w:tc>
      </w:tr>
      <w:tr w14:paraId="3125B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B29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0D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8A0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A99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FD4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4C0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D31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A2D4">
            <w:pPr>
              <w:jc w:val="center"/>
            </w:pPr>
            <w:r>
              <w:rPr>
                <w:rFonts w:ascii="宋体" w:hAnsi="宋体" w:eastAsia="宋体"/>
                <w:sz w:val="16"/>
              </w:rPr>
              <w:t>—</w:t>
            </w:r>
          </w:p>
        </w:tc>
      </w:tr>
      <w:tr w14:paraId="6160A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318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759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24195">
            <w:pPr>
              <w:jc w:val="center"/>
            </w:pPr>
            <w:r>
              <w:rPr>
                <w:rFonts w:ascii="宋体" w:hAnsi="宋体" w:eastAsia="宋体"/>
                <w:sz w:val="16"/>
              </w:rPr>
              <w:t>828.65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37680">
            <w:pPr>
              <w:jc w:val="center"/>
            </w:pPr>
            <w:r>
              <w:rPr>
                <w:rFonts w:ascii="宋体" w:hAnsi="宋体" w:eastAsia="宋体"/>
                <w:sz w:val="16"/>
              </w:rPr>
              <w:t>823.21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7CD7F">
            <w:pPr>
              <w:jc w:val="center"/>
            </w:pPr>
            <w:r>
              <w:rPr>
                <w:rFonts w:ascii="宋体" w:hAnsi="宋体" w:eastAsia="宋体"/>
                <w:sz w:val="16"/>
              </w:rPr>
              <w:t>823.21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C2F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6E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9B4E">
            <w:pPr>
              <w:jc w:val="center"/>
            </w:pPr>
            <w:r>
              <w:rPr>
                <w:rFonts w:ascii="宋体" w:hAnsi="宋体" w:eastAsia="宋体"/>
                <w:sz w:val="16"/>
              </w:rPr>
              <w:t>—</w:t>
            </w:r>
          </w:p>
        </w:tc>
      </w:tr>
      <w:tr w14:paraId="5336F2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4809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8D8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CBB377">
            <w:pPr>
              <w:jc w:val="center"/>
            </w:pPr>
            <w:r>
              <w:rPr>
                <w:rFonts w:ascii="宋体" w:hAnsi="宋体" w:eastAsia="宋体"/>
                <w:sz w:val="16"/>
              </w:rPr>
              <w:t>实际完成情况</w:t>
            </w:r>
          </w:p>
        </w:tc>
      </w:tr>
      <w:tr w14:paraId="32516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285F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EDAEF">
            <w:pPr>
              <w:jc w:val="both"/>
            </w:pPr>
            <w:r>
              <w:rPr>
                <w:rFonts w:ascii="宋体" w:hAnsi="宋体" w:eastAsia="宋体"/>
                <w:sz w:val="16"/>
              </w:rPr>
              <w:t>以习近平新时代中国特色社会主义思想为引领，以党的二十大精神为指导，围绕妇幼卫生工作基本方针，坚持以促进全县妇女儿童身心健康发展为宗旨，坚持以保障母婴安全和全面实现和谐妇幼为目标，不断深化医药卫生体制改革，推动基本公共卫生服务项目工作，提升医疗卫生服务水平，全面落实基本及重大公共卫生妇幼项目工作，切实发挥妇女儿童保健职能，提高妇幼保健工作水平，推动卫生工作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942D57">
            <w:pPr>
              <w:jc w:val="both"/>
            </w:pPr>
            <w:r>
              <w:rPr>
                <w:rFonts w:ascii="宋体" w:hAnsi="宋体" w:eastAsia="宋体"/>
                <w:sz w:val="16"/>
              </w:rPr>
              <w:t>完成了对工作人员工资发放60人；工资发放12次；完成购买专用材料12次；开展特色医疗服务，提高医疗服务质量，满足人民群众的基本医疗卫生服务需求，推动基层医疗卫生事业的持续发展，保障了城乡居民的基本医疗需求，提升了慢性病预防和管理水平，改善了人民群众的健康状况。保障单位人员发放工资福利支出及公用经费正常运转支出，并确保人员工资和社保足额发放及缴纳。</w:t>
            </w:r>
          </w:p>
        </w:tc>
      </w:tr>
      <w:tr w14:paraId="7AC69F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3AC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93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447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A4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78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5B96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1A1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85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CB3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011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9A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02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727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9907">
            <w:pPr>
              <w:jc w:val="center"/>
            </w:pPr>
            <w:r>
              <w:rPr>
                <w:rFonts w:ascii="宋体" w:hAnsi="宋体" w:eastAsia="宋体"/>
                <w:sz w:val="16"/>
              </w:rPr>
              <w:t>偏差原因分析及改进措施</w:t>
            </w:r>
          </w:p>
        </w:tc>
      </w:tr>
      <w:tr w14:paraId="3D48EC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3BC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231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DEB4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AFAD">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1F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013C">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6D21">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3CC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CC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5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41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7D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62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C4D2">
            <w:pPr>
              <w:jc w:val="center"/>
            </w:pPr>
          </w:p>
        </w:tc>
      </w:tr>
      <w:tr w14:paraId="19833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28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66D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8F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C063">
            <w:pPr>
              <w:jc w:val="center"/>
            </w:pPr>
            <w:r>
              <w:rPr>
                <w:rFonts w:ascii="宋体" w:hAnsi="宋体" w:eastAsia="宋体"/>
                <w:sz w:val="16"/>
              </w:rPr>
              <w:t>购买专用材料批次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FF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870E6">
            <w:pPr>
              <w:jc w:val="center"/>
            </w:pPr>
            <w:r>
              <w:rPr>
                <w:rFonts w:ascii="宋体" w:hAnsi="宋体" w:eastAsia="宋体"/>
                <w:sz w:val="16"/>
              </w:rPr>
              <w:t>&gt;=11次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3150F">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CF72">
            <w:pPr>
              <w:jc w:val="center"/>
            </w:pPr>
            <w:r>
              <w:rPr>
                <w:rFonts w:ascii="宋体" w:hAnsi="宋体" w:eastAsia="宋体"/>
                <w:sz w:val="16"/>
              </w:rPr>
              <w:t>109.09%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155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4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EB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2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4C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45C2">
            <w:pPr>
              <w:jc w:val="center"/>
            </w:pPr>
            <w:r>
              <w:rPr>
                <w:rFonts w:ascii="宋体" w:hAnsi="宋体" w:eastAsia="宋体"/>
                <w:sz w:val="16"/>
              </w:rPr>
              <w:t>保障专用材料储备，每月按照专用材料进行采购，全年采购批次达到12批次。</w:t>
            </w:r>
          </w:p>
        </w:tc>
      </w:tr>
      <w:tr w14:paraId="576F2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B42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EEC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B1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1330">
            <w:pPr>
              <w:jc w:val="center"/>
            </w:pPr>
            <w:r>
              <w:rPr>
                <w:rFonts w:ascii="宋体" w:hAnsi="宋体" w:eastAsia="宋体"/>
                <w:sz w:val="16"/>
              </w:rPr>
              <w:t>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0A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49EC">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DB0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1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4C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D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7E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BA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99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9C0B">
            <w:pPr>
              <w:jc w:val="center"/>
            </w:pPr>
          </w:p>
        </w:tc>
      </w:tr>
      <w:tr w14:paraId="4E9D57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7B8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98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979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57B6">
            <w:pPr>
              <w:jc w:val="center"/>
            </w:pPr>
            <w:r>
              <w:rPr>
                <w:rFonts w:ascii="宋体" w:hAnsi="宋体" w:eastAsia="宋体"/>
                <w:sz w:val="16"/>
              </w:rPr>
              <w:t>购买专用材料质量合格率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CF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93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E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0D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A4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84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9B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08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B8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EC08">
            <w:pPr>
              <w:jc w:val="center"/>
            </w:pPr>
          </w:p>
        </w:tc>
      </w:tr>
      <w:tr w14:paraId="6C71A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1AA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16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7C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5AC19">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15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9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16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D7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66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2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ED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2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39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C387">
            <w:pPr>
              <w:jc w:val="center"/>
            </w:pPr>
          </w:p>
        </w:tc>
      </w:tr>
      <w:tr w14:paraId="7FFA5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59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81B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305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432B">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D6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34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4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BA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BA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5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FB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29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62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1E86">
            <w:pPr>
              <w:jc w:val="center"/>
            </w:pPr>
          </w:p>
        </w:tc>
      </w:tr>
      <w:tr w14:paraId="52236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B9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044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64E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005A">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44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2B2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B55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2D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DC17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74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41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1A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93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0B9B3">
            <w:pPr>
              <w:jc w:val="center"/>
            </w:pPr>
          </w:p>
        </w:tc>
      </w:tr>
      <w:tr w14:paraId="5806C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556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587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8EF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E627">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42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AA72">
            <w:pPr>
              <w:jc w:val="center"/>
            </w:pPr>
            <w:r>
              <w:rPr>
                <w:rFonts w:ascii="宋体" w:hAnsi="宋体" w:eastAsia="宋体"/>
                <w:sz w:val="16"/>
              </w:rPr>
              <w:t>&lt;=5119元/人/次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3675">
            <w:pPr>
              <w:jc w:val="center"/>
            </w:pPr>
            <w:r>
              <w:rPr>
                <w:rFonts w:ascii="宋体" w:hAnsi="宋体" w:eastAsia="宋体"/>
                <w:sz w:val="16"/>
              </w:rPr>
              <w:t>5119元/人/次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9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3D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26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25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C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B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36FF">
            <w:pPr>
              <w:jc w:val="center"/>
            </w:pPr>
          </w:p>
        </w:tc>
      </w:tr>
      <w:tr w14:paraId="652D4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63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F2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93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F2AD">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3C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89C6">
            <w:pPr>
              <w:jc w:val="center"/>
            </w:pPr>
            <w:r>
              <w:rPr>
                <w:rFonts w:ascii="宋体" w:hAnsi="宋体" w:eastAsia="宋体"/>
                <w:sz w:val="16"/>
              </w:rPr>
              <w:t>&lt;=274.8万元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D219">
            <w:pPr>
              <w:jc w:val="center"/>
            </w:pPr>
            <w:r>
              <w:rPr>
                <w:rFonts w:ascii="宋体" w:hAnsi="宋体" w:eastAsia="宋体"/>
                <w:sz w:val="16"/>
              </w:rPr>
              <w:t>274.8万元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677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63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1C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A96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AB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AE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09B5">
            <w:pPr>
              <w:jc w:val="center"/>
            </w:pPr>
          </w:p>
        </w:tc>
      </w:tr>
      <w:tr w14:paraId="3304D8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04B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7D7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42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D9382">
            <w:pPr>
              <w:jc w:val="center"/>
            </w:pPr>
            <w:r>
              <w:rPr>
                <w:rFonts w:ascii="宋体" w:hAnsi="宋体" w:eastAsia="宋体"/>
                <w:sz w:val="16"/>
              </w:rPr>
              <w:t>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ECB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A8C2">
            <w:pPr>
              <w:jc w:val="center"/>
            </w:pPr>
            <w:r>
              <w:rPr>
                <w:rFonts w:ascii="宋体" w:hAnsi="宋体" w:eastAsia="宋体"/>
                <w:sz w:val="16"/>
              </w:rPr>
              <w:t>&lt;=179.83万元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2FC2">
            <w:pPr>
              <w:jc w:val="center"/>
            </w:pPr>
            <w:r>
              <w:rPr>
                <w:rFonts w:ascii="宋体" w:hAnsi="宋体" w:eastAsia="宋体"/>
                <w:sz w:val="16"/>
              </w:rPr>
              <w:t>179.83万元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4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58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0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05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E7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47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1C21">
            <w:pPr>
              <w:jc w:val="center"/>
            </w:pPr>
          </w:p>
        </w:tc>
      </w:tr>
      <w:tr w14:paraId="4EA0E1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1C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EC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8C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2DE0">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8B9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A2B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4FBB">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0C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EA7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C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5C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7D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83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68B4">
            <w:pPr>
              <w:jc w:val="center"/>
            </w:pPr>
          </w:p>
        </w:tc>
      </w:tr>
      <w:tr w14:paraId="3C663C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36FEF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D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C23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5195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DEAE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53B2">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4F7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B4B4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B22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B44F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9B70E"/>
        </w:tc>
      </w:tr>
    </w:tbl>
    <w:p w14:paraId="09AAD13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AF274DC">
        <w:tblPrEx>
          <w:tblCellMar>
            <w:top w:w="0" w:type="dxa"/>
            <w:left w:w="108" w:type="dxa"/>
            <w:bottom w:w="0" w:type="dxa"/>
            <w:right w:w="108" w:type="dxa"/>
          </w:tblCellMar>
        </w:tblPrEx>
        <w:tc>
          <w:tcPr>
            <w:tcW w:w="8848" w:type="dxa"/>
            <w:gridSpan w:val="14"/>
            <w:vAlign w:val="center"/>
          </w:tcPr>
          <w:p w14:paraId="37D54E84">
            <w:pPr>
              <w:jc w:val="center"/>
            </w:pPr>
            <w:r>
              <w:rPr>
                <w:rFonts w:ascii="宋体" w:hAnsi="宋体" w:eastAsia="宋体"/>
                <w:sz w:val="24"/>
              </w:rPr>
              <w:t>项目支出绩效自评表</w:t>
            </w:r>
          </w:p>
        </w:tc>
      </w:tr>
      <w:tr w14:paraId="452348A8">
        <w:tblPrEx>
          <w:tblCellMar>
            <w:top w:w="0" w:type="dxa"/>
            <w:left w:w="108" w:type="dxa"/>
            <w:bottom w:w="0" w:type="dxa"/>
            <w:right w:w="108" w:type="dxa"/>
          </w:tblCellMar>
        </w:tblPrEx>
        <w:tc>
          <w:tcPr>
            <w:tcW w:w="8848" w:type="dxa"/>
            <w:gridSpan w:val="14"/>
            <w:vAlign w:val="center"/>
          </w:tcPr>
          <w:p w14:paraId="761F2C0D">
            <w:pPr>
              <w:jc w:val="center"/>
            </w:pPr>
            <w:r>
              <w:rPr>
                <w:rFonts w:ascii="宋体" w:hAnsi="宋体" w:eastAsia="宋体"/>
                <w:sz w:val="24"/>
              </w:rPr>
              <w:t>(2024年度)</w:t>
            </w:r>
          </w:p>
        </w:tc>
      </w:tr>
      <w:tr w14:paraId="075FA3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A9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C8FA0C">
            <w:pPr>
              <w:jc w:val="center"/>
            </w:pPr>
            <w:r>
              <w:rPr>
                <w:rFonts w:ascii="宋体" w:hAnsi="宋体" w:eastAsia="宋体"/>
                <w:sz w:val="16"/>
              </w:rPr>
              <w:t>关于拨付妇计中心医疗服务保障能力提升补助资金（欠款）</w:t>
            </w:r>
          </w:p>
        </w:tc>
      </w:tr>
      <w:tr w14:paraId="523C04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AC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082FA">
            <w:pPr>
              <w:jc w:val="center"/>
            </w:pPr>
            <w:r>
              <w:rPr>
                <w:rFonts w:ascii="宋体" w:hAnsi="宋体" w:eastAsia="宋体"/>
                <w:sz w:val="16"/>
              </w:rPr>
              <w:t>霍城县妇幼保健计划生育服务中心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2A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FB0220">
            <w:pPr>
              <w:jc w:val="center"/>
            </w:pPr>
            <w:r>
              <w:rPr>
                <w:rFonts w:ascii="宋体" w:hAnsi="宋体" w:eastAsia="宋体"/>
                <w:sz w:val="16"/>
              </w:rPr>
              <w:t>霍城县妇幼保健计划生育服务中心</w:t>
            </w:r>
          </w:p>
        </w:tc>
      </w:tr>
      <w:tr w14:paraId="48936A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19D5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6C6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549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48F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426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718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E87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C28E">
            <w:pPr>
              <w:jc w:val="center"/>
            </w:pPr>
            <w:r>
              <w:rPr>
                <w:rFonts w:ascii="宋体" w:hAnsi="宋体" w:eastAsia="宋体"/>
                <w:sz w:val="16"/>
              </w:rPr>
              <w:t>得分</w:t>
            </w:r>
          </w:p>
        </w:tc>
      </w:tr>
      <w:tr w14:paraId="2C247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7B5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B51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968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1E0A6">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17728">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3A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365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394A">
            <w:pPr>
              <w:jc w:val="center"/>
            </w:pPr>
            <w:r>
              <w:rPr>
                <w:rFonts w:ascii="宋体" w:hAnsi="宋体" w:eastAsia="宋体"/>
                <w:sz w:val="16"/>
              </w:rPr>
              <w:t>10.00</w:t>
            </w:r>
          </w:p>
        </w:tc>
      </w:tr>
      <w:tr w14:paraId="4B021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E5A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8AC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BF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8B522">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1CFDD">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EF0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81B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BCA4">
            <w:pPr>
              <w:jc w:val="center"/>
            </w:pPr>
            <w:r>
              <w:rPr>
                <w:rFonts w:ascii="宋体" w:hAnsi="宋体" w:eastAsia="宋体"/>
                <w:sz w:val="16"/>
              </w:rPr>
              <w:t>—</w:t>
            </w:r>
          </w:p>
        </w:tc>
      </w:tr>
      <w:tr w14:paraId="240A9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E34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994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6A4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B14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8D2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55D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27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1EC2">
            <w:pPr>
              <w:jc w:val="center"/>
            </w:pPr>
            <w:r>
              <w:rPr>
                <w:rFonts w:ascii="宋体" w:hAnsi="宋体" w:eastAsia="宋体"/>
                <w:sz w:val="16"/>
              </w:rPr>
              <w:t>—</w:t>
            </w:r>
          </w:p>
        </w:tc>
      </w:tr>
      <w:tr w14:paraId="22CB36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3A1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78D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342B7D">
            <w:pPr>
              <w:jc w:val="center"/>
            </w:pPr>
            <w:r>
              <w:rPr>
                <w:rFonts w:ascii="宋体" w:hAnsi="宋体" w:eastAsia="宋体"/>
                <w:sz w:val="16"/>
              </w:rPr>
              <w:t>实际完成情况</w:t>
            </w:r>
          </w:p>
        </w:tc>
      </w:tr>
      <w:tr w14:paraId="3F2F7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B9F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CDECE5">
            <w:pPr>
              <w:jc w:val="both"/>
            </w:pPr>
            <w:r>
              <w:rPr>
                <w:rFonts w:ascii="宋体" w:hAnsi="宋体" w:eastAsia="宋体"/>
                <w:sz w:val="16"/>
              </w:rPr>
              <w:t>霍城县母婴安全形势严峻，贫困孕产妇及儿童多，</w:t>
            </w:r>
            <w:r>
              <w:rPr>
                <w:rFonts w:hint="eastAsia" w:ascii="宋体" w:hAnsi="宋体"/>
                <w:sz w:val="16"/>
                <w:lang w:eastAsia="zh-CN"/>
              </w:rPr>
              <w:t>本单位</w:t>
            </w:r>
            <w:r>
              <w:rPr>
                <w:rFonts w:ascii="宋体" w:hAnsi="宋体" w:eastAsia="宋体"/>
                <w:sz w:val="16"/>
              </w:rPr>
              <w:t>又承担着县域内重大公共卫生项目及孕产妇和</w:t>
            </w:r>
            <w:bookmarkStart w:id="0" w:name="_GoBack"/>
            <w:r>
              <w:rPr>
                <w:rFonts w:ascii="宋体" w:hAnsi="宋体" w:eastAsia="宋体"/>
                <w:sz w:val="16"/>
              </w:rPr>
              <w:t>0-6</w:t>
            </w:r>
            <w:r>
              <w:rPr>
                <w:rFonts w:hint="eastAsia" w:ascii="宋体" w:hAnsi="宋体"/>
                <w:sz w:val="16"/>
                <w:lang w:eastAsia="zh-CN"/>
              </w:rPr>
              <w:t>岁</w:t>
            </w:r>
            <w:bookmarkEnd w:id="0"/>
            <w:r>
              <w:rPr>
                <w:rFonts w:hint="eastAsia" w:ascii="宋体" w:hAnsi="宋体"/>
                <w:sz w:val="16"/>
                <w:lang w:eastAsia="zh-CN"/>
              </w:rPr>
              <w:t>儿</w:t>
            </w:r>
            <w:r>
              <w:rPr>
                <w:rFonts w:ascii="宋体" w:hAnsi="宋体" w:eastAsia="宋体"/>
                <w:sz w:val="16"/>
              </w:rPr>
              <w:t>童转诊任务，为保证霍城县孕产妇和0-6岁儿童转诊工作的正常运行，购买救护车以提升妇产科和新生儿科服务能力，切实降低孕产妇和婴儿死亡率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83F990">
            <w:pPr>
              <w:jc w:val="both"/>
            </w:pPr>
            <w:r>
              <w:rPr>
                <w:rFonts w:ascii="宋体" w:hAnsi="宋体" w:eastAsia="宋体"/>
                <w:sz w:val="16"/>
              </w:rPr>
              <w:t>给湖北威泰汽车贸易有限公司还款9.8万元，化解了拖欠中小企业欠款问题，提升了我院的公信力。</w:t>
            </w:r>
          </w:p>
        </w:tc>
      </w:tr>
      <w:tr w14:paraId="14D4B9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312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B0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AB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CE1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67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8F7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53D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6D3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3DB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D4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0B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2F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8C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5865">
            <w:pPr>
              <w:jc w:val="center"/>
            </w:pPr>
            <w:r>
              <w:rPr>
                <w:rFonts w:ascii="宋体" w:hAnsi="宋体" w:eastAsia="宋体"/>
                <w:sz w:val="16"/>
              </w:rPr>
              <w:t>偏差原因分析及改进措施</w:t>
            </w:r>
          </w:p>
        </w:tc>
      </w:tr>
      <w:tr w14:paraId="604448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6D6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CF0D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B09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C3B9">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27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397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823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6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4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7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06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20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16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49E53">
            <w:pPr>
              <w:jc w:val="center"/>
            </w:pPr>
          </w:p>
        </w:tc>
      </w:tr>
      <w:tr w14:paraId="0931B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29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CF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04E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6D0FA">
            <w:pPr>
              <w:jc w:val="center"/>
            </w:pPr>
            <w:r>
              <w:rPr>
                <w:rFonts w:ascii="宋体" w:hAnsi="宋体" w:eastAsia="宋体"/>
                <w:sz w:val="16"/>
              </w:rPr>
              <w:t>支付项目欠款单位数量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47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84BF">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88A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3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74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78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D7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98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EE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D332">
            <w:pPr>
              <w:jc w:val="center"/>
            </w:pPr>
          </w:p>
        </w:tc>
      </w:tr>
      <w:tr w14:paraId="145BE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2F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F92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37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AFE8">
            <w:pPr>
              <w:jc w:val="center"/>
            </w:pPr>
            <w:r>
              <w:rPr>
                <w:rFonts w:ascii="宋体" w:hAnsi="宋体" w:eastAsia="宋体"/>
                <w:sz w:val="16"/>
              </w:rPr>
              <w:t>欠款支付正确率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A2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7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49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B6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BC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4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A6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5C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F7F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795C">
            <w:pPr>
              <w:jc w:val="center"/>
            </w:pPr>
          </w:p>
        </w:tc>
      </w:tr>
      <w:tr w14:paraId="7CB5A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A7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C7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C9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EE9C">
            <w:pPr>
              <w:jc w:val="center"/>
            </w:pPr>
            <w:r>
              <w:rPr>
                <w:rFonts w:ascii="宋体" w:hAnsi="宋体" w:eastAsia="宋体"/>
                <w:sz w:val="16"/>
              </w:rPr>
              <w:t>项目欠款支付及时率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83B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C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9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9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58B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8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AA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BE3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45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79FB">
            <w:pPr>
              <w:jc w:val="center"/>
            </w:pPr>
          </w:p>
        </w:tc>
      </w:tr>
      <w:tr w14:paraId="43D48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B2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AF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71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5BC8">
            <w:pPr>
              <w:jc w:val="center"/>
            </w:pPr>
            <w:r>
              <w:rPr>
                <w:rFonts w:ascii="宋体" w:hAnsi="宋体" w:eastAsia="宋体"/>
                <w:sz w:val="16"/>
              </w:rPr>
              <w:t>项目欠款支付金额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57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1B23">
            <w:pPr>
              <w:jc w:val="center"/>
            </w:pPr>
            <w:r>
              <w:rPr>
                <w:rFonts w:ascii="宋体" w:hAnsi="宋体" w:eastAsia="宋体"/>
                <w:sz w:val="16"/>
              </w:rPr>
              <w: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7697">
            <w:pPr>
              <w:jc w:val="center"/>
            </w:pPr>
            <w:r>
              <w:rPr>
                <w:rFonts w:ascii="宋体" w:hAnsi="宋体" w:eastAsia="宋体"/>
                <w:sz w:val="16"/>
              </w:rPr>
              <w: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5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6B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6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F6A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A90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F5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7EFC">
            <w:pPr>
              <w:jc w:val="center"/>
            </w:pPr>
          </w:p>
        </w:tc>
      </w:tr>
      <w:tr w14:paraId="2D1BE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A83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ED91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67C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304F">
            <w:pPr>
              <w:jc w:val="center"/>
            </w:pPr>
            <w:r>
              <w:rPr>
                <w:rFonts w:ascii="宋体" w:hAnsi="宋体" w:eastAsia="宋体"/>
                <w:sz w:val="16"/>
              </w:rPr>
              <w:t>化解拖欠中小企业欠款问题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FC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5282">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6153">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0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A0A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21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F8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81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8E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6DC9">
            <w:pPr>
              <w:jc w:val="center"/>
            </w:pPr>
          </w:p>
        </w:tc>
      </w:tr>
      <w:tr w14:paraId="2C1E3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47C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9A5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0B0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E6783">
            <w:pPr>
              <w:jc w:val="center"/>
            </w:pPr>
            <w:r>
              <w:rPr>
                <w:rFonts w:ascii="宋体" w:hAnsi="宋体" w:eastAsia="宋体"/>
                <w:sz w:val="16"/>
              </w:rPr>
              <w:t>提升医院公信力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077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E71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BCE6">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F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176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06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94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D0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8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E663">
            <w:pPr>
              <w:jc w:val="center"/>
            </w:pPr>
          </w:p>
        </w:tc>
      </w:tr>
      <w:tr w14:paraId="23C380A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5C71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B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5B5E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A6D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3E7E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63C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C485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F29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CEBD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D99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27276"/>
        </w:tc>
      </w:tr>
    </w:tbl>
    <w:p w14:paraId="7680B93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0CAAAFC">
        <w:tblPrEx>
          <w:tblCellMar>
            <w:top w:w="0" w:type="dxa"/>
            <w:left w:w="108" w:type="dxa"/>
            <w:bottom w:w="0" w:type="dxa"/>
            <w:right w:w="108" w:type="dxa"/>
          </w:tblCellMar>
        </w:tblPrEx>
        <w:tc>
          <w:tcPr>
            <w:tcW w:w="8848" w:type="dxa"/>
            <w:gridSpan w:val="14"/>
            <w:vAlign w:val="center"/>
          </w:tcPr>
          <w:p w14:paraId="554E0E91">
            <w:pPr>
              <w:jc w:val="center"/>
            </w:pPr>
            <w:r>
              <w:rPr>
                <w:rFonts w:ascii="宋体" w:hAnsi="宋体" w:eastAsia="宋体"/>
                <w:sz w:val="24"/>
              </w:rPr>
              <w:t>项目支出绩效自评表</w:t>
            </w:r>
          </w:p>
        </w:tc>
      </w:tr>
      <w:tr w14:paraId="67DDD64F">
        <w:tblPrEx>
          <w:tblCellMar>
            <w:top w:w="0" w:type="dxa"/>
            <w:left w:w="108" w:type="dxa"/>
            <w:bottom w:w="0" w:type="dxa"/>
            <w:right w:w="108" w:type="dxa"/>
          </w:tblCellMar>
        </w:tblPrEx>
        <w:tc>
          <w:tcPr>
            <w:tcW w:w="8848" w:type="dxa"/>
            <w:gridSpan w:val="14"/>
            <w:vAlign w:val="center"/>
          </w:tcPr>
          <w:p w14:paraId="230AD78F">
            <w:pPr>
              <w:jc w:val="center"/>
            </w:pPr>
            <w:r>
              <w:rPr>
                <w:rFonts w:ascii="宋体" w:hAnsi="宋体" w:eastAsia="宋体"/>
                <w:sz w:val="24"/>
              </w:rPr>
              <w:t>(2024年度)</w:t>
            </w:r>
          </w:p>
        </w:tc>
      </w:tr>
      <w:tr w14:paraId="22139C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93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F7EB66">
            <w:pPr>
              <w:jc w:val="center"/>
            </w:pPr>
            <w:r>
              <w:rPr>
                <w:rFonts w:ascii="宋体" w:hAnsi="宋体" w:eastAsia="宋体"/>
                <w:sz w:val="16"/>
              </w:rPr>
              <w:t>提前下达2021年中央财政医疗服务与保障能力提升补助资金项目（欠款）</w:t>
            </w:r>
          </w:p>
        </w:tc>
      </w:tr>
      <w:tr w14:paraId="2AEC5A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23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E0675B">
            <w:pPr>
              <w:jc w:val="center"/>
            </w:pPr>
            <w:r>
              <w:rPr>
                <w:rFonts w:ascii="宋体" w:hAnsi="宋体" w:eastAsia="宋体"/>
                <w:sz w:val="16"/>
              </w:rPr>
              <w:t>霍城县妇幼保健计划生育服务中心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18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ABA396">
            <w:pPr>
              <w:jc w:val="center"/>
            </w:pPr>
            <w:r>
              <w:rPr>
                <w:rFonts w:ascii="宋体" w:hAnsi="宋体" w:eastAsia="宋体"/>
                <w:sz w:val="16"/>
              </w:rPr>
              <w:t>霍城县妇幼保健计划生育服务中心</w:t>
            </w:r>
          </w:p>
        </w:tc>
      </w:tr>
      <w:tr w14:paraId="33C37E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E944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D12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5FC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DA7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67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34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565D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B1B7E">
            <w:pPr>
              <w:jc w:val="center"/>
            </w:pPr>
            <w:r>
              <w:rPr>
                <w:rFonts w:ascii="宋体" w:hAnsi="宋体" w:eastAsia="宋体"/>
                <w:sz w:val="16"/>
              </w:rPr>
              <w:t>得分</w:t>
            </w:r>
          </w:p>
        </w:tc>
      </w:tr>
      <w:tr w14:paraId="7F017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7BB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5ED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0ED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2013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6D8D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AAD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102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014C">
            <w:pPr>
              <w:jc w:val="center"/>
            </w:pPr>
            <w:r>
              <w:rPr>
                <w:rFonts w:ascii="宋体" w:hAnsi="宋体" w:eastAsia="宋体"/>
                <w:sz w:val="16"/>
              </w:rPr>
              <w:t>10.00</w:t>
            </w:r>
          </w:p>
        </w:tc>
      </w:tr>
      <w:tr w14:paraId="1B1EA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78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CAA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EFB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19E1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A34C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C4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DA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3B1E">
            <w:pPr>
              <w:jc w:val="center"/>
            </w:pPr>
            <w:r>
              <w:rPr>
                <w:rFonts w:ascii="宋体" w:hAnsi="宋体" w:eastAsia="宋体"/>
                <w:sz w:val="16"/>
              </w:rPr>
              <w:t>—</w:t>
            </w:r>
          </w:p>
        </w:tc>
      </w:tr>
      <w:tr w14:paraId="1449E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C06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005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52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E31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8DC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E8C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45E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672A">
            <w:pPr>
              <w:jc w:val="center"/>
            </w:pPr>
            <w:r>
              <w:rPr>
                <w:rFonts w:ascii="宋体" w:hAnsi="宋体" w:eastAsia="宋体"/>
                <w:sz w:val="16"/>
              </w:rPr>
              <w:t>—</w:t>
            </w:r>
          </w:p>
        </w:tc>
      </w:tr>
      <w:tr w14:paraId="784EE2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797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9CE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16FFE7">
            <w:pPr>
              <w:jc w:val="center"/>
            </w:pPr>
            <w:r>
              <w:rPr>
                <w:rFonts w:ascii="宋体" w:hAnsi="宋体" w:eastAsia="宋体"/>
                <w:sz w:val="16"/>
              </w:rPr>
              <w:t>实际完成情况</w:t>
            </w:r>
          </w:p>
        </w:tc>
      </w:tr>
      <w:tr w14:paraId="29F37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FF3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E448C">
            <w:pPr>
              <w:jc w:val="both"/>
            </w:pPr>
            <w:r>
              <w:rPr>
                <w:rFonts w:ascii="宋体" w:hAnsi="宋体" w:eastAsia="宋体"/>
                <w:sz w:val="16"/>
              </w:rPr>
              <w:t>霍城县母婴安全形势严峻，贫困孕产妇及儿童多，</w:t>
            </w:r>
            <w:r>
              <w:rPr>
                <w:rFonts w:hint="eastAsia" w:ascii="宋体" w:hAnsi="宋体"/>
                <w:sz w:val="16"/>
                <w:lang w:eastAsia="zh-CN"/>
              </w:rPr>
              <w:t>本单位</w:t>
            </w:r>
            <w:r>
              <w:rPr>
                <w:rFonts w:ascii="宋体" w:hAnsi="宋体" w:eastAsia="宋体"/>
                <w:sz w:val="16"/>
              </w:rPr>
              <w:t>又承担着县域内重大公共卫生项目及孕产妇和0-6</w:t>
            </w:r>
            <w:r>
              <w:rPr>
                <w:rFonts w:hint="eastAsia" w:ascii="宋体" w:hAnsi="宋体"/>
                <w:sz w:val="16"/>
                <w:lang w:eastAsia="zh-CN"/>
              </w:rPr>
              <w:t>岁儿</w:t>
            </w:r>
            <w:r>
              <w:rPr>
                <w:rFonts w:ascii="宋体" w:hAnsi="宋体" w:eastAsia="宋体"/>
                <w:sz w:val="16"/>
              </w:rPr>
              <w:t>童转诊任务，为保证霍城县孕产妇和0-6岁儿童转诊工作的正常运行，购买救护车以提升妇产科和新生儿科服务能力，切实降低孕产妇和婴儿死亡率。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29ACE9">
            <w:pPr>
              <w:jc w:val="both"/>
            </w:pPr>
            <w:r>
              <w:rPr>
                <w:rFonts w:ascii="宋体" w:hAnsi="宋体" w:eastAsia="宋体"/>
                <w:sz w:val="16"/>
              </w:rPr>
              <w:t>给湖北威泰汽车贸易有限公司还款10万元，化解了拖欠中小企业欠款问题，提升了我院的公信力。</w:t>
            </w:r>
          </w:p>
        </w:tc>
      </w:tr>
      <w:tr w14:paraId="3FB9EB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A17B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7E8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2E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36F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E7B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CB3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22F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CC7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135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41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D0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94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56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8D16F">
            <w:pPr>
              <w:jc w:val="center"/>
            </w:pPr>
            <w:r>
              <w:rPr>
                <w:rFonts w:ascii="宋体" w:hAnsi="宋体" w:eastAsia="宋体"/>
                <w:sz w:val="16"/>
              </w:rPr>
              <w:t>偏差原因分析及改进措施</w:t>
            </w:r>
          </w:p>
        </w:tc>
      </w:tr>
      <w:tr w14:paraId="217A7F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947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662C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E29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4CC5A">
            <w:pPr>
              <w:jc w:val="center"/>
            </w:pPr>
            <w:r>
              <w:rPr>
                <w:rFonts w:ascii="宋体" w:hAnsi="宋体" w:eastAsia="宋体"/>
                <w:sz w:val="16"/>
              </w:rPr>
              <w:t>项目欠款支付笔数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1D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F9B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078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A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12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8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D84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E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C7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BDB6D">
            <w:pPr>
              <w:jc w:val="center"/>
            </w:pPr>
          </w:p>
        </w:tc>
      </w:tr>
      <w:tr w14:paraId="5F6E9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2D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BE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C8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C115">
            <w:pPr>
              <w:jc w:val="center"/>
            </w:pPr>
            <w:r>
              <w:rPr>
                <w:rFonts w:ascii="宋体" w:hAnsi="宋体" w:eastAsia="宋体"/>
                <w:sz w:val="16"/>
              </w:rPr>
              <w:t>支付项目欠款单位数量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F6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9B8B">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4B93">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E0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F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3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82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0E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FF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72B6">
            <w:pPr>
              <w:jc w:val="center"/>
            </w:pPr>
          </w:p>
        </w:tc>
      </w:tr>
      <w:tr w14:paraId="25FA3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B42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EC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56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0BDC">
            <w:pPr>
              <w:jc w:val="center"/>
            </w:pPr>
            <w:r>
              <w:rPr>
                <w:rFonts w:ascii="宋体" w:hAnsi="宋体" w:eastAsia="宋体"/>
                <w:sz w:val="16"/>
              </w:rPr>
              <w:t>欠款支付正确率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05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EA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2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33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07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AD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7A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6B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59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66A6">
            <w:pPr>
              <w:jc w:val="center"/>
            </w:pPr>
          </w:p>
        </w:tc>
      </w:tr>
      <w:tr w14:paraId="6337A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D1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618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4E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34D3">
            <w:pPr>
              <w:jc w:val="center"/>
            </w:pPr>
            <w:r>
              <w:rPr>
                <w:rFonts w:ascii="宋体" w:hAnsi="宋体" w:eastAsia="宋体"/>
                <w:sz w:val="16"/>
              </w:rPr>
              <w:t>项目欠款支付及时率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55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D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1C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B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92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B1B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2F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91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D2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9020">
            <w:pPr>
              <w:jc w:val="center"/>
            </w:pPr>
          </w:p>
        </w:tc>
      </w:tr>
      <w:tr w14:paraId="5067D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AD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B5C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94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B7DF">
            <w:pPr>
              <w:jc w:val="center"/>
            </w:pPr>
            <w:r>
              <w:rPr>
                <w:rFonts w:ascii="宋体" w:hAnsi="宋体" w:eastAsia="宋体"/>
                <w:sz w:val="16"/>
              </w:rPr>
              <w:t>项目欠款支付金额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D7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04D8">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22C3">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F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31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28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9F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8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44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E591">
            <w:pPr>
              <w:jc w:val="center"/>
            </w:pPr>
          </w:p>
        </w:tc>
      </w:tr>
      <w:tr w14:paraId="4C332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451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5CC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BAE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A1D4">
            <w:pPr>
              <w:jc w:val="center"/>
            </w:pPr>
            <w:r>
              <w:rPr>
                <w:rFonts w:ascii="宋体" w:hAnsi="宋体" w:eastAsia="宋体"/>
                <w:sz w:val="16"/>
              </w:rPr>
              <w:t>化解拖欠中小企业欠款问题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A8A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5927">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8EEC">
            <w:pPr>
              <w:jc w:val="center"/>
            </w:pPr>
            <w:r>
              <w:rPr>
                <w:rFonts w:ascii="宋体" w:hAnsi="宋体" w:eastAsia="宋体"/>
                <w:sz w:val="16"/>
              </w:rPr>
              <w:t>有所化解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7B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2DB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AEA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0D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8A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21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B2E7">
            <w:pPr>
              <w:jc w:val="center"/>
            </w:pPr>
          </w:p>
        </w:tc>
      </w:tr>
      <w:tr w14:paraId="39455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5D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29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3F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2A24">
            <w:pPr>
              <w:jc w:val="center"/>
            </w:pPr>
            <w:r>
              <w:rPr>
                <w:rFonts w:ascii="宋体" w:hAnsi="宋体" w:eastAsia="宋体"/>
                <w:sz w:val="16"/>
              </w:rPr>
              <w:t>提升医院公信力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A5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FD1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5101">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F5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9BA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84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1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06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A6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7C34">
            <w:pPr>
              <w:jc w:val="center"/>
            </w:pPr>
          </w:p>
        </w:tc>
      </w:tr>
      <w:tr w14:paraId="0365DFC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2B9C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1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EFF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030D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3D30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5351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07A2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AA50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A0B6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4524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7201FC"/>
        </w:tc>
      </w:tr>
    </w:tbl>
    <w:p w14:paraId="64CD7184">
      <w:r>
        <w:br w:type="page"/>
      </w:r>
    </w:p>
    <w:p w14:paraId="412BE93D">
      <w:pPr>
        <w:spacing w:line="640" w:lineRule="exact"/>
        <w:ind w:firstLine="640"/>
        <w:jc w:val="both"/>
        <w:outlineLvl w:val="2"/>
      </w:pPr>
      <w:r>
        <w:rPr>
          <w:rFonts w:ascii="黑体" w:hAnsi="黑体" w:eastAsia="黑体"/>
          <w:sz w:val="32"/>
        </w:rPr>
        <w:t>十二、其他需说明的事项</w:t>
      </w:r>
    </w:p>
    <w:p w14:paraId="6BFBC433">
      <w:pPr>
        <w:spacing w:line="580" w:lineRule="exact"/>
        <w:ind w:firstLine="640"/>
        <w:jc w:val="both"/>
      </w:pPr>
      <w:r>
        <w:rPr>
          <w:rFonts w:ascii="仿宋_GB2312" w:hAnsi="仿宋_GB2312" w:eastAsia="仿宋_GB2312"/>
          <w:b w:val="0"/>
          <w:sz w:val="32"/>
        </w:rPr>
        <w:t>本单位无其他需说明的事项。</w:t>
      </w:r>
    </w:p>
    <w:p w14:paraId="030CD29C">
      <w:r>
        <w:br w:type="page"/>
      </w:r>
    </w:p>
    <w:p w14:paraId="0718C366">
      <w:pPr>
        <w:spacing w:line="240" w:lineRule="auto"/>
        <w:jc w:val="center"/>
        <w:outlineLvl w:val="1"/>
      </w:pPr>
      <w:r>
        <w:rPr>
          <w:rFonts w:ascii="黑体" w:hAnsi="黑体" w:eastAsia="黑体"/>
          <w:sz w:val="32"/>
        </w:rPr>
        <w:t>第三部分 专业名词解释</w:t>
      </w:r>
    </w:p>
    <w:p w14:paraId="42D155F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5994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3211E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C0165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D69BA1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013CF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97ECB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8B985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243DC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F9814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6027F1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79C2AE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D5127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B275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1D6119">
      <w:r>
        <w:br w:type="page"/>
      </w:r>
    </w:p>
    <w:p w14:paraId="2E231368">
      <w:pPr>
        <w:spacing w:line="240" w:lineRule="auto"/>
        <w:jc w:val="center"/>
        <w:outlineLvl w:val="1"/>
      </w:pPr>
      <w:r>
        <w:rPr>
          <w:rFonts w:ascii="黑体" w:hAnsi="黑体" w:eastAsia="黑体"/>
          <w:sz w:val="32"/>
        </w:rPr>
        <w:t>第四部分 部门决算报表（见附表）</w:t>
      </w:r>
    </w:p>
    <w:p w14:paraId="0709F4AB">
      <w:pPr>
        <w:spacing w:line="240" w:lineRule="auto"/>
        <w:ind w:firstLine="640"/>
        <w:jc w:val="both"/>
      </w:pPr>
      <w:r>
        <w:rPr>
          <w:rFonts w:ascii="仿宋_GB2312" w:hAnsi="仿宋_GB2312" w:eastAsia="仿宋_GB2312"/>
          <w:b w:val="0"/>
          <w:sz w:val="32"/>
        </w:rPr>
        <w:t>一、《收入支出决算总表》</w:t>
      </w:r>
    </w:p>
    <w:p w14:paraId="560C150C">
      <w:pPr>
        <w:spacing w:line="240" w:lineRule="auto"/>
        <w:ind w:firstLine="640"/>
        <w:jc w:val="both"/>
      </w:pPr>
      <w:r>
        <w:rPr>
          <w:rFonts w:ascii="仿宋_GB2312" w:hAnsi="仿宋_GB2312" w:eastAsia="仿宋_GB2312"/>
          <w:b w:val="0"/>
          <w:sz w:val="32"/>
        </w:rPr>
        <w:t>二、《收入决算表》</w:t>
      </w:r>
    </w:p>
    <w:p w14:paraId="26F0B013">
      <w:pPr>
        <w:spacing w:line="240" w:lineRule="auto"/>
        <w:ind w:firstLine="640"/>
        <w:jc w:val="both"/>
      </w:pPr>
      <w:r>
        <w:rPr>
          <w:rFonts w:ascii="仿宋_GB2312" w:hAnsi="仿宋_GB2312" w:eastAsia="仿宋_GB2312"/>
          <w:b w:val="0"/>
          <w:sz w:val="32"/>
        </w:rPr>
        <w:t>三、《支出决算表》</w:t>
      </w:r>
    </w:p>
    <w:p w14:paraId="29A628F2">
      <w:pPr>
        <w:spacing w:line="240" w:lineRule="auto"/>
        <w:ind w:firstLine="640"/>
        <w:jc w:val="both"/>
      </w:pPr>
      <w:r>
        <w:rPr>
          <w:rFonts w:ascii="仿宋_GB2312" w:hAnsi="仿宋_GB2312" w:eastAsia="仿宋_GB2312"/>
          <w:b w:val="0"/>
          <w:sz w:val="32"/>
        </w:rPr>
        <w:t>四、《财政拨款收入支出决算总表》</w:t>
      </w:r>
    </w:p>
    <w:p w14:paraId="175CDC26">
      <w:pPr>
        <w:spacing w:line="240" w:lineRule="auto"/>
        <w:ind w:firstLine="640"/>
        <w:jc w:val="both"/>
      </w:pPr>
      <w:r>
        <w:rPr>
          <w:rFonts w:ascii="仿宋_GB2312" w:hAnsi="仿宋_GB2312" w:eastAsia="仿宋_GB2312"/>
          <w:b w:val="0"/>
          <w:sz w:val="32"/>
        </w:rPr>
        <w:t>五、《一般公共预算财政拨款支出决算表》</w:t>
      </w:r>
    </w:p>
    <w:p w14:paraId="472E8945">
      <w:pPr>
        <w:spacing w:line="240" w:lineRule="auto"/>
        <w:ind w:firstLine="640"/>
        <w:jc w:val="both"/>
      </w:pPr>
      <w:r>
        <w:rPr>
          <w:rFonts w:ascii="仿宋_GB2312" w:hAnsi="仿宋_GB2312" w:eastAsia="仿宋_GB2312"/>
          <w:b w:val="0"/>
          <w:sz w:val="32"/>
        </w:rPr>
        <w:t>六、《一般公共预算财政拨款基本支出决算表》</w:t>
      </w:r>
    </w:p>
    <w:p w14:paraId="23BD395E">
      <w:pPr>
        <w:spacing w:line="240" w:lineRule="auto"/>
        <w:ind w:firstLine="640"/>
        <w:jc w:val="both"/>
      </w:pPr>
      <w:r>
        <w:rPr>
          <w:rFonts w:ascii="仿宋_GB2312" w:hAnsi="仿宋_GB2312" w:eastAsia="仿宋_GB2312"/>
          <w:b w:val="0"/>
          <w:sz w:val="32"/>
        </w:rPr>
        <w:t>七、《政府性基金预算财政拨款收入支出决算表》</w:t>
      </w:r>
    </w:p>
    <w:p w14:paraId="167E23B8">
      <w:pPr>
        <w:spacing w:line="240" w:lineRule="auto"/>
        <w:ind w:firstLine="640"/>
        <w:jc w:val="both"/>
      </w:pPr>
      <w:r>
        <w:rPr>
          <w:rFonts w:ascii="仿宋_GB2312" w:hAnsi="仿宋_GB2312" w:eastAsia="仿宋_GB2312"/>
          <w:b w:val="0"/>
          <w:sz w:val="32"/>
        </w:rPr>
        <w:t>八、《国有资本经营预算财政拨款收入支出决算表》</w:t>
      </w:r>
    </w:p>
    <w:p w14:paraId="3CFFEA8D">
      <w:pPr>
        <w:spacing w:line="240" w:lineRule="auto"/>
        <w:ind w:firstLine="640"/>
        <w:jc w:val="both"/>
      </w:pPr>
      <w:r>
        <w:rPr>
          <w:rFonts w:ascii="仿宋_GB2312" w:hAnsi="仿宋_GB2312" w:eastAsia="仿宋_GB2312"/>
          <w:b w:val="0"/>
          <w:sz w:val="32"/>
        </w:rPr>
        <w:t>九、《财政拨款“三公”经费支出决算表》</w:t>
      </w:r>
    </w:p>
    <w:p w14:paraId="266AF1AB">
      <w:pPr>
        <w:spacing w:line="240" w:lineRule="auto"/>
        <w:ind w:firstLine="640"/>
        <w:jc w:val="both"/>
      </w:pPr>
    </w:p>
    <w:p w14:paraId="6C922BE3">
      <w:pPr>
        <w:spacing w:line="240" w:lineRule="auto"/>
        <w:ind w:firstLine="640"/>
        <w:jc w:val="both"/>
      </w:pPr>
    </w:p>
    <w:p w14:paraId="7D5FB0D8">
      <w:pPr>
        <w:spacing w:line="240" w:lineRule="auto"/>
        <w:ind w:firstLine="640"/>
        <w:jc w:val="both"/>
      </w:pPr>
    </w:p>
    <w:p w14:paraId="0ECF086C">
      <w:pPr>
        <w:spacing w:line="240" w:lineRule="auto"/>
        <w:ind w:firstLine="640"/>
        <w:jc w:val="both"/>
      </w:pPr>
    </w:p>
    <w:p w14:paraId="400DB22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75640E-54BA-43B6-AB0C-6A2B07B43F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C71AE95E-322C-4FAF-9C4E-27F3E3FC9AA9}"/>
  </w:font>
  <w:font w:name="楷体_GB2312">
    <w:panose1 w:val="02010609030101010101"/>
    <w:charset w:val="86"/>
    <w:family w:val="auto"/>
    <w:pitch w:val="default"/>
    <w:sig w:usb0="00000001" w:usb1="080E0000" w:usb2="00000000" w:usb3="00000000" w:csb0="00040000" w:csb1="00000000"/>
    <w:embedRegular r:id="rId3" w:fontKey="{3E2DA320-F896-4FBA-99D2-2E9139D0F089}"/>
  </w:font>
  <w:font w:name="方正小标宋_GBK">
    <w:panose1 w:val="02000000000000000000"/>
    <w:charset w:val="86"/>
    <w:family w:val="script"/>
    <w:pitch w:val="default"/>
    <w:sig w:usb0="A00002BF" w:usb1="38CF7CFA" w:usb2="00082016" w:usb3="00000000" w:csb0="00040001" w:csb1="00000000"/>
    <w:embedRegular r:id="rId4" w:fontKey="{82E23B39-9F18-4082-BD8D-F1EBF4A425A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7D282C"/>
    <w:rsid w:val="2C1965E9"/>
    <w:rsid w:val="2D1136DF"/>
    <w:rsid w:val="2DAE0E44"/>
    <w:rsid w:val="2E5A2737"/>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6685</Words>
  <Characters>7677</Characters>
  <Lines>0</Lines>
  <Paragraphs>0</Paragraphs>
  <TotalTime>6</TotalTime>
  <ScaleCrop>false</ScaleCrop>
  <LinksUpToDate>false</LinksUpToDate>
  <CharactersWithSpaces>7686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2025-09-25T03:49:56Z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