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霍城县司法局2024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A4D7B37">
      <w:r>
        <w:br w:type="page"/>
      </w:r>
    </w:p>
    <w:p w14:paraId="3C6EDD9C">
      <w:pPr>
        <w:spacing w:line="640" w:lineRule="exact"/>
        <w:jc w:val="center"/>
        <w:outlineLvl w:val="1"/>
      </w:pPr>
      <w:r>
        <w:rPr>
          <w:rFonts w:ascii="黑体" w:hAnsi="黑体" w:eastAsia="黑体"/>
          <w:sz w:val="32"/>
        </w:rPr>
        <w:t>第一部分 单位概况</w:t>
      </w:r>
    </w:p>
    <w:p w14:paraId="6CE55065">
      <w:pPr>
        <w:spacing w:line="640" w:lineRule="exact"/>
        <w:ind w:firstLine="640"/>
        <w:jc w:val="both"/>
        <w:outlineLvl w:val="2"/>
      </w:pPr>
      <w:r>
        <w:rPr>
          <w:rFonts w:ascii="黑体" w:hAnsi="黑体" w:eastAsia="黑体"/>
          <w:sz w:val="32"/>
        </w:rPr>
        <w:t>一、主要职能</w:t>
      </w:r>
    </w:p>
    <w:p w14:paraId="39358BB0">
      <w:pPr>
        <w:spacing w:line="580" w:lineRule="exact"/>
        <w:ind w:firstLine="640"/>
        <w:jc w:val="both"/>
      </w:pPr>
      <w:r>
        <w:rPr>
          <w:rFonts w:ascii="仿宋_GB2312" w:hAnsi="仿宋_GB2312" w:eastAsia="仿宋_GB2312"/>
          <w:sz w:val="32"/>
        </w:rPr>
        <w:t>本单位主要职能SM不予公开。</w:t>
      </w:r>
    </w:p>
    <w:p w14:paraId="1DE15E41">
      <w:pPr>
        <w:spacing w:line="640" w:lineRule="exact"/>
        <w:ind w:firstLine="640"/>
        <w:jc w:val="both"/>
        <w:outlineLvl w:val="2"/>
      </w:pPr>
      <w:r>
        <w:rPr>
          <w:rFonts w:ascii="黑体" w:hAnsi="黑体" w:eastAsia="黑体"/>
          <w:sz w:val="32"/>
        </w:rPr>
        <w:t>二、机构设置及人员情况</w:t>
      </w:r>
    </w:p>
    <w:p w14:paraId="60A3FA22">
      <w:pPr>
        <w:spacing w:line="580" w:lineRule="exact"/>
        <w:ind w:firstLine="640"/>
        <w:jc w:val="both"/>
      </w:pPr>
      <w:r>
        <w:rPr>
          <w:rFonts w:ascii="仿宋_GB2312" w:hAnsi="仿宋_GB2312" w:eastAsia="仿宋_GB2312"/>
          <w:sz w:val="32"/>
        </w:rPr>
        <w:t>霍城县司法局2024年度，实有人数61人，其中：在职人员38人，增加4人；离休人员0人，增加0人；退休人员23人,减少1人。</w:t>
      </w:r>
    </w:p>
    <w:p w14:paraId="4B973EBE">
      <w:pPr>
        <w:spacing w:line="580" w:lineRule="exact"/>
        <w:ind w:firstLine="640"/>
        <w:jc w:val="both"/>
      </w:pPr>
      <w:r>
        <w:rPr>
          <w:rFonts w:ascii="仿宋_GB2312" w:hAnsi="仿宋_GB2312" w:eastAsia="仿宋_GB2312"/>
          <w:sz w:val="32"/>
        </w:rPr>
        <w:t>霍城县司法局无下属预算单位，下设16个科室，分别是：办公室（法治督查科）、普法与依法治理科、安置教育工作管理科、行政复议与应诉科、社区矫正管理科、公共法律服务管理科、清水河司法所、大西沟司法所、芦草沟司法所、三宫司法所、三道河司法所、兰干司法所、水定司法所、惠远司法所、萨尔布拉克司法所、法律援助中心。</w:t>
      </w:r>
    </w:p>
    <w:p w14:paraId="43E1ED19">
      <w:r>
        <w:br w:type="page"/>
      </w:r>
    </w:p>
    <w:p w14:paraId="2799872C">
      <w:pPr>
        <w:spacing w:line="240" w:lineRule="auto"/>
        <w:jc w:val="center"/>
        <w:outlineLvl w:val="1"/>
      </w:pPr>
      <w:r>
        <w:rPr>
          <w:rFonts w:ascii="黑体" w:hAnsi="黑体" w:eastAsia="黑体"/>
          <w:sz w:val="32"/>
        </w:rPr>
        <w:t>第二部分 部门决算情况说明</w:t>
      </w:r>
    </w:p>
    <w:p w14:paraId="372B8E01">
      <w:pPr>
        <w:spacing w:line="640" w:lineRule="exact"/>
        <w:ind w:firstLine="640"/>
        <w:jc w:val="both"/>
        <w:outlineLvl w:val="2"/>
      </w:pPr>
      <w:r>
        <w:rPr>
          <w:rFonts w:ascii="黑体" w:hAnsi="黑体" w:eastAsia="黑体"/>
          <w:sz w:val="32"/>
        </w:rPr>
        <w:t>一、收入支出决算总体情况说明</w:t>
      </w:r>
    </w:p>
    <w:p w14:paraId="615E556B">
      <w:pPr>
        <w:spacing w:line="580" w:lineRule="exact"/>
        <w:ind w:firstLine="640"/>
        <w:jc w:val="both"/>
      </w:pPr>
      <w:r>
        <w:rPr>
          <w:rFonts w:ascii="仿宋_GB2312" w:hAnsi="仿宋_GB2312" w:eastAsia="仿宋_GB2312"/>
          <w:b/>
          <w:sz w:val="32"/>
        </w:rPr>
        <w:t>2024年度收入总计940.38万元，</w:t>
      </w:r>
      <w:r>
        <w:rPr>
          <w:rFonts w:ascii="仿宋_GB2312" w:hAnsi="仿宋_GB2312" w:eastAsia="仿宋_GB2312"/>
          <w:b w:val="0"/>
          <w:sz w:val="32"/>
        </w:rPr>
        <w:t>其中：本年收入合计940.38万元，使用非财政拨款结余（含专用结余）0.00万元，年初结转和结余0.00万元。</w:t>
      </w:r>
    </w:p>
    <w:p w14:paraId="5F6BDD8B">
      <w:pPr>
        <w:spacing w:line="580" w:lineRule="exact"/>
        <w:ind w:firstLine="640"/>
        <w:jc w:val="both"/>
      </w:pPr>
      <w:r>
        <w:rPr>
          <w:rFonts w:ascii="仿宋_GB2312" w:hAnsi="仿宋_GB2312" w:eastAsia="仿宋_GB2312"/>
          <w:b/>
          <w:sz w:val="32"/>
        </w:rPr>
        <w:t>2024年度支出总计940.38万元，</w:t>
      </w:r>
      <w:r>
        <w:rPr>
          <w:rFonts w:ascii="仿宋_GB2312" w:hAnsi="仿宋_GB2312" w:eastAsia="仿宋_GB2312"/>
          <w:b w:val="0"/>
          <w:sz w:val="32"/>
        </w:rPr>
        <w:t>其中：本年支出合计940.38万元，结余分配0.00万元，年末结转和结余0.00万元。</w:t>
      </w:r>
    </w:p>
    <w:p w14:paraId="2C547C69">
      <w:pPr>
        <w:spacing w:line="580" w:lineRule="exact"/>
        <w:ind w:firstLine="640"/>
        <w:jc w:val="both"/>
      </w:pPr>
      <w:r>
        <w:rPr>
          <w:rFonts w:ascii="仿宋_GB2312" w:hAnsi="仿宋_GB2312" w:eastAsia="仿宋_GB2312"/>
          <w:b w:val="0"/>
          <w:sz w:val="32"/>
        </w:rPr>
        <w:t>收入支出总体与上年相比，增加168.30万元，增长21.80%，主要原因是：本年在职人员增加，相关人员经费增加；中央转移支付项目资金较上年增加。</w:t>
      </w:r>
    </w:p>
    <w:p w14:paraId="5B31584E">
      <w:pPr>
        <w:spacing w:line="640" w:lineRule="exact"/>
        <w:ind w:firstLine="640"/>
        <w:jc w:val="both"/>
        <w:outlineLvl w:val="2"/>
      </w:pPr>
      <w:r>
        <w:rPr>
          <w:rFonts w:ascii="黑体" w:hAnsi="黑体" w:eastAsia="黑体"/>
          <w:sz w:val="32"/>
        </w:rPr>
        <w:t>二、收入决算情况说明</w:t>
      </w:r>
    </w:p>
    <w:p w14:paraId="64B038DD">
      <w:pPr>
        <w:spacing w:line="580" w:lineRule="exact"/>
        <w:ind w:firstLine="640"/>
        <w:jc w:val="both"/>
      </w:pPr>
      <w:r>
        <w:rPr>
          <w:rFonts w:ascii="仿宋_GB2312" w:hAnsi="仿宋_GB2312" w:eastAsia="仿宋_GB2312"/>
          <w:b/>
          <w:sz w:val="32"/>
        </w:rPr>
        <w:t>本年收入940.38万元，</w:t>
      </w:r>
      <w:r>
        <w:rPr>
          <w:rFonts w:ascii="仿宋_GB2312" w:hAnsi="仿宋_GB2312" w:eastAsia="仿宋_GB2312"/>
          <w:b w:val="0"/>
          <w:sz w:val="32"/>
        </w:rPr>
        <w:t>其中：财政拨款收入940.38万元，占100.00%；上级补助收入0.00万元，占0.00%；事业收入0.00万元，占0.00%；经营收入0.00万元，占0.00%；附属单位上缴收入0.00万元，占0.00%；其他收入0.00万元，占0.00%。</w:t>
      </w:r>
    </w:p>
    <w:p w14:paraId="04483362">
      <w:pPr>
        <w:spacing w:line="640" w:lineRule="exact"/>
        <w:ind w:firstLine="640"/>
        <w:jc w:val="both"/>
        <w:outlineLvl w:val="2"/>
      </w:pPr>
      <w:r>
        <w:rPr>
          <w:rFonts w:ascii="黑体" w:hAnsi="黑体" w:eastAsia="黑体"/>
          <w:sz w:val="32"/>
        </w:rPr>
        <w:t>三、支出决算情况说明</w:t>
      </w:r>
    </w:p>
    <w:p w14:paraId="44953D8F">
      <w:pPr>
        <w:spacing w:line="580" w:lineRule="exact"/>
        <w:ind w:firstLine="640"/>
        <w:jc w:val="both"/>
      </w:pPr>
      <w:r>
        <w:rPr>
          <w:rFonts w:ascii="仿宋_GB2312" w:hAnsi="仿宋_GB2312" w:eastAsia="仿宋_GB2312"/>
          <w:b/>
          <w:sz w:val="32"/>
        </w:rPr>
        <w:t>本年支出940.38万元，</w:t>
      </w:r>
      <w:r>
        <w:rPr>
          <w:rFonts w:ascii="仿宋_GB2312" w:hAnsi="仿宋_GB2312" w:eastAsia="仿宋_GB2312"/>
          <w:b w:val="0"/>
          <w:sz w:val="32"/>
        </w:rPr>
        <w:t>其中：基本支出702.37万元，占74.69%；项目支出238.01万元，占25.31%；上缴上级支出0.00万元，占0.00%；经营支出0.00万元，占0.00%；对附属单位补助支出0.00万元，占0.00%。</w:t>
      </w:r>
    </w:p>
    <w:p w14:paraId="471005A7">
      <w:pPr>
        <w:spacing w:line="640" w:lineRule="exact"/>
        <w:ind w:firstLine="640"/>
        <w:jc w:val="both"/>
        <w:outlineLvl w:val="2"/>
      </w:pPr>
      <w:r>
        <w:rPr>
          <w:rFonts w:ascii="黑体" w:hAnsi="黑体" w:eastAsia="黑体"/>
          <w:sz w:val="32"/>
        </w:rPr>
        <w:t>四、财政拨款收入支出决算总体情况说明</w:t>
      </w:r>
    </w:p>
    <w:p w14:paraId="5978FD4A">
      <w:pPr>
        <w:spacing w:line="580" w:lineRule="exact"/>
        <w:ind w:firstLine="640"/>
        <w:jc w:val="both"/>
      </w:pPr>
      <w:r>
        <w:rPr>
          <w:rFonts w:ascii="仿宋_GB2312" w:hAnsi="仿宋_GB2312" w:eastAsia="仿宋_GB2312"/>
          <w:b/>
          <w:sz w:val="32"/>
        </w:rPr>
        <w:t>2024年度财政拨款收入总计940.38万元，</w:t>
      </w:r>
      <w:r>
        <w:rPr>
          <w:rFonts w:ascii="仿宋_GB2312" w:hAnsi="仿宋_GB2312" w:eastAsia="仿宋_GB2312"/>
          <w:b w:val="0"/>
          <w:sz w:val="32"/>
        </w:rPr>
        <w:t>其中：年初财政拨款结转和结余0.00万元，本年财政拨款收入940.38万元。</w:t>
      </w:r>
      <w:r>
        <w:rPr>
          <w:rFonts w:ascii="仿宋_GB2312" w:hAnsi="仿宋_GB2312" w:eastAsia="仿宋_GB2312"/>
          <w:b/>
          <w:sz w:val="32"/>
        </w:rPr>
        <w:t>财政拨款支出总计940.38万元，</w:t>
      </w:r>
      <w:r>
        <w:rPr>
          <w:rFonts w:ascii="仿宋_GB2312" w:hAnsi="仿宋_GB2312" w:eastAsia="仿宋_GB2312"/>
          <w:b w:val="0"/>
          <w:sz w:val="32"/>
        </w:rPr>
        <w:t>其中：年末财政拨款结转和结余0.00万元，本年财政拨款支出940.38万元。</w:t>
      </w:r>
    </w:p>
    <w:p w14:paraId="122754F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增加168.30万元，增长21.80%，主要原因是：本年在职人员增加，相关人员经费增加；中央转移支付项目资金较上年增加。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781.26万元，决算数940.38万元，预决算差异率20.37%，主要原因是：本年在职人员增加，年中追加人员经费及人员工资、社保、公积金基数调增部分资金，年中追加中央转移支付项目资金，导致预决算存在差异。</w:t>
      </w:r>
    </w:p>
    <w:p w14:paraId="3CDC8899">
      <w:pPr>
        <w:spacing w:line="640" w:lineRule="exact"/>
        <w:ind w:firstLine="640"/>
        <w:jc w:val="both"/>
        <w:outlineLvl w:val="2"/>
      </w:pPr>
      <w:r>
        <w:rPr>
          <w:rFonts w:ascii="黑体" w:hAnsi="黑体" w:eastAsia="黑体"/>
          <w:sz w:val="32"/>
        </w:rPr>
        <w:t>五、一般公共预算财政拨款支出决算情况说明</w:t>
      </w:r>
    </w:p>
    <w:p w14:paraId="40AF6419">
      <w:pPr>
        <w:spacing w:line="640" w:lineRule="exact"/>
        <w:ind w:firstLine="640"/>
        <w:jc w:val="both"/>
        <w:outlineLvl w:val="3"/>
      </w:pPr>
      <w:r>
        <w:rPr>
          <w:rFonts w:ascii="楷体_GB2312" w:hAnsi="楷体_GB2312" w:eastAsia="楷体_GB2312"/>
          <w:b/>
          <w:sz w:val="32"/>
        </w:rPr>
        <w:t>（一）一般公共预算财政拨款支出决算总体情况</w:t>
      </w:r>
    </w:p>
    <w:p w14:paraId="5C1C38D8">
      <w:pPr>
        <w:spacing w:line="580" w:lineRule="exact"/>
        <w:ind w:firstLine="640"/>
        <w:jc w:val="both"/>
      </w:pPr>
      <w:r>
        <w:rPr>
          <w:rFonts w:ascii="仿宋_GB2312" w:hAnsi="仿宋_GB2312" w:eastAsia="仿宋_GB2312"/>
          <w:b/>
          <w:sz w:val="32"/>
        </w:rPr>
        <w:t>2024年度一般公共预算财政拨款支出940.38万元，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增加168.30万元，增长21.80%，主要原因是：本年在职人员增加，相关人员经费增加；中央转移支付项目资金较上年增加。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781.26万元，决算数940.38万元，预决算差异率20.37%，主要原因是：本年在职人员增加，年中追加人员经费及人员工资、社保、公积金基数调增部分资金，年中追加中央转移支付项目资金，导致预决算存在差异。</w:t>
      </w:r>
    </w:p>
    <w:p w14:paraId="003A1368">
      <w:pPr>
        <w:spacing w:line="640" w:lineRule="exact"/>
        <w:ind w:firstLine="640"/>
        <w:jc w:val="both"/>
        <w:outlineLvl w:val="3"/>
      </w:pPr>
      <w:r>
        <w:rPr>
          <w:rFonts w:ascii="楷体_GB2312" w:hAnsi="楷体_GB2312" w:eastAsia="楷体_GB2312"/>
          <w:b/>
          <w:sz w:val="32"/>
        </w:rPr>
        <w:t>（二）一般公共预算财政拨款支出决算结构情况</w:t>
      </w:r>
    </w:p>
    <w:p w14:paraId="29AB6430">
      <w:pPr>
        <w:spacing w:line="580" w:lineRule="exact"/>
        <w:ind w:firstLine="640"/>
        <w:jc w:val="both"/>
      </w:pPr>
      <w:r>
        <w:rPr>
          <w:rFonts w:ascii="仿宋_GB2312" w:hAnsi="仿宋_GB2312" w:eastAsia="仿宋_GB2312"/>
          <w:b w:val="0"/>
          <w:sz w:val="32"/>
        </w:rPr>
        <w:t>1.公共安全支出(类)785.15万元,占83.49%。</w:t>
      </w:r>
    </w:p>
    <w:p w14:paraId="7A2E614A">
      <w:pPr>
        <w:spacing w:line="580" w:lineRule="exact"/>
        <w:ind w:firstLine="640"/>
        <w:jc w:val="both"/>
      </w:pPr>
      <w:r>
        <w:rPr>
          <w:rFonts w:ascii="仿宋_GB2312" w:hAnsi="仿宋_GB2312" w:eastAsia="仿宋_GB2312"/>
          <w:b w:val="0"/>
          <w:sz w:val="32"/>
        </w:rPr>
        <w:t>2.社会保障和就业支出(类)77.55万元,占8.25%。</w:t>
      </w:r>
    </w:p>
    <w:p w14:paraId="49FB0FE8">
      <w:pPr>
        <w:spacing w:line="580" w:lineRule="exact"/>
        <w:ind w:firstLine="640"/>
        <w:jc w:val="both"/>
      </w:pPr>
      <w:r>
        <w:rPr>
          <w:rFonts w:ascii="仿宋_GB2312" w:hAnsi="仿宋_GB2312" w:eastAsia="仿宋_GB2312"/>
          <w:b w:val="0"/>
          <w:sz w:val="32"/>
        </w:rPr>
        <w:t>3.卫生健康支出(类)30.41万元,占3.23%。</w:t>
      </w:r>
    </w:p>
    <w:p w14:paraId="093263FC">
      <w:pPr>
        <w:spacing w:line="580" w:lineRule="exact"/>
        <w:ind w:firstLine="640"/>
        <w:jc w:val="both"/>
      </w:pPr>
      <w:r>
        <w:rPr>
          <w:rFonts w:ascii="仿宋_GB2312" w:hAnsi="仿宋_GB2312" w:eastAsia="仿宋_GB2312"/>
          <w:b w:val="0"/>
          <w:sz w:val="32"/>
        </w:rPr>
        <w:t>4.住房保障支出(类)47.27万元,占5.03%。</w:t>
      </w:r>
    </w:p>
    <w:p w14:paraId="469F325B">
      <w:pPr>
        <w:spacing w:line="640" w:lineRule="exact"/>
        <w:ind w:firstLine="640"/>
        <w:jc w:val="both"/>
        <w:outlineLvl w:val="3"/>
      </w:pPr>
      <w:r>
        <w:rPr>
          <w:rFonts w:ascii="楷体_GB2312" w:hAnsi="楷体_GB2312" w:eastAsia="楷体_GB2312"/>
          <w:b/>
          <w:sz w:val="32"/>
        </w:rPr>
        <w:t>（三）一般公共预算财政拨款支出决算具体情况</w:t>
      </w:r>
    </w:p>
    <w:p w14:paraId="12FE9809">
      <w:pPr>
        <w:spacing w:line="580" w:lineRule="exact"/>
        <w:ind w:firstLine="640"/>
        <w:jc w:val="both"/>
      </w:pPr>
      <w:r>
        <w:rPr>
          <w:rFonts w:ascii="仿宋_GB2312" w:hAnsi="仿宋_GB2312" w:eastAsia="仿宋_GB2312"/>
          <w:b w:val="0"/>
          <w:sz w:val="32"/>
        </w:rPr>
        <w:t>1.公共安全支出(类)司法(款)行政运行(项):支出决算数为521.71万元，比上年决算增加49.22万元，增长10.42%,主要原因是：本年新增在职人员，行政人员经费增加，导致经费较上年有所增加。</w:t>
      </w:r>
    </w:p>
    <w:p w14:paraId="7313A589">
      <w:pPr>
        <w:spacing w:line="580" w:lineRule="exact"/>
        <w:ind w:firstLine="640"/>
        <w:jc w:val="both"/>
      </w:pPr>
      <w:r>
        <w:rPr>
          <w:rFonts w:ascii="仿宋_GB2312" w:hAnsi="仿宋_GB2312" w:eastAsia="仿宋_GB2312"/>
          <w:b w:val="0"/>
          <w:sz w:val="32"/>
        </w:rPr>
        <w:t>2.公共安全支出(类)司法(款)事业运行(项):支出决算数为25.43万元，比上年决算增加25.43万元，增长100.00%,主要原因是：本年新增事业人员，事业人员经费增加，导致经费较上年有所增加。</w:t>
      </w:r>
    </w:p>
    <w:p w14:paraId="162B3BBD">
      <w:pPr>
        <w:spacing w:line="580" w:lineRule="exact"/>
        <w:ind w:firstLine="640"/>
        <w:jc w:val="both"/>
      </w:pPr>
      <w:r>
        <w:rPr>
          <w:rFonts w:ascii="仿宋_GB2312" w:hAnsi="仿宋_GB2312" w:eastAsia="仿宋_GB2312"/>
          <w:b w:val="0"/>
          <w:sz w:val="32"/>
        </w:rPr>
        <w:t>3.公共安全支出(类)司法(款)其他司法支出(项):支出决算数为238.01万元，比上年决算增加95.51万元，增长67.02%,主要原因是：本年中央转移支付项目资金较上年增加。</w:t>
      </w:r>
    </w:p>
    <w:p w14:paraId="4ECCEDFD">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4.社会保障和就业支出(类)行政事业单位养老支出(款)行政单位离退休(项):支出决算数为17.61万元，比上年决算增加13.15万元，增长294.84%,主要原因是：本年增加退休人员基础绩效奖，行政单位退休费支出增加。</w:t>
      </w:r>
    </w:p>
    <w:p w14:paraId="69223E15">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5.社会保障和就业支出(类)行政事业单位养老支出(款)机关事业单位基本养老保险缴费支出(项):支出决算数为59.94万元，比上年决算增加19.02万元，增长46.48%,主要原因是：</w:t>
      </w:r>
      <w:r>
        <w:rPr>
          <w:rFonts w:hint="eastAsia" w:ascii="仿宋_GB2312" w:hAnsi="仿宋_GB2312" w:eastAsia="仿宋_GB2312"/>
          <w:b w:val="0"/>
          <w:sz w:val="32"/>
          <w:lang w:val="en-US" w:eastAsia="zh-CN"/>
        </w:rPr>
        <w:t>本年在职人员增加，养老保险缴费支出增加，相应支出增加</w:t>
      </w:r>
      <w:r>
        <w:rPr>
          <w:rFonts w:ascii="仿宋_GB2312" w:hAnsi="仿宋_GB2312" w:eastAsia="仿宋_GB2312"/>
          <w:b w:val="0"/>
          <w:sz w:val="32"/>
        </w:rPr>
        <w:t>。</w:t>
      </w:r>
    </w:p>
    <w:p w14:paraId="31149FBE">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7.77万元，下降100.00%,主要原因是：本年无新增退休人员，职业年金缴费较上年减少。</w:t>
      </w:r>
    </w:p>
    <w:p w14:paraId="33952EE8">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7.社会保障和就业支出(类)抚恤(款)死亡抚恤(项):支出决算数为0.00万元，比上年决算减少30.09万元，下降100.00%,主要原因是：本年无新增死亡人员，死亡抚恤支出较上年减少。</w:t>
      </w:r>
    </w:p>
    <w:p w14:paraId="18E8C10A">
      <w:pPr>
        <w:spacing w:line="580" w:lineRule="exact"/>
        <w:ind w:firstLine="640"/>
        <w:jc w:val="both"/>
      </w:pPr>
      <w:r>
        <w:rPr>
          <w:rFonts w:ascii="仿宋_GB2312" w:hAnsi="仿宋_GB2312" w:eastAsia="仿宋_GB2312"/>
          <w:b w:val="0"/>
          <w:sz w:val="32"/>
        </w:rPr>
        <w:t>8.卫生健康支出(类)行政事业单位医疗(款)行政单位医疗(项):支出决算数为27.92万元，比上年决算减少7.74万元，下降21.70%,主要原因是：因退休人员医疗保险制度改革，退休人员基本医疗不再由单位缴纳，导致经费较上年减少。</w:t>
      </w:r>
    </w:p>
    <w:p w14:paraId="778DDDE6">
      <w:pPr>
        <w:spacing w:line="580" w:lineRule="exact"/>
        <w:ind w:firstLine="640"/>
        <w:jc w:val="both"/>
      </w:pPr>
      <w:r>
        <w:rPr>
          <w:rFonts w:ascii="仿宋_GB2312" w:hAnsi="仿宋_GB2312" w:eastAsia="仿宋_GB2312"/>
          <w:b w:val="0"/>
          <w:sz w:val="32"/>
        </w:rPr>
        <w:t>9.卫生健康支出(类)行政事业单位医疗(款)事业单位医疗(项):支出决算数为1.83万元，比上年决算增加1.83万元，增长100.00%,主要原因是：本年事业单位在职人员增加，事业单位医疗支出较上年增加。</w:t>
      </w:r>
    </w:p>
    <w:p w14:paraId="32037A91">
      <w:pPr>
        <w:spacing w:line="580" w:lineRule="exact"/>
        <w:ind w:firstLine="640"/>
        <w:jc w:val="both"/>
      </w:pPr>
      <w:r>
        <w:rPr>
          <w:rFonts w:ascii="仿宋_GB2312" w:hAnsi="仿宋_GB2312" w:eastAsia="仿宋_GB2312"/>
          <w:b w:val="0"/>
          <w:sz w:val="32"/>
        </w:rPr>
        <w:t>10.卫生健康支出(类)行政事业单位医疗(款)公务员医疗补助(项):支出决算数为0.66万元，比上年决算减少1.54万元，下降70.00%,主要原因是：本年在职人员调入调出，人员职级不同，缴费基数不同，导致公务员医疗补助较上年减少。</w:t>
      </w:r>
    </w:p>
    <w:p w14:paraId="20A7E4B5">
      <w:pPr>
        <w:spacing w:line="580" w:lineRule="exact"/>
        <w:ind w:firstLine="640"/>
        <w:jc w:val="both"/>
      </w:pPr>
      <w:r>
        <w:rPr>
          <w:rFonts w:ascii="仿宋_GB2312" w:hAnsi="仿宋_GB2312" w:eastAsia="仿宋_GB2312"/>
          <w:b w:val="0"/>
          <w:sz w:val="32"/>
        </w:rPr>
        <w:t>11.住房保障支出(类)住房改革支出(款)住房公积金(项):支出决算数为47.27万元，比上年决算增加11.28万元，增长31.34%,主要原因是：本年在职人员工资基数调增，公积金缴费基数上涨，相应支出增加。</w:t>
      </w:r>
    </w:p>
    <w:p w14:paraId="22A3498F">
      <w:pPr>
        <w:spacing w:line="640" w:lineRule="exact"/>
        <w:ind w:firstLine="640"/>
        <w:jc w:val="both"/>
        <w:outlineLvl w:val="2"/>
      </w:pPr>
      <w:r>
        <w:rPr>
          <w:rFonts w:ascii="黑体" w:hAnsi="黑体" w:eastAsia="黑体"/>
          <w:sz w:val="32"/>
        </w:rPr>
        <w:t>六、一般公共预算财政拨款基本支出决算情况说明</w:t>
      </w:r>
    </w:p>
    <w:p w14:paraId="53BB250C">
      <w:pPr>
        <w:spacing w:line="580" w:lineRule="exact"/>
        <w:ind w:firstLine="640"/>
        <w:jc w:val="both"/>
      </w:pPr>
      <w:r>
        <w:rPr>
          <w:rFonts w:ascii="仿宋_GB2312" w:hAnsi="仿宋_GB2312" w:eastAsia="仿宋_GB2312"/>
          <w:b w:val="0"/>
          <w:sz w:val="32"/>
        </w:rPr>
        <w:t>2024年度一般公共预算财政拨款基本支出702.37万元，其中：</w:t>
      </w:r>
      <w:r>
        <w:rPr>
          <w:rFonts w:ascii="仿宋_GB2312" w:hAnsi="仿宋_GB2312" w:eastAsia="仿宋_GB2312"/>
          <w:b/>
          <w:sz w:val="32"/>
        </w:rPr>
        <w:t>人员经费658.72万元，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w:t>
      </w:r>
    </w:p>
    <w:p w14:paraId="23B2853D">
      <w:pPr>
        <w:spacing w:line="580" w:lineRule="exact"/>
        <w:ind w:firstLine="640"/>
        <w:jc w:val="both"/>
      </w:pPr>
      <w:r>
        <w:rPr>
          <w:rFonts w:ascii="仿宋_GB2312" w:hAnsi="仿宋_GB2312" w:eastAsia="仿宋_GB2312"/>
          <w:b/>
          <w:sz w:val="32"/>
        </w:rPr>
        <w:t>公用经费43.65万元，</w:t>
      </w:r>
      <w:r>
        <w:rPr>
          <w:rFonts w:ascii="仿宋_GB2312" w:hAnsi="仿宋_GB2312" w:eastAsia="仿宋_GB2312"/>
          <w:b w:val="0"/>
          <w:sz w:val="32"/>
        </w:rPr>
        <w:t>包括：办公费、印刷费、水费、电费、邮电费、取暖费、物业管理费、维修（护）费、培训费、工会经费、福利费、专用设备购置。</w:t>
      </w:r>
    </w:p>
    <w:p w14:paraId="1243EF13">
      <w:pPr>
        <w:spacing w:line="640" w:lineRule="exact"/>
        <w:ind w:firstLine="640"/>
        <w:jc w:val="both"/>
        <w:outlineLvl w:val="2"/>
      </w:pPr>
      <w:r>
        <w:rPr>
          <w:rFonts w:ascii="黑体" w:hAnsi="黑体" w:eastAsia="黑体"/>
          <w:sz w:val="32"/>
        </w:rPr>
        <w:t>七、政府性基金预算财政拨款收入支出决算情况说明</w:t>
      </w:r>
    </w:p>
    <w:p w14:paraId="37FB3B8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E94E122">
      <w:pPr>
        <w:spacing w:line="640" w:lineRule="exact"/>
        <w:ind w:firstLine="640"/>
        <w:jc w:val="both"/>
        <w:outlineLvl w:val="2"/>
      </w:pPr>
      <w:r>
        <w:rPr>
          <w:rFonts w:ascii="黑体" w:hAnsi="黑体" w:eastAsia="黑体"/>
          <w:sz w:val="32"/>
        </w:rPr>
        <w:t>八、国有资本经营预算财政拨款收入支出决算情况说明</w:t>
      </w:r>
    </w:p>
    <w:p w14:paraId="0CAFEC1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A63ECF">
      <w:pPr>
        <w:spacing w:line="640" w:lineRule="exact"/>
        <w:ind w:firstLine="640"/>
        <w:jc w:val="both"/>
        <w:outlineLvl w:val="2"/>
      </w:pPr>
      <w:r>
        <w:rPr>
          <w:rFonts w:ascii="黑体" w:hAnsi="黑体" w:eastAsia="黑体"/>
          <w:sz w:val="32"/>
        </w:rPr>
        <w:t>九、财政拨款“三公”经费支出决算情况说明</w:t>
      </w:r>
    </w:p>
    <w:p w14:paraId="6B672C5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4.60万元，下降100.00%，主要原因是：本年无公务用车运行维护费，导致经费较上年减少。其中：因公出国（境）费支出0.00万元，占0.00%，比上年增加0.00万元，增长0.00%，主要原因是：2023年与2024年均未安排因公出国（境）费支出。公务用车购置及运行维护费支出0.00万元，占0.00%，比上年减少4.60万元，下降100.00%，主要原因是：本单位无公务用车运行维护费，导致经费较上年减少。公务接待费支出0.00万元，占0.00%，比上年增加0.00万元，增长0.00%，主要原因是：2023年与2024年均未安排公务接待费支出。</w:t>
      </w:r>
    </w:p>
    <w:p w14:paraId="64D17F84">
      <w:pPr>
        <w:spacing w:line="580" w:lineRule="exact"/>
        <w:ind w:firstLine="640"/>
        <w:jc w:val="both"/>
      </w:pPr>
      <w:r>
        <w:rPr>
          <w:rFonts w:ascii="仿宋_GB2312" w:hAnsi="仿宋_GB2312" w:eastAsia="仿宋_GB2312"/>
          <w:b/>
          <w:sz w:val="32"/>
        </w:rPr>
        <w:t>具体情况如下：</w:t>
      </w:r>
    </w:p>
    <w:p w14:paraId="7E5EDEB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546E42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7辆，与公务用车保有量差异原因是：单位业务用车，车辆费用未使用财政拨款公务用车运行维护费支付，由中央专项转移支付经费保障。</w:t>
      </w:r>
    </w:p>
    <w:p w14:paraId="0E29474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4EAAFE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F34A446">
      <w:pPr>
        <w:spacing w:line="640" w:lineRule="exact"/>
        <w:ind w:firstLine="640"/>
        <w:jc w:val="both"/>
        <w:outlineLvl w:val="2"/>
      </w:pPr>
      <w:r>
        <w:rPr>
          <w:rFonts w:ascii="黑体" w:hAnsi="黑体" w:eastAsia="黑体"/>
          <w:sz w:val="32"/>
        </w:rPr>
        <w:t>十、其他重要事项的情况说明</w:t>
      </w:r>
    </w:p>
    <w:p w14:paraId="35411F83">
      <w:pPr>
        <w:spacing w:line="640" w:lineRule="exact"/>
        <w:ind w:firstLine="640"/>
        <w:jc w:val="both"/>
        <w:outlineLvl w:val="3"/>
      </w:pPr>
      <w:r>
        <w:rPr>
          <w:rFonts w:ascii="楷体_GB2312" w:hAnsi="楷体_GB2312" w:eastAsia="楷体_GB2312"/>
          <w:b/>
          <w:sz w:val="32"/>
        </w:rPr>
        <w:t>（一）机关运行经费及公用经费支出情况</w:t>
      </w:r>
    </w:p>
    <w:p w14:paraId="51A04837">
      <w:pPr>
        <w:spacing w:line="580" w:lineRule="exact"/>
        <w:ind w:firstLine="640"/>
        <w:jc w:val="both"/>
      </w:pPr>
      <w:r>
        <w:rPr>
          <w:rFonts w:ascii="仿宋_GB2312" w:hAnsi="仿宋_GB2312" w:eastAsia="仿宋_GB2312"/>
          <w:b w:val="0"/>
          <w:sz w:val="32"/>
        </w:rPr>
        <w:t>2024年度霍城县司法局（行政单位和参照公务员法管理事业单位）机关运行经费支出43.65万元，比上年增加15.21万元，增长53.48%，主要原因是：本年在职人员增加，办公费用增加。</w:t>
      </w:r>
    </w:p>
    <w:p w14:paraId="1DD5286E">
      <w:pPr>
        <w:spacing w:line="640" w:lineRule="exact"/>
        <w:ind w:firstLine="640"/>
        <w:jc w:val="both"/>
        <w:outlineLvl w:val="3"/>
      </w:pPr>
      <w:r>
        <w:rPr>
          <w:rFonts w:ascii="楷体_GB2312" w:hAnsi="楷体_GB2312" w:eastAsia="楷体_GB2312"/>
          <w:b/>
          <w:sz w:val="32"/>
        </w:rPr>
        <w:t>（二）政府采购情况</w:t>
      </w:r>
    </w:p>
    <w:p w14:paraId="761C0DC8">
      <w:pPr>
        <w:spacing w:line="580" w:lineRule="exact"/>
        <w:ind w:firstLine="640"/>
        <w:jc w:val="both"/>
      </w:pPr>
      <w:r>
        <w:rPr>
          <w:rFonts w:ascii="仿宋_GB2312" w:hAnsi="仿宋_GB2312" w:eastAsia="仿宋_GB2312"/>
          <w:b w:val="0"/>
          <w:sz w:val="32"/>
        </w:rPr>
        <w:t>2024年度政府采购支出总额61.59万元，其中：政府采购货物支出30.12万元、政府采购工程支出0.00万元、政府采购服务支出31.47万元。</w:t>
      </w:r>
    </w:p>
    <w:p w14:paraId="074BC7A7">
      <w:pPr>
        <w:spacing w:line="580" w:lineRule="exact"/>
        <w:ind w:firstLine="640"/>
        <w:jc w:val="both"/>
      </w:pPr>
      <w:r>
        <w:rPr>
          <w:rFonts w:ascii="仿宋_GB2312" w:hAnsi="仿宋_GB2312" w:eastAsia="仿宋_GB2312"/>
          <w:b w:val="0"/>
          <w:sz w:val="32"/>
        </w:rPr>
        <w:t>授予中小企业合同金额29.04万元，占政府采购支出总额的47.15%，其中：授予小微企业合同金额26.51万元，占政府采购支出总额的43.04%。</w:t>
      </w:r>
    </w:p>
    <w:p w14:paraId="29A35D6E">
      <w:pPr>
        <w:spacing w:line="640" w:lineRule="exact"/>
        <w:ind w:firstLine="640"/>
        <w:jc w:val="both"/>
        <w:outlineLvl w:val="3"/>
      </w:pPr>
      <w:r>
        <w:rPr>
          <w:rFonts w:ascii="楷体_GB2312" w:hAnsi="楷体_GB2312" w:eastAsia="楷体_GB2312"/>
          <w:b/>
          <w:sz w:val="32"/>
        </w:rPr>
        <w:t>（三）国有资产占用情况说明</w:t>
      </w:r>
    </w:p>
    <w:p w14:paraId="43E5EBDE">
      <w:pPr>
        <w:spacing w:line="580" w:lineRule="exact"/>
        <w:ind w:firstLine="640"/>
        <w:jc w:val="both"/>
      </w:pPr>
      <w:r>
        <w:rPr>
          <w:rFonts w:ascii="仿宋_GB2312" w:hAnsi="仿宋_GB2312" w:eastAsia="仿宋_GB2312"/>
          <w:b w:val="0"/>
          <w:sz w:val="32"/>
        </w:rPr>
        <w:t>截至2024年12月31日，房屋2,174.08平方米，价值453.78万元。车辆7辆，价值103.48万元，其中：副部（省）级及以上领导用车0辆、主要负责人用车0辆、机要通信用车0辆、应急保障用车0辆、执法执勤用车5辆、特种专业技术用车0辆、离退休干部服务用车0辆、其他用车2辆，其他用车主要是：单位业务用车。单价100万元（含）以上设备（不含车辆）0台（套）。</w:t>
      </w:r>
    </w:p>
    <w:p w14:paraId="424927DC">
      <w:pPr>
        <w:spacing w:line="640" w:lineRule="exact"/>
        <w:ind w:firstLine="640"/>
        <w:jc w:val="both"/>
        <w:outlineLvl w:val="2"/>
      </w:pPr>
      <w:r>
        <w:rPr>
          <w:rFonts w:ascii="黑体" w:hAnsi="黑体" w:eastAsia="黑体"/>
          <w:sz w:val="32"/>
        </w:rPr>
        <w:t>十一、预算绩效的情况说明</w:t>
      </w:r>
    </w:p>
    <w:p w14:paraId="2CE010BC">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w:t>
      </w:r>
      <w:bookmarkStart w:id="0" w:name="_GoBack"/>
      <w:bookmarkEnd w:id="0"/>
      <w:r>
        <w:rPr>
          <w:rFonts w:ascii="仿宋_GB2312" w:hAnsi="仿宋_GB2312" w:eastAsia="仿宋_GB2312"/>
          <w:b w:val="0"/>
          <w:sz w:val="32"/>
        </w:rPr>
        <w:t>个，全年预算总额</w:t>
      </w:r>
      <w:r>
        <w:rPr>
          <w:rFonts w:hint="eastAsia" w:ascii="仿宋_GB2312" w:hAnsi="仿宋_GB2312" w:eastAsia="仿宋_GB2312"/>
          <w:b w:val="0"/>
          <w:sz w:val="32"/>
          <w:lang w:val="en-US" w:eastAsia="zh-CN"/>
        </w:rPr>
        <w:t>940.37</w:t>
      </w:r>
      <w:r>
        <w:rPr>
          <w:rFonts w:ascii="仿宋_GB2312" w:hAnsi="仿宋_GB2312" w:eastAsia="仿宋_GB2312"/>
          <w:b w:val="0"/>
          <w:sz w:val="32"/>
        </w:rPr>
        <w:t>万元，实际执行总额</w:t>
      </w:r>
      <w:r>
        <w:rPr>
          <w:rFonts w:hint="eastAsia" w:ascii="仿宋_GB2312" w:hAnsi="仿宋_GB2312" w:eastAsia="仿宋_GB2312"/>
          <w:b w:val="0"/>
          <w:sz w:val="32"/>
          <w:lang w:val="en-US" w:eastAsia="zh-CN"/>
        </w:rPr>
        <w:t>940.37</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个，全年预算数238.1</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万元，全年执行数238.1</w:t>
      </w:r>
      <w:r>
        <w:rPr>
          <w:rFonts w:hint="eastAsia" w:ascii="仿宋_GB2312" w:hAnsi="仿宋_GB2312" w:eastAsia="仿宋_GB2312"/>
          <w:b w:val="0"/>
          <w:sz w:val="32"/>
          <w:lang w:val="en-US" w:eastAsia="zh-CN"/>
        </w:rPr>
        <w:t>0</w:t>
      </w:r>
      <w:r>
        <w:rPr>
          <w:rFonts w:ascii="仿宋_GB2312" w:hAnsi="仿宋_GB2312" w:eastAsia="仿宋_GB2312"/>
          <w:b w:val="0"/>
          <w:sz w:val="32"/>
        </w:rPr>
        <w:t>万元。预算绩效管理取得的成效：在项目实施过程中做好定期监督检查，一是严格按照项目管理规范进行，在项目资金使用过程中，严格落实把关，按照项目资金使用范围做好审核工作，让项目资金落于实处。二是在项目完成后，做好受益群众民意调查及项目防范工作。通过以上工作确保了项目按时完成。发现的问题及原因：相关绩效管理方面专业知识的系统性学习有待加强。各项指标的设置要进一步优化、完善，主要在细化、量化上改进。在绩效自评过程中，部分人员缺乏相关绩效管理专业知识，自评价工作还存在自我审定的局限性，影响评价质量。下一步改进措施：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b w:val="0"/>
          <w:sz w:val="32"/>
          <w:lang w:eastAsia="zh-CN"/>
        </w:rPr>
        <w:t>。</w:t>
      </w:r>
    </w:p>
    <w:p w14:paraId="746E6A09">
      <w:r>
        <w:br w:type="page"/>
      </w:r>
    </w:p>
    <w:p w14:paraId="5B329F55">
      <w:pPr>
        <w:spacing w:line="640" w:lineRule="exact"/>
        <w:ind w:firstLine="640"/>
        <w:jc w:val="both"/>
        <w:outlineLvl w:val="2"/>
      </w:pPr>
      <w:r>
        <w:rPr>
          <w:rFonts w:ascii="黑体" w:hAnsi="黑体" w:eastAsia="黑体"/>
          <w:sz w:val="32"/>
        </w:rPr>
        <w:t>十二、其他需说明的事项</w:t>
      </w:r>
    </w:p>
    <w:p w14:paraId="3914AFC9">
      <w:pPr>
        <w:spacing w:line="580" w:lineRule="exact"/>
        <w:ind w:firstLine="640"/>
        <w:jc w:val="both"/>
        <w:rPr>
          <w:rFonts w:hint="eastAsia" w:ascii="仿宋_GB2312" w:hAnsi="仿宋_GB2312" w:eastAsia="仿宋_GB2312"/>
          <w:b w:val="0"/>
          <w:sz w:val="32"/>
          <w:lang w:eastAsia="zh-CN"/>
        </w:rPr>
      </w:pPr>
      <w:r>
        <w:rPr>
          <w:rFonts w:ascii="仿宋_GB2312" w:hAnsi="仿宋_GB2312" w:eastAsia="仿宋_GB2312"/>
          <w:b w:val="0"/>
          <w:sz w:val="32"/>
        </w:rPr>
        <w:t>本年度本单位整体绩效自评表不予公开</w:t>
      </w:r>
      <w:r>
        <w:rPr>
          <w:rFonts w:hint="eastAsia" w:ascii="仿宋_GB2312" w:hAnsi="仿宋_GB2312" w:eastAsia="仿宋_GB2312"/>
          <w:b w:val="0"/>
          <w:sz w:val="32"/>
          <w:lang w:eastAsia="zh-CN"/>
        </w:rPr>
        <w:t>。</w:t>
      </w:r>
    </w:p>
    <w:p w14:paraId="0FC69A9E">
      <w:pPr>
        <w:spacing w:line="580" w:lineRule="exact"/>
        <w:ind w:firstLine="640"/>
        <w:jc w:val="both"/>
      </w:pPr>
      <w:r>
        <w:rPr>
          <w:rFonts w:ascii="仿宋_GB2312" w:hAnsi="仿宋_GB2312" w:eastAsia="仿宋_GB2312"/>
          <w:b w:val="0"/>
          <w:sz w:val="32"/>
        </w:rPr>
        <w:t>本</w:t>
      </w:r>
      <w:r>
        <w:rPr>
          <w:rFonts w:hint="eastAsia" w:ascii="仿宋_GB2312" w:hAnsi="仿宋_GB2312" w:eastAsia="仿宋_GB2312"/>
          <w:b w:val="0"/>
          <w:sz w:val="32"/>
          <w:lang w:eastAsia="zh-CN"/>
        </w:rPr>
        <w:t>年度</w:t>
      </w:r>
      <w:r>
        <w:rPr>
          <w:rFonts w:ascii="仿宋_GB2312" w:hAnsi="仿宋_GB2312" w:eastAsia="仿宋_GB2312"/>
          <w:b w:val="0"/>
          <w:sz w:val="32"/>
        </w:rPr>
        <w:t>本单位SM项目3个，全年预算数238.1</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万元，全年执行数238.1</w:t>
      </w:r>
      <w:r>
        <w:rPr>
          <w:rFonts w:hint="eastAsia" w:ascii="仿宋_GB2312" w:hAnsi="仿宋_GB2312" w:eastAsia="仿宋_GB2312"/>
          <w:b w:val="0"/>
          <w:sz w:val="32"/>
          <w:lang w:val="en-US" w:eastAsia="zh-CN"/>
        </w:rPr>
        <w:t>0</w:t>
      </w:r>
      <w:r>
        <w:rPr>
          <w:rFonts w:ascii="仿宋_GB2312" w:hAnsi="仿宋_GB2312" w:eastAsia="仿宋_GB2312"/>
          <w:b w:val="0"/>
          <w:sz w:val="32"/>
        </w:rPr>
        <w:t>万元。</w:t>
      </w:r>
    </w:p>
    <w:p w14:paraId="02CEC63B">
      <w:r>
        <w:br w:type="page"/>
      </w:r>
    </w:p>
    <w:p w14:paraId="0BE9031D">
      <w:pPr>
        <w:spacing w:line="240" w:lineRule="auto"/>
        <w:jc w:val="center"/>
        <w:outlineLvl w:val="1"/>
      </w:pPr>
      <w:r>
        <w:rPr>
          <w:rFonts w:ascii="黑体" w:hAnsi="黑体" w:eastAsia="黑体"/>
          <w:sz w:val="32"/>
        </w:rPr>
        <w:t>第三部分 专业名词解释</w:t>
      </w:r>
    </w:p>
    <w:p w14:paraId="4105DD0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74999F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DFDAC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3F3A9D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B27E5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7A7E5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0E6B70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0267E9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8A423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AC9B53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768F01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C3FB3D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7031A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C0F65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C706B3">
      <w:r>
        <w:br w:type="page"/>
      </w:r>
    </w:p>
    <w:p w14:paraId="6F763430">
      <w:pPr>
        <w:spacing w:line="240" w:lineRule="auto"/>
        <w:jc w:val="center"/>
        <w:outlineLvl w:val="1"/>
      </w:pPr>
      <w:r>
        <w:rPr>
          <w:rFonts w:ascii="黑体" w:hAnsi="黑体" w:eastAsia="黑体"/>
          <w:sz w:val="32"/>
        </w:rPr>
        <w:t>第四部分 部门决算报表（见附表）</w:t>
      </w:r>
    </w:p>
    <w:p w14:paraId="5CD21787">
      <w:pPr>
        <w:spacing w:line="240" w:lineRule="auto"/>
        <w:ind w:firstLine="640"/>
        <w:jc w:val="both"/>
      </w:pPr>
      <w:r>
        <w:rPr>
          <w:rFonts w:ascii="仿宋_GB2312" w:hAnsi="仿宋_GB2312" w:eastAsia="仿宋_GB2312"/>
          <w:b w:val="0"/>
          <w:sz w:val="32"/>
        </w:rPr>
        <w:t>一、《收入支出决算总表》</w:t>
      </w:r>
    </w:p>
    <w:p w14:paraId="5ACF11B1">
      <w:pPr>
        <w:spacing w:line="240" w:lineRule="auto"/>
        <w:ind w:firstLine="640"/>
        <w:jc w:val="both"/>
      </w:pPr>
      <w:r>
        <w:rPr>
          <w:rFonts w:ascii="仿宋_GB2312" w:hAnsi="仿宋_GB2312" w:eastAsia="仿宋_GB2312"/>
          <w:b w:val="0"/>
          <w:sz w:val="32"/>
        </w:rPr>
        <w:t>二、《收入决算表》</w:t>
      </w:r>
    </w:p>
    <w:p w14:paraId="43EDB550">
      <w:pPr>
        <w:spacing w:line="240" w:lineRule="auto"/>
        <w:ind w:firstLine="640"/>
        <w:jc w:val="both"/>
      </w:pPr>
      <w:r>
        <w:rPr>
          <w:rFonts w:ascii="仿宋_GB2312" w:hAnsi="仿宋_GB2312" w:eastAsia="仿宋_GB2312"/>
          <w:b w:val="0"/>
          <w:sz w:val="32"/>
        </w:rPr>
        <w:t>三、《支出决算表》</w:t>
      </w:r>
    </w:p>
    <w:p w14:paraId="6BA31B58">
      <w:pPr>
        <w:spacing w:line="240" w:lineRule="auto"/>
        <w:ind w:firstLine="640"/>
        <w:jc w:val="both"/>
      </w:pPr>
      <w:r>
        <w:rPr>
          <w:rFonts w:ascii="仿宋_GB2312" w:hAnsi="仿宋_GB2312" w:eastAsia="仿宋_GB2312"/>
          <w:b w:val="0"/>
          <w:sz w:val="32"/>
        </w:rPr>
        <w:t>四、《财政拨款收入支出决算总表》</w:t>
      </w:r>
    </w:p>
    <w:p w14:paraId="7A132963">
      <w:pPr>
        <w:spacing w:line="240" w:lineRule="auto"/>
        <w:ind w:firstLine="640"/>
        <w:jc w:val="both"/>
      </w:pPr>
      <w:r>
        <w:rPr>
          <w:rFonts w:ascii="仿宋_GB2312" w:hAnsi="仿宋_GB2312" w:eastAsia="仿宋_GB2312"/>
          <w:b w:val="0"/>
          <w:sz w:val="32"/>
        </w:rPr>
        <w:t>五、《一般公共预算财政拨款支出决算表》</w:t>
      </w:r>
    </w:p>
    <w:p w14:paraId="304B718E">
      <w:pPr>
        <w:spacing w:line="240" w:lineRule="auto"/>
        <w:ind w:firstLine="640"/>
        <w:jc w:val="both"/>
      </w:pPr>
      <w:r>
        <w:rPr>
          <w:rFonts w:ascii="仿宋_GB2312" w:hAnsi="仿宋_GB2312" w:eastAsia="仿宋_GB2312"/>
          <w:b w:val="0"/>
          <w:sz w:val="32"/>
        </w:rPr>
        <w:t>六、《一般公共预算财政拨款基本支出决算表》</w:t>
      </w:r>
    </w:p>
    <w:p w14:paraId="3A300B49">
      <w:pPr>
        <w:spacing w:line="240" w:lineRule="auto"/>
        <w:ind w:firstLine="640"/>
        <w:jc w:val="both"/>
      </w:pPr>
      <w:r>
        <w:rPr>
          <w:rFonts w:ascii="仿宋_GB2312" w:hAnsi="仿宋_GB2312" w:eastAsia="仿宋_GB2312"/>
          <w:b w:val="0"/>
          <w:sz w:val="32"/>
        </w:rPr>
        <w:t>七、《政府性基金预算财政拨款收入支出决算表》</w:t>
      </w:r>
    </w:p>
    <w:p w14:paraId="75C90DB1">
      <w:pPr>
        <w:spacing w:line="240" w:lineRule="auto"/>
        <w:ind w:firstLine="640"/>
        <w:jc w:val="both"/>
      </w:pPr>
      <w:r>
        <w:rPr>
          <w:rFonts w:ascii="仿宋_GB2312" w:hAnsi="仿宋_GB2312" w:eastAsia="仿宋_GB2312"/>
          <w:b w:val="0"/>
          <w:sz w:val="32"/>
        </w:rPr>
        <w:t>八、《国有资本经营预算财政拨款收入支出决算表》</w:t>
      </w:r>
    </w:p>
    <w:p w14:paraId="47D2F513">
      <w:pPr>
        <w:spacing w:line="240" w:lineRule="auto"/>
        <w:ind w:firstLine="640"/>
        <w:jc w:val="both"/>
      </w:pPr>
      <w:r>
        <w:rPr>
          <w:rFonts w:ascii="仿宋_GB2312" w:hAnsi="仿宋_GB2312" w:eastAsia="仿宋_GB2312"/>
          <w:b w:val="0"/>
          <w:sz w:val="32"/>
        </w:rPr>
        <w:t>九、《财政拨款“三公”经费支出决算表》</w:t>
      </w:r>
    </w:p>
    <w:p w14:paraId="5D94E506">
      <w:pPr>
        <w:spacing w:line="240" w:lineRule="auto"/>
        <w:ind w:firstLine="640"/>
        <w:jc w:val="both"/>
      </w:pPr>
    </w:p>
    <w:p w14:paraId="25FBF0BF">
      <w:pPr>
        <w:spacing w:line="240" w:lineRule="auto"/>
        <w:ind w:firstLine="640"/>
        <w:jc w:val="both"/>
      </w:pPr>
    </w:p>
    <w:p w14:paraId="18CEA45B">
      <w:pPr>
        <w:spacing w:line="240" w:lineRule="auto"/>
        <w:ind w:firstLine="640"/>
        <w:jc w:val="both"/>
      </w:pPr>
    </w:p>
    <w:p w14:paraId="77D2F92C">
      <w:pPr>
        <w:spacing w:line="240" w:lineRule="auto"/>
        <w:ind w:firstLine="640"/>
        <w:jc w:val="both"/>
      </w:pPr>
    </w:p>
    <w:p w14:paraId="44B8DBE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854C67-A872-4D0A-930A-3F23D18F2E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360EA4B-D492-4E1F-B1B2-8B601FA6572C}"/>
  </w:font>
  <w:font w:name="仿宋_GB2312">
    <w:panose1 w:val="02010609030101010101"/>
    <w:charset w:val="86"/>
    <w:family w:val="modern"/>
    <w:pitch w:val="default"/>
    <w:sig w:usb0="00000001" w:usb1="080E0000" w:usb2="00000000" w:usb3="00000000" w:csb0="00040000" w:csb1="00000000"/>
    <w:embedRegular r:id="rId3" w:fontKey="{55262278-DDCF-4637-84E5-B451697A2ABA}"/>
  </w:font>
  <w:font w:name="楷体_GB2312">
    <w:panose1 w:val="02010609030101010101"/>
    <w:charset w:val="86"/>
    <w:family w:val="auto"/>
    <w:pitch w:val="default"/>
    <w:sig w:usb0="00000001" w:usb1="080E0000" w:usb2="00000000" w:usb3="00000000" w:csb0="00040000" w:csb1="00000000"/>
    <w:embedRegular r:id="rId4" w:fontKey="{78BF6909-0354-4AD8-91E6-439C90D642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157A3F"/>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BFB6DBC"/>
    <w:rsid w:val="4F3F074E"/>
    <w:rsid w:val="50DB5F45"/>
    <w:rsid w:val="52F92565"/>
    <w:rsid w:val="543D17CB"/>
    <w:rsid w:val="55494B8E"/>
    <w:rsid w:val="55DA564E"/>
    <w:rsid w:val="56E07045"/>
    <w:rsid w:val="5724577C"/>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346165"/>
    <w:rsid w:val="72FF168C"/>
    <w:rsid w:val="73423603"/>
    <w:rsid w:val="737A5923"/>
    <w:rsid w:val="73DE4104"/>
    <w:rsid w:val="73FB6630"/>
    <w:rsid w:val="74CE04EC"/>
    <w:rsid w:val="74E76DCD"/>
    <w:rsid w:val="76660D7C"/>
    <w:rsid w:val="77ED6F44"/>
    <w:rsid w:val="795A0A34"/>
    <w:rsid w:val="7A0D3BC7"/>
    <w:rsid w:val="7A3A3CDB"/>
    <w:rsid w:val="7C6E4E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5790</Words>
  <Characters>6517</Characters>
  <Lines>0</Lines>
  <Paragraphs>0</Paragraphs>
  <TotalTime>6</TotalTime>
  <ScaleCrop>false</ScaleCrop>
  <LinksUpToDate>false</LinksUpToDate>
  <CharactersWithSpaces>6527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2025-09-25T08:23:55Z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