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霍城县初级中学2024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001E4E2">
      <w:r>
        <w:br w:type="page"/>
      </w:r>
    </w:p>
    <w:p w14:paraId="5FADB677">
      <w:pPr>
        <w:spacing w:line="640" w:lineRule="exact"/>
        <w:jc w:val="center"/>
        <w:outlineLvl w:val="1"/>
      </w:pPr>
      <w:r>
        <w:rPr>
          <w:rFonts w:ascii="黑体" w:hAnsi="黑体" w:eastAsia="黑体"/>
          <w:sz w:val="32"/>
        </w:rPr>
        <w:t>第一部分 单位概况</w:t>
      </w:r>
    </w:p>
    <w:p w14:paraId="5452FDA3">
      <w:pPr>
        <w:spacing w:line="640" w:lineRule="exact"/>
        <w:ind w:firstLine="640"/>
        <w:jc w:val="both"/>
        <w:outlineLvl w:val="2"/>
      </w:pPr>
      <w:r>
        <w:rPr>
          <w:rFonts w:ascii="黑体" w:hAnsi="黑体" w:eastAsia="黑体"/>
          <w:sz w:val="32"/>
        </w:rPr>
        <w:t>一、主要职能</w:t>
      </w:r>
    </w:p>
    <w:p w14:paraId="711CD123">
      <w:pPr>
        <w:spacing w:line="580" w:lineRule="exact"/>
        <w:ind w:firstLine="640"/>
        <w:jc w:val="both"/>
      </w:pPr>
      <w:r>
        <w:rPr>
          <w:rFonts w:ascii="仿宋_GB2312" w:hAnsi="仿宋_GB2312" w:eastAsia="仿宋_GB2312"/>
          <w:sz w:val="32"/>
        </w:rPr>
        <w:t>（1）实施初中义务教育，促进基础教育发展。</w:t>
      </w:r>
    </w:p>
    <w:p w14:paraId="205A4C72">
      <w:pPr>
        <w:spacing w:line="580" w:lineRule="exact"/>
        <w:ind w:firstLine="640"/>
        <w:jc w:val="both"/>
      </w:pPr>
      <w:r>
        <w:rPr>
          <w:rFonts w:ascii="仿宋_GB2312" w:hAnsi="仿宋_GB2312" w:eastAsia="仿宋_GB2312"/>
          <w:sz w:val="32"/>
        </w:rPr>
        <w:t>（2）实施素质教育，统筹推进重点工作，按照均衡发展要求和义务教育学校管理标准全面提升办学效能，团结班子，凝心聚力,力争办好霍城人民满意的教育，为全县</w:t>
      </w:r>
      <w:r>
        <w:rPr>
          <w:rFonts w:hint="eastAsia" w:ascii="仿宋_GB2312" w:hAnsi="仿宋_GB2312" w:eastAsia="仿宋_GB2312"/>
          <w:sz w:val="32"/>
          <w:lang w:eastAsia="zh-CN"/>
        </w:rPr>
        <w:t>义务教育优质均衡发展</w:t>
      </w:r>
      <w:r>
        <w:rPr>
          <w:rFonts w:ascii="仿宋_GB2312" w:hAnsi="仿宋_GB2312" w:eastAsia="仿宋_GB2312"/>
          <w:sz w:val="32"/>
        </w:rPr>
        <w:t>目标的实现做出新的贡献。</w:t>
      </w:r>
    </w:p>
    <w:p w14:paraId="7AFA3310">
      <w:pPr>
        <w:spacing w:line="640" w:lineRule="exact"/>
        <w:ind w:firstLine="640"/>
        <w:jc w:val="both"/>
        <w:outlineLvl w:val="2"/>
      </w:pPr>
      <w:r>
        <w:rPr>
          <w:rFonts w:ascii="黑体" w:hAnsi="黑体" w:eastAsia="黑体"/>
          <w:sz w:val="32"/>
        </w:rPr>
        <w:t>二、机构设置及人员情况</w:t>
      </w:r>
    </w:p>
    <w:p w14:paraId="0181FC83">
      <w:pPr>
        <w:spacing w:line="580" w:lineRule="exact"/>
        <w:ind w:firstLine="640"/>
        <w:jc w:val="both"/>
      </w:pPr>
      <w:r>
        <w:rPr>
          <w:rFonts w:ascii="仿宋_GB2312" w:hAnsi="仿宋_GB2312" w:eastAsia="仿宋_GB2312"/>
          <w:sz w:val="32"/>
        </w:rPr>
        <w:t>霍城县初级中学2024年度，实有人数375人，其中：在职人员229人，减少21人；离休人员0人，增加0人；退休人员146人,增加10人。</w:t>
      </w:r>
    </w:p>
    <w:p w14:paraId="04C280A2">
      <w:pPr>
        <w:spacing w:line="580" w:lineRule="exact"/>
        <w:ind w:firstLine="640"/>
        <w:jc w:val="both"/>
      </w:pPr>
      <w:r>
        <w:rPr>
          <w:rFonts w:ascii="仿宋_GB2312" w:hAnsi="仿宋_GB2312" w:eastAsia="仿宋_GB2312"/>
          <w:sz w:val="32"/>
        </w:rPr>
        <w:t>霍城县初级中学无下属预算单位，下设13个科室，分别是：党政办、平安办、团委、后勤处、财务室、工会、教务处、德育处、教研室、信息办、七年级组、八年级组、九年级组。</w:t>
      </w:r>
    </w:p>
    <w:p w14:paraId="6766DB56">
      <w:r>
        <w:br w:type="page"/>
      </w:r>
    </w:p>
    <w:p w14:paraId="6280DD23">
      <w:pPr>
        <w:spacing w:line="240" w:lineRule="auto"/>
        <w:jc w:val="center"/>
        <w:outlineLvl w:val="1"/>
      </w:pPr>
      <w:r>
        <w:rPr>
          <w:rFonts w:ascii="黑体" w:hAnsi="黑体" w:eastAsia="黑体"/>
          <w:sz w:val="32"/>
        </w:rPr>
        <w:t>第二部分 部门决算情况说明</w:t>
      </w:r>
    </w:p>
    <w:p w14:paraId="62341C2C">
      <w:pPr>
        <w:spacing w:line="640" w:lineRule="exact"/>
        <w:ind w:firstLine="640"/>
        <w:jc w:val="both"/>
        <w:outlineLvl w:val="2"/>
      </w:pPr>
      <w:r>
        <w:rPr>
          <w:rFonts w:ascii="黑体" w:hAnsi="黑体" w:eastAsia="黑体"/>
          <w:sz w:val="32"/>
        </w:rPr>
        <w:t>一、收入支出决算总体情况说明</w:t>
      </w:r>
    </w:p>
    <w:p w14:paraId="6CCA1147">
      <w:pPr>
        <w:spacing w:line="580" w:lineRule="exact"/>
        <w:ind w:firstLine="640"/>
        <w:jc w:val="both"/>
      </w:pPr>
      <w:r>
        <w:rPr>
          <w:rFonts w:ascii="仿宋_GB2312" w:hAnsi="仿宋_GB2312" w:eastAsia="仿宋_GB2312"/>
          <w:b/>
          <w:sz w:val="32"/>
        </w:rPr>
        <w:t>2024年度收入总计5,044.52万元，</w:t>
      </w:r>
      <w:r>
        <w:rPr>
          <w:rFonts w:ascii="仿宋_GB2312" w:hAnsi="仿宋_GB2312" w:eastAsia="仿宋_GB2312"/>
          <w:b w:val="0"/>
          <w:sz w:val="32"/>
        </w:rPr>
        <w:t>其中：本年收入合计5,044.52万元，使用非财政拨款结余（含专用结余）0.00万元，年初结转和结余0.00万元。</w:t>
      </w:r>
    </w:p>
    <w:p w14:paraId="761D28FE">
      <w:pPr>
        <w:spacing w:line="580" w:lineRule="exact"/>
        <w:ind w:firstLine="640"/>
        <w:jc w:val="both"/>
      </w:pPr>
      <w:r>
        <w:rPr>
          <w:rFonts w:ascii="仿宋_GB2312" w:hAnsi="仿宋_GB2312" w:eastAsia="仿宋_GB2312"/>
          <w:b/>
          <w:sz w:val="32"/>
        </w:rPr>
        <w:t>2024年度支出总计5,044.52万元，</w:t>
      </w:r>
      <w:r>
        <w:rPr>
          <w:rFonts w:ascii="仿宋_GB2312" w:hAnsi="仿宋_GB2312" w:eastAsia="仿宋_GB2312"/>
          <w:b w:val="0"/>
          <w:sz w:val="32"/>
        </w:rPr>
        <w:t>其中：本年支出合计5,044.52万元，结余分配0.00万元，年末结转和结余0.00万元。</w:t>
      </w:r>
    </w:p>
    <w:p w14:paraId="4252251A">
      <w:pPr>
        <w:spacing w:line="580" w:lineRule="exact"/>
        <w:ind w:firstLine="640"/>
        <w:jc w:val="both"/>
      </w:pPr>
      <w:r>
        <w:rPr>
          <w:rFonts w:ascii="仿宋_GB2312" w:hAnsi="仿宋_GB2312" w:eastAsia="仿宋_GB2312"/>
          <w:b w:val="0"/>
          <w:sz w:val="32"/>
        </w:rPr>
        <w:t>收入支出总体与上年相比，减少95.06万元，下降1.85%，主要原因是：本年在职人员减少，相关人员经费较上年减少；公用经费-保工资（工会经费及福利费）比上年度减少。</w:t>
      </w:r>
    </w:p>
    <w:p w14:paraId="0D34ECF7">
      <w:pPr>
        <w:spacing w:line="640" w:lineRule="exact"/>
        <w:ind w:firstLine="640"/>
        <w:jc w:val="both"/>
        <w:outlineLvl w:val="2"/>
      </w:pPr>
      <w:r>
        <w:rPr>
          <w:rFonts w:ascii="黑体" w:hAnsi="黑体" w:eastAsia="黑体"/>
          <w:sz w:val="32"/>
        </w:rPr>
        <w:t>二、收入决算情况说明</w:t>
      </w:r>
    </w:p>
    <w:p w14:paraId="18832CAD">
      <w:pPr>
        <w:spacing w:line="580" w:lineRule="exact"/>
        <w:ind w:firstLine="640"/>
        <w:jc w:val="both"/>
      </w:pPr>
      <w:r>
        <w:rPr>
          <w:rFonts w:ascii="仿宋_GB2312" w:hAnsi="仿宋_GB2312" w:eastAsia="仿宋_GB2312"/>
          <w:b/>
          <w:sz w:val="32"/>
        </w:rPr>
        <w:t>本年收入5,044.52万元，</w:t>
      </w:r>
      <w:r>
        <w:rPr>
          <w:rFonts w:ascii="仿宋_GB2312" w:hAnsi="仿宋_GB2312" w:eastAsia="仿宋_GB2312"/>
          <w:b w:val="0"/>
          <w:sz w:val="32"/>
        </w:rPr>
        <w:t>其中：财政拨款收入5,044.52万元，占100.00%；上级补助收入0.00万元，占0.00%；事业收入0.00万元，占0.00%；经营收入0.00万元，占0.00%；附属单位上缴收入0.00万元，占0.00%；其他收入0.00万元，占0.00%。</w:t>
      </w:r>
    </w:p>
    <w:p w14:paraId="1803A913">
      <w:pPr>
        <w:spacing w:line="640" w:lineRule="exact"/>
        <w:ind w:firstLine="640"/>
        <w:jc w:val="both"/>
        <w:outlineLvl w:val="2"/>
      </w:pPr>
      <w:r>
        <w:rPr>
          <w:rFonts w:ascii="黑体" w:hAnsi="黑体" w:eastAsia="黑体"/>
          <w:sz w:val="32"/>
        </w:rPr>
        <w:t>三、支出决算情况说明</w:t>
      </w:r>
    </w:p>
    <w:p w14:paraId="5D7A3C9D">
      <w:pPr>
        <w:spacing w:line="580" w:lineRule="exact"/>
        <w:ind w:firstLine="640"/>
        <w:jc w:val="both"/>
      </w:pPr>
      <w:r>
        <w:rPr>
          <w:rFonts w:ascii="仿宋_GB2312" w:hAnsi="仿宋_GB2312" w:eastAsia="仿宋_GB2312"/>
          <w:b/>
          <w:sz w:val="32"/>
        </w:rPr>
        <w:t>本年支出5,044.52万元，</w:t>
      </w:r>
      <w:r>
        <w:rPr>
          <w:rFonts w:ascii="仿宋_GB2312" w:hAnsi="仿宋_GB2312" w:eastAsia="仿宋_GB2312"/>
          <w:b w:val="0"/>
          <w:sz w:val="32"/>
        </w:rPr>
        <w:t>其中：基本支出5,044.52万元，占100.00%；项目支出0.00万元，占0.00%；上缴上级支出0.00万元，占0.00%；经营支出0.00万元，占0.00%；对附属单位补助支出0.00万元，占0.00%。</w:t>
      </w:r>
    </w:p>
    <w:p w14:paraId="77A5437A">
      <w:pPr>
        <w:spacing w:line="640" w:lineRule="exact"/>
        <w:ind w:firstLine="640"/>
        <w:jc w:val="both"/>
        <w:outlineLvl w:val="2"/>
      </w:pPr>
      <w:r>
        <w:rPr>
          <w:rFonts w:ascii="黑体" w:hAnsi="黑体" w:eastAsia="黑体"/>
          <w:sz w:val="32"/>
        </w:rPr>
        <w:t>四、财政拨款收入支出决算总体情况说明</w:t>
      </w:r>
    </w:p>
    <w:p w14:paraId="37B6916B">
      <w:pPr>
        <w:spacing w:line="580" w:lineRule="exact"/>
        <w:ind w:firstLine="640"/>
        <w:jc w:val="both"/>
      </w:pPr>
      <w:r>
        <w:rPr>
          <w:rFonts w:ascii="仿宋_GB2312" w:hAnsi="仿宋_GB2312" w:eastAsia="仿宋_GB2312"/>
          <w:b/>
          <w:sz w:val="32"/>
        </w:rPr>
        <w:t>2024年度财政拨款收入总计5,044.52万元，</w:t>
      </w:r>
      <w:r>
        <w:rPr>
          <w:rFonts w:ascii="仿宋_GB2312" w:hAnsi="仿宋_GB2312" w:eastAsia="仿宋_GB2312"/>
          <w:b w:val="0"/>
          <w:sz w:val="32"/>
        </w:rPr>
        <w:t>其中：年初财政拨款结转和结余0.00万元，本年财政拨款收入5,044.52万元。</w:t>
      </w:r>
      <w:r>
        <w:rPr>
          <w:rFonts w:ascii="仿宋_GB2312" w:hAnsi="仿宋_GB2312" w:eastAsia="仿宋_GB2312"/>
          <w:b/>
          <w:sz w:val="32"/>
        </w:rPr>
        <w:t>财政拨款支出总计5,044.52万元，</w:t>
      </w:r>
      <w:r>
        <w:rPr>
          <w:rFonts w:ascii="仿宋_GB2312" w:hAnsi="仿宋_GB2312" w:eastAsia="仿宋_GB2312"/>
          <w:b w:val="0"/>
          <w:sz w:val="32"/>
        </w:rPr>
        <w:t>其中：年末财政拨款结转和结余0.00万元，本年财政拨款支出5,044.52万元。</w:t>
      </w:r>
    </w:p>
    <w:p w14:paraId="28D6033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减少95.06万元，下降1.85%，主要原因是：本年在职人员减少，相关人员经费较上年减少；公用经费-保工资（工会经费及福利费）比上年度减少。</w:t>
      </w:r>
      <w:r>
        <w:rPr>
          <w:rFonts w:ascii="仿宋_GB2312" w:hAnsi="仿宋_GB2312" w:eastAsia="仿宋_GB2312"/>
          <w:b/>
          <w:sz w:val="32"/>
        </w:rPr>
        <w:t>与年初预算相比，</w:t>
      </w:r>
      <w:r>
        <w:rPr>
          <w:rFonts w:ascii="仿宋_GB2312" w:hAnsi="仿宋_GB2312" w:eastAsia="仿宋_GB2312"/>
          <w:b w:val="0"/>
          <w:sz w:val="32"/>
        </w:rPr>
        <w:t>年初预算数5,162.71万元，决算数5,044.52万元，预决算差异率-2.29%，主要原因是：年初预算中包含薄弱环节改造</w:t>
      </w:r>
      <w:r>
        <w:rPr>
          <w:rFonts w:hint="eastAsia" w:ascii="仿宋_GB2312" w:hAnsi="仿宋_GB2312" w:eastAsia="仿宋_GB2312"/>
          <w:b w:val="0"/>
          <w:sz w:val="32"/>
          <w:lang w:eastAsia="zh-CN"/>
        </w:rPr>
        <w:t>提升项目</w:t>
      </w:r>
      <w:r>
        <w:rPr>
          <w:rFonts w:ascii="仿宋_GB2312" w:hAnsi="仿宋_GB2312" w:eastAsia="仿宋_GB2312"/>
          <w:b w:val="0"/>
          <w:sz w:val="32"/>
        </w:rPr>
        <w:t>经费，年中执行实际由霍城县教育局单位执行，导致预决算存在差异。</w:t>
      </w:r>
    </w:p>
    <w:p w14:paraId="2C1AB9AC">
      <w:pPr>
        <w:spacing w:line="640" w:lineRule="exact"/>
        <w:ind w:firstLine="640"/>
        <w:jc w:val="both"/>
        <w:outlineLvl w:val="2"/>
      </w:pPr>
      <w:r>
        <w:rPr>
          <w:rFonts w:ascii="黑体" w:hAnsi="黑体" w:eastAsia="黑体"/>
          <w:sz w:val="32"/>
        </w:rPr>
        <w:t>五、一般公共预算财政拨款支出决算情况说明</w:t>
      </w:r>
    </w:p>
    <w:p w14:paraId="4EBB2DB0">
      <w:pPr>
        <w:spacing w:line="640" w:lineRule="exact"/>
        <w:ind w:firstLine="640"/>
        <w:jc w:val="both"/>
        <w:outlineLvl w:val="3"/>
      </w:pPr>
      <w:r>
        <w:rPr>
          <w:rFonts w:ascii="楷体_GB2312" w:hAnsi="楷体_GB2312" w:eastAsia="楷体_GB2312"/>
          <w:b/>
          <w:sz w:val="32"/>
        </w:rPr>
        <w:t>（一）一般公共预算财政拨款支出决算总体情况</w:t>
      </w:r>
    </w:p>
    <w:p w14:paraId="22E16584">
      <w:pPr>
        <w:spacing w:line="580" w:lineRule="exact"/>
        <w:ind w:firstLine="640"/>
        <w:jc w:val="both"/>
      </w:pPr>
      <w:r>
        <w:rPr>
          <w:rFonts w:ascii="仿宋_GB2312" w:hAnsi="仿宋_GB2312" w:eastAsia="仿宋_GB2312"/>
          <w:b/>
          <w:sz w:val="32"/>
        </w:rPr>
        <w:t>2024年度一般公共预算财政拨款支出5,044.52万元，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减少95.06万元，下降1.85%，主要原因是：本年在职人员减少，相关人员经费较上年减少；公用经费-保工资（工会经费及福利费）比上年度减少。</w:t>
      </w:r>
      <w:r>
        <w:rPr>
          <w:rFonts w:ascii="仿宋_GB2312" w:hAnsi="仿宋_GB2312" w:eastAsia="仿宋_GB2312"/>
          <w:b/>
          <w:sz w:val="32"/>
        </w:rPr>
        <w:t>与年初预算相比,</w:t>
      </w:r>
      <w:r>
        <w:rPr>
          <w:rFonts w:ascii="仿宋_GB2312" w:hAnsi="仿宋_GB2312" w:eastAsia="仿宋_GB2312"/>
          <w:b w:val="0"/>
          <w:sz w:val="32"/>
        </w:rPr>
        <w:t>年初预算数5,162.71万元，决算数5,044.52万元，预决算差异率-2.29%，主要原因是：年初预算中包含薄弱环节改造</w:t>
      </w:r>
      <w:r>
        <w:rPr>
          <w:rFonts w:hint="eastAsia" w:ascii="仿宋_GB2312" w:hAnsi="仿宋_GB2312" w:eastAsia="仿宋_GB2312"/>
          <w:b w:val="0"/>
          <w:sz w:val="32"/>
          <w:lang w:eastAsia="zh-CN"/>
        </w:rPr>
        <w:t>提升项目</w:t>
      </w:r>
      <w:r>
        <w:rPr>
          <w:rFonts w:ascii="仿宋_GB2312" w:hAnsi="仿宋_GB2312" w:eastAsia="仿宋_GB2312"/>
          <w:b w:val="0"/>
          <w:sz w:val="32"/>
        </w:rPr>
        <w:t>经费，年中执行实际由霍城县教育局单位执行，导致预决算存在差异。</w:t>
      </w:r>
    </w:p>
    <w:p w14:paraId="2DB17325">
      <w:pPr>
        <w:spacing w:line="640" w:lineRule="exact"/>
        <w:ind w:firstLine="640"/>
        <w:jc w:val="both"/>
        <w:outlineLvl w:val="3"/>
      </w:pPr>
      <w:r>
        <w:rPr>
          <w:rFonts w:ascii="楷体_GB2312" w:hAnsi="楷体_GB2312" w:eastAsia="楷体_GB2312"/>
          <w:b/>
          <w:sz w:val="32"/>
        </w:rPr>
        <w:t>（二）一般公共预算财政拨款支出决算结构情况</w:t>
      </w:r>
    </w:p>
    <w:p w14:paraId="068C8350">
      <w:pPr>
        <w:spacing w:line="580" w:lineRule="exact"/>
        <w:ind w:firstLine="640"/>
        <w:jc w:val="both"/>
      </w:pPr>
      <w:r>
        <w:rPr>
          <w:rFonts w:ascii="仿宋_GB2312" w:hAnsi="仿宋_GB2312" w:eastAsia="仿宋_GB2312"/>
          <w:b w:val="0"/>
          <w:sz w:val="32"/>
        </w:rPr>
        <w:t>1.教育支出(类)4,138.80万元,占82.05%。</w:t>
      </w:r>
    </w:p>
    <w:p w14:paraId="445D0967">
      <w:pPr>
        <w:spacing w:line="580" w:lineRule="exact"/>
        <w:ind w:firstLine="640"/>
        <w:jc w:val="both"/>
      </w:pPr>
      <w:r>
        <w:rPr>
          <w:rFonts w:ascii="仿宋_GB2312" w:hAnsi="仿宋_GB2312" w:eastAsia="仿宋_GB2312"/>
          <w:b w:val="0"/>
          <w:sz w:val="32"/>
        </w:rPr>
        <w:t>2.科学技术支出(类)20.00万元,占0.40%。</w:t>
      </w:r>
    </w:p>
    <w:p w14:paraId="0133D40A">
      <w:pPr>
        <w:spacing w:line="580" w:lineRule="exact"/>
        <w:ind w:firstLine="640"/>
        <w:jc w:val="both"/>
      </w:pPr>
      <w:r>
        <w:rPr>
          <w:rFonts w:ascii="仿宋_GB2312" w:hAnsi="仿宋_GB2312" w:eastAsia="仿宋_GB2312"/>
          <w:b w:val="0"/>
          <w:sz w:val="32"/>
        </w:rPr>
        <w:t>3.社会保障和就业支出(类)656.28万元,占13.01%。</w:t>
      </w:r>
    </w:p>
    <w:p w14:paraId="0097D7F6">
      <w:pPr>
        <w:spacing w:line="580" w:lineRule="exact"/>
        <w:ind w:firstLine="640"/>
        <w:jc w:val="both"/>
      </w:pPr>
      <w:r>
        <w:rPr>
          <w:rFonts w:ascii="仿宋_GB2312" w:hAnsi="仿宋_GB2312" w:eastAsia="仿宋_GB2312"/>
          <w:b w:val="0"/>
          <w:sz w:val="32"/>
        </w:rPr>
        <w:t>4.卫生健康支出(类)229.43万元,占4.55%。</w:t>
      </w:r>
    </w:p>
    <w:p w14:paraId="3B82E4D4">
      <w:pPr>
        <w:spacing w:line="640" w:lineRule="exact"/>
        <w:ind w:firstLine="640"/>
        <w:jc w:val="both"/>
        <w:outlineLvl w:val="3"/>
      </w:pPr>
      <w:r>
        <w:rPr>
          <w:rFonts w:ascii="楷体_GB2312" w:hAnsi="楷体_GB2312" w:eastAsia="楷体_GB2312"/>
          <w:b/>
          <w:sz w:val="32"/>
        </w:rPr>
        <w:t>（三）一般公共预算财政拨款支出决算具体情况</w:t>
      </w:r>
    </w:p>
    <w:p w14:paraId="1F59FAF0">
      <w:pPr>
        <w:spacing w:line="580" w:lineRule="exact"/>
        <w:ind w:firstLine="640"/>
        <w:jc w:val="both"/>
      </w:pPr>
      <w:r>
        <w:rPr>
          <w:rFonts w:ascii="仿宋_GB2312" w:hAnsi="仿宋_GB2312" w:eastAsia="仿宋_GB2312"/>
          <w:b w:val="0"/>
          <w:sz w:val="32"/>
        </w:rPr>
        <w:t>1.教育支出(类)普通教育(款)初中教育(项):支出决算数为4,082.66万元，比上年决算减少185.22万元，下降4.34%,主要原因是：本年在职人员减少，相关人员经费较上年减少；公用经费-保工资（工会经费及福利费）比上年度减少。</w:t>
      </w:r>
    </w:p>
    <w:p w14:paraId="2F2933A5">
      <w:pPr>
        <w:spacing w:line="580" w:lineRule="exact"/>
        <w:ind w:firstLine="640"/>
        <w:jc w:val="both"/>
      </w:pPr>
      <w:r>
        <w:rPr>
          <w:rFonts w:ascii="仿宋_GB2312" w:hAnsi="仿宋_GB2312" w:eastAsia="仿宋_GB2312"/>
          <w:b w:val="0"/>
          <w:sz w:val="32"/>
        </w:rPr>
        <w:t>2.教育支出(类)普通教育(款)其他普通教育支出(项):支出决算数为56.14万元，比上年决算增加17.78万元，增长46.35%,主要原因是：本年度新增长期聘用人员，导致经费较上年增加。</w:t>
      </w:r>
    </w:p>
    <w:p w14:paraId="3DFEDD1E">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3.教育支出(类)教育费附加安排的支出(款)其他教育费附加安排的支出(项):支出决算数为0.00万元，比上年决算减少3.23万元，下降100.00%,主要原因是：本年度未安排老师继续教育经费支出，导致经费较上年减少。</w:t>
      </w:r>
    </w:p>
    <w:p w14:paraId="25A4DEF2">
      <w:pPr>
        <w:spacing w:line="580" w:lineRule="exact"/>
        <w:ind w:firstLine="640"/>
        <w:jc w:val="both"/>
      </w:pPr>
      <w:r>
        <w:rPr>
          <w:rFonts w:ascii="仿宋_GB2312" w:hAnsi="仿宋_GB2312" w:eastAsia="仿宋_GB2312"/>
          <w:b w:val="0"/>
          <w:sz w:val="32"/>
        </w:rPr>
        <w:t>4.教育支出(类)其他教育支出(款)其他教育支出(项):支出决算数为0.00万元，比上年决算减少5.38万元，下降100.00%,主要原因是：本年功能科目调整，班主任津贴上年度单独列支，本年调整至主科目列支，导致经费较上年减少。</w:t>
      </w:r>
    </w:p>
    <w:p w14:paraId="0534694A">
      <w:pPr>
        <w:spacing w:line="580" w:lineRule="exact"/>
        <w:ind w:firstLine="640"/>
        <w:jc w:val="both"/>
      </w:pPr>
      <w:r>
        <w:rPr>
          <w:rFonts w:ascii="仿宋_GB2312" w:hAnsi="仿宋_GB2312" w:eastAsia="仿宋_GB2312"/>
          <w:b w:val="0"/>
          <w:sz w:val="32"/>
        </w:rPr>
        <w:t>5.科学技术支出(类)基础研究(款)科技人才队伍建设(项):支出决算数为20.00万元，比上年决算增加20.00万元，增长100.00%,主要原因是：本年度增加天山英才项目经费。</w:t>
      </w:r>
    </w:p>
    <w:p w14:paraId="3068F79F">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6.社会保障和就业支出(类)行政事业单位养老支出(款)事业单位离退休(项):支出决算数为112.48万元，比上年决算增加81.78万元，增长266.38%,主要原因是：本年增加退休人员基础绩效奖，退休费支出增加。</w:t>
      </w:r>
    </w:p>
    <w:p w14:paraId="61FE23D3">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458.00万元，比上年决算增加25.76万元，增长5.96%,主要原因是：本年在职人员工资基数调增，养老缴费基数上涨，相应支出增加。</w:t>
      </w:r>
    </w:p>
    <w:p w14:paraId="48E54DB7">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85.81万元，比上年决算增加35.44万元，增长70.36%,主要原因是：本年新增退休人员较上年增加，职业年金缴费支出增加。</w:t>
      </w:r>
    </w:p>
    <w:p w14:paraId="1318C1FD">
      <w:pPr>
        <w:spacing w:line="580" w:lineRule="exact"/>
        <w:ind w:firstLine="640"/>
        <w:jc w:val="both"/>
      </w:pPr>
      <w:r>
        <w:rPr>
          <w:rFonts w:ascii="仿宋_GB2312" w:hAnsi="仿宋_GB2312" w:eastAsia="仿宋_GB2312"/>
          <w:b w:val="0"/>
          <w:sz w:val="32"/>
        </w:rPr>
        <w:t>9.社会保障和就业支出(类)抚恤(款)死亡抚恤(项):支出决算数为0.00万元，比上年决算减少13.86万元，下降100.00%,主要原因是：本年无新增死亡人员，死亡抚恤支出较上年减少。</w:t>
      </w:r>
    </w:p>
    <w:p w14:paraId="374D74DC">
      <w:pPr>
        <w:spacing w:line="580" w:lineRule="exact"/>
        <w:ind w:firstLine="640"/>
        <w:jc w:val="both"/>
      </w:pPr>
      <w:r>
        <w:rPr>
          <w:rFonts w:ascii="仿宋_GB2312" w:hAnsi="仿宋_GB2312" w:eastAsia="仿宋_GB2312"/>
          <w:b w:val="0"/>
          <w:sz w:val="32"/>
        </w:rPr>
        <w:t>10.卫生健康支出(类)行政事业单位医疗(款)事业单位医疗(项):支出决算数为229.43万元，比上年决算减少68.13万元，下降22.90%,主要原因是：因退休人员医疗保险制度改革，退休人员基本医疗不再由单位缴纳，导致经费较上年减少。</w:t>
      </w:r>
    </w:p>
    <w:p w14:paraId="66A29DB8">
      <w:pPr>
        <w:spacing w:line="640" w:lineRule="exact"/>
        <w:ind w:firstLine="640"/>
        <w:jc w:val="both"/>
        <w:outlineLvl w:val="2"/>
      </w:pPr>
      <w:r>
        <w:rPr>
          <w:rFonts w:ascii="黑体" w:hAnsi="黑体" w:eastAsia="黑体"/>
          <w:sz w:val="32"/>
        </w:rPr>
        <w:t>六、一般公共预算财政拨款基本支出决算情况说明</w:t>
      </w:r>
    </w:p>
    <w:p w14:paraId="4EF86EE7">
      <w:pPr>
        <w:spacing w:line="580" w:lineRule="exact"/>
        <w:ind w:firstLine="640"/>
        <w:jc w:val="both"/>
      </w:pPr>
      <w:r>
        <w:rPr>
          <w:rFonts w:ascii="仿宋_GB2312" w:hAnsi="仿宋_GB2312" w:eastAsia="仿宋_GB2312"/>
          <w:b w:val="0"/>
          <w:sz w:val="32"/>
        </w:rPr>
        <w:t>2024年度一般公共预算财政拨款基本支出5,044.52万元，其中：</w:t>
      </w:r>
      <w:r>
        <w:rPr>
          <w:rFonts w:ascii="仿宋_GB2312" w:hAnsi="仿宋_GB2312" w:eastAsia="仿宋_GB2312"/>
          <w:b/>
          <w:sz w:val="32"/>
        </w:rPr>
        <w:t>人员经费4,678.41万元，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助学金、奖励金、其他对个人和家庭的补助。</w:t>
      </w:r>
    </w:p>
    <w:p w14:paraId="4370CF9E">
      <w:pPr>
        <w:spacing w:line="580" w:lineRule="exact"/>
        <w:ind w:firstLine="640"/>
        <w:jc w:val="both"/>
      </w:pPr>
      <w:r>
        <w:rPr>
          <w:rFonts w:ascii="仿宋_GB2312" w:hAnsi="仿宋_GB2312" w:eastAsia="仿宋_GB2312"/>
          <w:b/>
          <w:sz w:val="32"/>
        </w:rPr>
        <w:t>公用经费366.11万元，</w:t>
      </w:r>
      <w:r>
        <w:rPr>
          <w:rFonts w:ascii="仿宋_GB2312" w:hAnsi="仿宋_GB2312" w:eastAsia="仿宋_GB2312"/>
          <w:b w:val="0"/>
          <w:sz w:val="32"/>
        </w:rPr>
        <w:t>包括：办公费、印刷费、手续费、水费、电费、邮电费、取暖费、物业管理费、维修（护）费、培训费、专用材料费、劳务费、工会经费、福利费、办公设备购置。</w:t>
      </w:r>
    </w:p>
    <w:p w14:paraId="5306EF8C">
      <w:pPr>
        <w:spacing w:line="640" w:lineRule="exact"/>
        <w:ind w:firstLine="640"/>
        <w:jc w:val="both"/>
        <w:outlineLvl w:val="2"/>
      </w:pPr>
      <w:r>
        <w:rPr>
          <w:rFonts w:ascii="黑体" w:hAnsi="黑体" w:eastAsia="黑体"/>
          <w:sz w:val="32"/>
        </w:rPr>
        <w:t>七、政府性基金预算财政拨款收入支出决算情况说明</w:t>
      </w:r>
    </w:p>
    <w:p w14:paraId="2F1EFDE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7070152">
      <w:pPr>
        <w:spacing w:line="640" w:lineRule="exact"/>
        <w:ind w:firstLine="640"/>
        <w:jc w:val="both"/>
        <w:outlineLvl w:val="2"/>
      </w:pPr>
      <w:r>
        <w:rPr>
          <w:rFonts w:ascii="黑体" w:hAnsi="黑体" w:eastAsia="黑体"/>
          <w:sz w:val="32"/>
        </w:rPr>
        <w:t>八、国有资本经营预算财政拨款收入支出决算情况说明</w:t>
      </w:r>
    </w:p>
    <w:p w14:paraId="7319313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A5844E">
      <w:pPr>
        <w:spacing w:line="640" w:lineRule="exact"/>
        <w:ind w:firstLine="640"/>
        <w:jc w:val="both"/>
        <w:outlineLvl w:val="2"/>
      </w:pPr>
      <w:r>
        <w:rPr>
          <w:rFonts w:ascii="黑体" w:hAnsi="黑体" w:eastAsia="黑体"/>
          <w:sz w:val="32"/>
        </w:rPr>
        <w:t>九、财政拨款“三公”经费支出决算情况说明</w:t>
      </w:r>
    </w:p>
    <w:p w14:paraId="2B13A49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F976590">
      <w:pPr>
        <w:spacing w:line="580" w:lineRule="exact"/>
        <w:ind w:firstLine="640"/>
        <w:jc w:val="both"/>
      </w:pPr>
      <w:r>
        <w:rPr>
          <w:rFonts w:ascii="仿宋_GB2312" w:hAnsi="仿宋_GB2312" w:eastAsia="仿宋_GB2312"/>
          <w:b/>
          <w:sz w:val="32"/>
        </w:rPr>
        <w:t>具体情况如下：</w:t>
      </w:r>
    </w:p>
    <w:p w14:paraId="43D6399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079E27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B02D54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98F154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EE972F0">
      <w:pPr>
        <w:spacing w:line="640" w:lineRule="exact"/>
        <w:ind w:firstLine="640"/>
        <w:jc w:val="both"/>
        <w:outlineLvl w:val="2"/>
      </w:pPr>
      <w:r>
        <w:rPr>
          <w:rFonts w:ascii="黑体" w:hAnsi="黑体" w:eastAsia="黑体"/>
          <w:sz w:val="32"/>
        </w:rPr>
        <w:t>十、其他重要事项的情况说明</w:t>
      </w:r>
    </w:p>
    <w:p w14:paraId="07B6FF5D">
      <w:pPr>
        <w:spacing w:line="640" w:lineRule="exact"/>
        <w:ind w:firstLine="640"/>
        <w:jc w:val="both"/>
        <w:outlineLvl w:val="3"/>
      </w:pPr>
      <w:r>
        <w:rPr>
          <w:rFonts w:ascii="楷体_GB2312" w:hAnsi="楷体_GB2312" w:eastAsia="楷体_GB2312"/>
          <w:b/>
          <w:sz w:val="32"/>
        </w:rPr>
        <w:t>（一）机关运行经费及公用经费支出情况</w:t>
      </w:r>
    </w:p>
    <w:p w14:paraId="336B3B65">
      <w:pPr>
        <w:spacing w:line="580" w:lineRule="exact"/>
        <w:ind w:firstLine="640"/>
        <w:jc w:val="both"/>
      </w:pPr>
      <w:r>
        <w:rPr>
          <w:rFonts w:ascii="仿宋_GB2312" w:hAnsi="仿宋_GB2312" w:eastAsia="仿宋_GB2312"/>
          <w:b w:val="0"/>
          <w:sz w:val="32"/>
        </w:rPr>
        <w:t>2024年度霍城县初级中学（事业单位）公用经费支出366.11万元，比上年减少10.93万元，下降2.90%，主要原因是：严控经费支出，厉行节约，减少办公经费、培训费。</w:t>
      </w:r>
    </w:p>
    <w:p w14:paraId="67B53610">
      <w:pPr>
        <w:spacing w:line="640" w:lineRule="exact"/>
        <w:ind w:firstLine="640"/>
        <w:jc w:val="both"/>
        <w:outlineLvl w:val="3"/>
      </w:pPr>
      <w:r>
        <w:rPr>
          <w:rFonts w:ascii="楷体_GB2312" w:hAnsi="楷体_GB2312" w:eastAsia="楷体_GB2312"/>
          <w:b/>
          <w:sz w:val="32"/>
        </w:rPr>
        <w:t>（二）政府采购情况</w:t>
      </w:r>
    </w:p>
    <w:p w14:paraId="42812CAF">
      <w:pPr>
        <w:spacing w:line="580" w:lineRule="exact"/>
        <w:ind w:firstLine="640"/>
        <w:jc w:val="both"/>
      </w:pPr>
      <w:r>
        <w:rPr>
          <w:rFonts w:ascii="仿宋_GB2312" w:hAnsi="仿宋_GB2312" w:eastAsia="仿宋_GB2312"/>
          <w:b w:val="0"/>
          <w:sz w:val="32"/>
        </w:rPr>
        <w:t>2024年度政府采购支出总额28.22万元，其中：政府采购货物支出15.14万元、政府采购工程支出4.01万元、政府采购服务支出9.07万元。</w:t>
      </w:r>
    </w:p>
    <w:p w14:paraId="0598D9DC">
      <w:pPr>
        <w:spacing w:line="580" w:lineRule="exact"/>
        <w:ind w:firstLine="640"/>
        <w:jc w:val="both"/>
      </w:pPr>
      <w:r>
        <w:rPr>
          <w:rFonts w:ascii="仿宋_GB2312" w:hAnsi="仿宋_GB2312" w:eastAsia="仿宋_GB2312"/>
          <w:b w:val="0"/>
          <w:sz w:val="32"/>
        </w:rPr>
        <w:t>授予中小企业合同金额28.22万元，占政府采购支出总额的100.00%，其中：授予小微企业合同金额28.22万元，占政府采购支出总额的100.00%。</w:t>
      </w:r>
    </w:p>
    <w:p w14:paraId="2A5F9231">
      <w:pPr>
        <w:spacing w:line="640" w:lineRule="exact"/>
        <w:ind w:firstLine="640"/>
        <w:jc w:val="both"/>
        <w:outlineLvl w:val="3"/>
      </w:pPr>
      <w:r>
        <w:rPr>
          <w:rFonts w:ascii="楷体_GB2312" w:hAnsi="楷体_GB2312" w:eastAsia="楷体_GB2312"/>
          <w:b/>
          <w:sz w:val="32"/>
        </w:rPr>
        <w:t>（三）国有资产占用情况说明</w:t>
      </w:r>
    </w:p>
    <w:p w14:paraId="17462FA7">
      <w:pPr>
        <w:spacing w:line="580" w:lineRule="exact"/>
        <w:ind w:firstLine="640"/>
        <w:jc w:val="both"/>
      </w:pPr>
      <w:r>
        <w:rPr>
          <w:rFonts w:ascii="仿宋_GB2312" w:hAnsi="仿宋_GB2312" w:eastAsia="仿宋_GB2312"/>
          <w:b w:val="0"/>
          <w:sz w:val="32"/>
        </w:rPr>
        <w:t>截至2024年12月31日，房屋18,101.22平方米，价值4,697.77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B8C01E9">
      <w:pPr>
        <w:spacing w:line="640" w:lineRule="exact"/>
        <w:ind w:firstLine="640"/>
        <w:jc w:val="both"/>
        <w:outlineLvl w:val="2"/>
      </w:pPr>
      <w:r>
        <w:rPr>
          <w:rFonts w:ascii="黑体" w:hAnsi="黑体" w:eastAsia="黑体"/>
          <w:sz w:val="32"/>
        </w:rPr>
        <w:t>十一、预算绩效的情况说明</w:t>
      </w:r>
    </w:p>
    <w:p w14:paraId="24EEC76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5,044.51万元，实际执行总额5,044.51万元；预算绩效评价项目1个，全年预算数20.00万元，全年执行数20.00万元。预算绩效管理取得的成效：一是资源配置优化：通过科学的预算绩效管理，学校能够更精准地将资金分配到教学、科研、师资建设等关键领域，提高了资源的利用效率。</w:t>
      </w:r>
      <w:bookmarkStart w:id="0" w:name="_GoBack"/>
      <w:bookmarkEnd w:id="0"/>
      <w:r>
        <w:rPr>
          <w:rFonts w:ascii="仿宋_GB2312" w:hAnsi="仿宋_GB2312" w:eastAsia="仿宋_GB2312"/>
          <w:b w:val="0"/>
          <w:sz w:val="32"/>
        </w:rPr>
        <w:t>二是决策科学性增强：基于绩效数据的分析，为学校的决策提供了有力的支持，决策更加科学合理，避免了盲目投资和资源浪费。发现的问题及原因：一是未实现全面预算的信息化管理，不能及时考核预算执行情况。二是内部管理制度不完善，内部管理流程不清晰。三是预算执行完成后的绩效管理还有待完善和加强。下一步改进措施：一是年初预算充分准备基础数据，做到预算精细、精准。二是逐步实现全面预算管理，加强事前控制，及时分析、总结及评估，不断提高预算编制的准确性，提高可操作性。三是建立健全各项财务管理制度，并严格按照规定进行管理。具体附整体支出绩效自评表，项目支出绩效自评表和评价报告。</w:t>
      </w:r>
    </w:p>
    <w:p w14:paraId="01562B5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1B434B3">
        <w:tblPrEx>
          <w:tblCellMar>
            <w:top w:w="0" w:type="dxa"/>
            <w:left w:w="108" w:type="dxa"/>
            <w:bottom w:w="0" w:type="dxa"/>
            <w:right w:w="108" w:type="dxa"/>
          </w:tblCellMar>
        </w:tblPrEx>
        <w:tc>
          <w:tcPr>
            <w:tcW w:w="8840" w:type="dxa"/>
            <w:gridSpan w:val="8"/>
            <w:vAlign w:val="center"/>
          </w:tcPr>
          <w:p w14:paraId="7F3E0F88">
            <w:pPr>
              <w:jc w:val="center"/>
            </w:pPr>
            <w:r>
              <w:rPr>
                <w:rFonts w:ascii="宋体" w:hAnsi="宋体" w:eastAsia="宋体"/>
                <w:sz w:val="24"/>
              </w:rPr>
              <w:t>单位整体支出绩效自评表</w:t>
            </w:r>
          </w:p>
        </w:tc>
      </w:tr>
      <w:tr w14:paraId="6E77A5DD">
        <w:tblPrEx>
          <w:tblCellMar>
            <w:top w:w="0" w:type="dxa"/>
            <w:left w:w="108" w:type="dxa"/>
            <w:bottom w:w="0" w:type="dxa"/>
            <w:right w:w="108" w:type="dxa"/>
          </w:tblCellMar>
        </w:tblPrEx>
        <w:tc>
          <w:tcPr>
            <w:tcW w:w="8840" w:type="dxa"/>
            <w:gridSpan w:val="8"/>
            <w:vAlign w:val="center"/>
          </w:tcPr>
          <w:p w14:paraId="111E97AA">
            <w:pPr>
              <w:jc w:val="center"/>
            </w:pPr>
            <w:r>
              <w:rPr>
                <w:rFonts w:ascii="宋体" w:hAnsi="宋体" w:eastAsia="宋体"/>
                <w:sz w:val="24"/>
              </w:rPr>
              <w:t>（2024年度）</w:t>
            </w:r>
          </w:p>
        </w:tc>
      </w:tr>
      <w:tr w14:paraId="4F8C2D9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17AC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DA4910">
            <w:pPr>
              <w:jc w:val="center"/>
            </w:pPr>
            <w:r>
              <w:rPr>
                <w:rFonts w:ascii="宋体" w:hAnsi="宋体" w:eastAsia="宋体"/>
                <w:sz w:val="16"/>
              </w:rPr>
              <w:t>霍城县初级中学</w:t>
            </w:r>
          </w:p>
        </w:tc>
      </w:tr>
      <w:tr w14:paraId="6B0CB71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46F20">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BC30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EBAE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563F9">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62192">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2454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ABFB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5E6D3">
            <w:pPr>
              <w:jc w:val="center"/>
            </w:pPr>
            <w:r>
              <w:rPr>
                <w:rFonts w:ascii="宋体" w:hAnsi="宋体" w:eastAsia="宋体"/>
                <w:sz w:val="16"/>
              </w:rPr>
              <w:t>得分</w:t>
            </w:r>
          </w:p>
        </w:tc>
      </w:tr>
      <w:tr w14:paraId="772291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E2FE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B3C2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945EB">
            <w:pPr>
              <w:jc w:val="center"/>
            </w:pPr>
            <w:r>
              <w:rPr>
                <w:rFonts w:ascii="宋体" w:hAnsi="宋体" w:eastAsia="宋体"/>
                <w:sz w:val="16"/>
              </w:rPr>
              <w:t>5,162.71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9CFD9">
            <w:pPr>
              <w:jc w:val="center"/>
            </w:pPr>
            <w:r>
              <w:rPr>
                <w:rFonts w:ascii="宋体" w:hAnsi="宋体" w:eastAsia="宋体"/>
                <w:sz w:val="16"/>
              </w:rPr>
              <w:t>5,044.51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0650E">
            <w:pPr>
              <w:jc w:val="center"/>
            </w:pPr>
            <w:r>
              <w:rPr>
                <w:rFonts w:ascii="宋体" w:hAnsi="宋体" w:eastAsia="宋体"/>
                <w:sz w:val="16"/>
              </w:rPr>
              <w:t>5,044.51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E80B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D0B2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27416">
            <w:pPr>
              <w:jc w:val="center"/>
            </w:pPr>
            <w:r>
              <w:rPr>
                <w:rFonts w:ascii="宋体" w:hAnsi="宋体" w:eastAsia="宋体"/>
                <w:sz w:val="16"/>
              </w:rPr>
              <w:t>10</w:t>
            </w:r>
          </w:p>
        </w:tc>
      </w:tr>
      <w:tr w14:paraId="235ADF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4279C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E579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E8C3C">
            <w:pPr>
              <w:jc w:val="center"/>
            </w:pPr>
            <w:r>
              <w:rPr>
                <w:rFonts w:ascii="宋体" w:hAnsi="宋体" w:eastAsia="宋体"/>
                <w:sz w:val="16"/>
              </w:rPr>
              <w:t>643.10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42684">
            <w:pPr>
              <w:jc w:val="center"/>
            </w:pPr>
            <w:r>
              <w:rPr>
                <w:rFonts w:ascii="宋体" w:hAnsi="宋体" w:eastAsia="宋体"/>
                <w:sz w:val="16"/>
              </w:rPr>
              <w:t>615.63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06A68">
            <w:pPr>
              <w:jc w:val="center"/>
            </w:pPr>
            <w:r>
              <w:rPr>
                <w:rFonts w:ascii="宋体" w:hAnsi="宋体" w:eastAsia="宋体"/>
                <w:sz w:val="16"/>
              </w:rPr>
              <w:t>615.63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B739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D581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B9F77">
            <w:pPr>
              <w:jc w:val="center"/>
            </w:pPr>
            <w:r>
              <w:rPr>
                <w:rFonts w:ascii="宋体" w:hAnsi="宋体" w:eastAsia="宋体"/>
                <w:sz w:val="16"/>
              </w:rPr>
              <w:t>-</w:t>
            </w:r>
          </w:p>
        </w:tc>
      </w:tr>
      <w:tr w14:paraId="2E4490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FB2B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F81AB">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9653BC">
            <w:pPr>
              <w:jc w:val="center"/>
            </w:pPr>
            <w:r>
              <w:rPr>
                <w:rFonts w:ascii="宋体" w:hAnsi="宋体" w:eastAsia="宋体"/>
                <w:sz w:val="16"/>
              </w:rPr>
              <w:t>4,519.61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60449">
            <w:pPr>
              <w:jc w:val="center"/>
            </w:pPr>
            <w:r>
              <w:rPr>
                <w:rFonts w:ascii="宋体" w:hAnsi="宋体" w:eastAsia="宋体"/>
                <w:sz w:val="16"/>
              </w:rPr>
              <w:t>4,428.88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3F896">
            <w:pPr>
              <w:jc w:val="center"/>
            </w:pPr>
            <w:r>
              <w:rPr>
                <w:rFonts w:ascii="宋体" w:hAnsi="宋体" w:eastAsia="宋体"/>
                <w:sz w:val="16"/>
              </w:rPr>
              <w:t>4,428.88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B591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114B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8357C">
            <w:pPr>
              <w:jc w:val="center"/>
            </w:pPr>
            <w:r>
              <w:rPr>
                <w:rFonts w:ascii="宋体" w:hAnsi="宋体" w:eastAsia="宋体"/>
                <w:sz w:val="16"/>
              </w:rPr>
              <w:t>-</w:t>
            </w:r>
          </w:p>
        </w:tc>
      </w:tr>
      <w:tr w14:paraId="71EF52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0BB32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489F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DA82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9737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76E4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7220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634B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84772">
            <w:pPr>
              <w:jc w:val="center"/>
            </w:pPr>
            <w:r>
              <w:rPr>
                <w:rFonts w:ascii="宋体" w:hAnsi="宋体" w:eastAsia="宋体"/>
                <w:sz w:val="16"/>
              </w:rPr>
              <w:t>-</w:t>
            </w:r>
          </w:p>
        </w:tc>
      </w:tr>
      <w:tr w14:paraId="4F3F346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03A9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559B7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3C147C">
            <w:pPr>
              <w:jc w:val="center"/>
            </w:pPr>
            <w:r>
              <w:rPr>
                <w:rFonts w:ascii="宋体" w:hAnsi="宋体" w:eastAsia="宋体"/>
                <w:sz w:val="16"/>
              </w:rPr>
              <w:t>实际完成情况</w:t>
            </w:r>
          </w:p>
        </w:tc>
      </w:tr>
      <w:tr w14:paraId="0223E1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143A4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0212CD">
            <w:pPr>
              <w:jc w:val="both"/>
            </w:pPr>
            <w:r>
              <w:rPr>
                <w:rFonts w:ascii="宋体" w:hAnsi="宋体" w:eastAsia="宋体"/>
                <w:sz w:val="16"/>
              </w:rPr>
              <w:t>贯彻落实习近平新时代中国特色社会主义思想，坚持教学中心工作不动摇。1、完善学校管理机制，狠抓教学常规管理，强化教研教改，全力加强教师队伍建设。2、 加快青年教师培养步伐，倾力打造有效课堂，培育学生良好的习惯。3、切实保障学校安全，构建平安、和谐学校。4、加强德育队伍建设，做好班主任队伍培训，提升班主任素质。  5、积极打造名师队伍，发挥骨干引领作用。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1BB9E4">
            <w:pPr>
              <w:jc w:val="both"/>
            </w:pPr>
            <w:r>
              <w:rPr>
                <w:rFonts w:ascii="宋体" w:hAnsi="宋体" w:eastAsia="宋体"/>
                <w:sz w:val="16"/>
              </w:rPr>
              <w:t>全面加强教育经费投入使用管理工作，优化结构、优先保障、深化改革、强化管理，最终提高教育经费使用效益。落实城乡义务教育生均公用经费基准定额，由中央与地方按规定比例予以分担，为义务教育阶段学校正常运转，完成教育教学活动和其他日常工作提供保障。到2024年底，进一步改善寄宿生营养状况，提高寄宿生健康水平，减轻家庭经济困难学生的经济负担。 确保学校公用经费补助资金能够有效保障学校正常运转；保证教师培训费占比支出。</w:t>
            </w:r>
          </w:p>
        </w:tc>
      </w:tr>
      <w:tr w14:paraId="6C63DA6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1277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C55C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4FE6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6373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7124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D183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77177">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91DFA">
            <w:pPr>
              <w:jc w:val="center"/>
            </w:pPr>
            <w:r>
              <w:rPr>
                <w:rFonts w:ascii="宋体" w:hAnsi="宋体" w:eastAsia="宋体"/>
                <w:sz w:val="16"/>
              </w:rPr>
              <w:t>得分</w:t>
            </w:r>
          </w:p>
        </w:tc>
      </w:tr>
      <w:tr w14:paraId="6E16AF0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325E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6414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2B618">
            <w:pPr>
              <w:jc w:val="center"/>
            </w:pPr>
            <w:r>
              <w:rPr>
                <w:rFonts w:ascii="宋体" w:hAnsi="宋体" w:eastAsia="宋体"/>
                <w:sz w:val="16"/>
              </w:rPr>
              <w:t>九年义务教育巩固率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52E9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3690C">
            <w:pPr>
              <w:jc w:val="center"/>
            </w:pP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B239A">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9259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A4F7D0">
            <w:pPr>
              <w:jc w:val="center"/>
            </w:pPr>
            <w:r>
              <w:rPr>
                <w:rFonts w:ascii="宋体" w:hAnsi="宋体" w:eastAsia="宋体"/>
                <w:sz w:val="16"/>
              </w:rPr>
              <w:t>20</w:t>
            </w:r>
          </w:p>
        </w:tc>
      </w:tr>
      <w:tr w14:paraId="1A1838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4ABE0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407CC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956E81">
            <w:pPr>
              <w:jc w:val="center"/>
            </w:pPr>
            <w:r>
              <w:rPr>
                <w:rFonts w:ascii="宋体" w:hAnsi="宋体" w:eastAsia="宋体"/>
                <w:sz w:val="16"/>
              </w:rPr>
              <w:t>九年级学生毕业率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27BA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DBBE7">
            <w:pPr>
              <w:jc w:val="center"/>
            </w:pPr>
            <w:r>
              <w:rPr>
                <w:rFonts w:ascii="宋体" w:hAnsi="宋体" w:eastAsia="宋体"/>
                <w:sz w:val="16"/>
              </w:rPr>
              <w:t>霍城县初级中学学校工作计划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728102">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5316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DEE3E">
            <w:pPr>
              <w:jc w:val="center"/>
            </w:pPr>
            <w:r>
              <w:rPr>
                <w:rFonts w:ascii="宋体" w:hAnsi="宋体" w:eastAsia="宋体"/>
                <w:sz w:val="16"/>
              </w:rPr>
              <w:t>30</w:t>
            </w:r>
          </w:p>
        </w:tc>
      </w:tr>
      <w:tr w14:paraId="1555CE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6F4CC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E828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F7261">
            <w:pPr>
              <w:jc w:val="center"/>
            </w:pPr>
            <w:r>
              <w:rPr>
                <w:rFonts w:ascii="宋体" w:hAnsi="宋体" w:eastAsia="宋体"/>
                <w:sz w:val="16"/>
              </w:rPr>
              <w:t>青年教师队伍专业技能培养覆盖率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72FA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6523E">
            <w:pPr>
              <w:jc w:val="center"/>
            </w:pPr>
            <w:r>
              <w:rPr>
                <w:rFonts w:ascii="宋体" w:hAnsi="宋体" w:eastAsia="宋体"/>
                <w:sz w:val="16"/>
              </w:rPr>
              <w:t>霍城县初级中学学校工作计划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1671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B0D3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09430">
            <w:pPr>
              <w:jc w:val="center"/>
            </w:pPr>
            <w:r>
              <w:rPr>
                <w:rFonts w:ascii="宋体" w:hAnsi="宋体" w:eastAsia="宋体"/>
                <w:sz w:val="16"/>
              </w:rPr>
              <w:t>20</w:t>
            </w:r>
          </w:p>
        </w:tc>
      </w:tr>
      <w:tr w14:paraId="635D8B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A6B8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CB77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0FD38">
            <w:pPr>
              <w:jc w:val="center"/>
            </w:pPr>
            <w:r>
              <w:rPr>
                <w:rFonts w:ascii="宋体" w:hAnsi="宋体" w:eastAsia="宋体"/>
                <w:sz w:val="16"/>
              </w:rPr>
              <w:t>残疾儿童少年入学率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2D2D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E3E9D">
            <w:pPr>
              <w:jc w:val="center"/>
            </w:pP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36430">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5844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73B55">
            <w:pPr>
              <w:jc w:val="center"/>
            </w:pPr>
            <w:r>
              <w:rPr>
                <w:rFonts w:ascii="宋体" w:hAnsi="宋体" w:eastAsia="宋体"/>
                <w:sz w:val="16"/>
              </w:rPr>
              <w:t>20</w:t>
            </w:r>
          </w:p>
        </w:tc>
      </w:tr>
    </w:tbl>
    <w:p w14:paraId="6D973E3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481"/>
        <w:gridCol w:w="783"/>
      </w:tblGrid>
      <w:tr w14:paraId="5FF09118">
        <w:tblPrEx>
          <w:tblCellMar>
            <w:top w:w="0" w:type="dxa"/>
            <w:left w:w="108" w:type="dxa"/>
            <w:bottom w:w="0" w:type="dxa"/>
            <w:right w:w="108" w:type="dxa"/>
          </w:tblCellMar>
        </w:tblPrEx>
        <w:tc>
          <w:tcPr>
            <w:tcW w:w="8848" w:type="dxa"/>
            <w:gridSpan w:val="14"/>
            <w:vAlign w:val="center"/>
          </w:tcPr>
          <w:p w14:paraId="66CE5B1F">
            <w:pPr>
              <w:jc w:val="center"/>
            </w:pPr>
            <w:r>
              <w:rPr>
                <w:rFonts w:ascii="宋体" w:hAnsi="宋体" w:eastAsia="宋体"/>
                <w:sz w:val="24"/>
              </w:rPr>
              <w:t>项目支出绩效自评表</w:t>
            </w:r>
          </w:p>
        </w:tc>
      </w:tr>
      <w:tr w14:paraId="25743FC5">
        <w:tblPrEx>
          <w:tblCellMar>
            <w:top w:w="0" w:type="dxa"/>
            <w:left w:w="108" w:type="dxa"/>
            <w:bottom w:w="0" w:type="dxa"/>
            <w:right w:w="108" w:type="dxa"/>
          </w:tblCellMar>
        </w:tblPrEx>
        <w:tc>
          <w:tcPr>
            <w:tcW w:w="8848" w:type="dxa"/>
            <w:gridSpan w:val="14"/>
            <w:vAlign w:val="center"/>
          </w:tcPr>
          <w:p w14:paraId="0F6A6588">
            <w:pPr>
              <w:jc w:val="center"/>
            </w:pPr>
            <w:r>
              <w:rPr>
                <w:rFonts w:ascii="宋体" w:hAnsi="宋体" w:eastAsia="宋体"/>
                <w:sz w:val="24"/>
              </w:rPr>
              <w:t>(2024年度)</w:t>
            </w:r>
          </w:p>
        </w:tc>
      </w:tr>
      <w:tr w14:paraId="277236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0F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75A8CF">
            <w:pPr>
              <w:jc w:val="center"/>
            </w:pPr>
            <w:r>
              <w:rPr>
                <w:rFonts w:ascii="宋体" w:hAnsi="宋体" w:eastAsia="宋体"/>
                <w:sz w:val="16"/>
              </w:rPr>
              <w:t>天山英才培养计划</w:t>
            </w:r>
          </w:p>
        </w:tc>
      </w:tr>
      <w:tr w14:paraId="46128E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A9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38BC2C">
            <w:pPr>
              <w:jc w:val="center"/>
            </w:pPr>
            <w:r>
              <w:rPr>
                <w:rFonts w:ascii="宋体" w:hAnsi="宋体" w:eastAsia="宋体"/>
                <w:sz w:val="16"/>
              </w:rPr>
              <w:t>霍城县初级中学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FF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8DA955">
            <w:pPr>
              <w:jc w:val="center"/>
            </w:pPr>
            <w:r>
              <w:rPr>
                <w:rFonts w:ascii="宋体" w:hAnsi="宋体" w:eastAsia="宋体"/>
                <w:sz w:val="16"/>
              </w:rPr>
              <w:t>霍城县初级中学</w:t>
            </w:r>
          </w:p>
        </w:tc>
      </w:tr>
      <w:tr w14:paraId="589CED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CF50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22D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32F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734F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8D8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C8D95">
            <w:pPr>
              <w:jc w:val="center"/>
            </w:pPr>
            <w:r>
              <w:rPr>
                <w:rFonts w:ascii="宋体" w:hAnsi="宋体" w:eastAsia="宋体"/>
                <w:sz w:val="16"/>
              </w:rPr>
              <w:t>分值</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EA4D8">
            <w:pPr>
              <w:jc w:val="center"/>
            </w:pPr>
            <w:r>
              <w:rPr>
                <w:rFonts w:ascii="宋体" w:hAnsi="宋体" w:eastAsia="宋体"/>
                <w:sz w:val="16"/>
              </w:rPr>
              <w:t>执行率</w:t>
            </w:r>
          </w:p>
        </w:tc>
        <w:tc>
          <w:tcPr>
            <w:tcW w:w="783" w:type="dxa"/>
            <w:tcBorders>
              <w:top w:val="single" w:color="auto" w:sz="10" w:space="0"/>
              <w:left w:val="single" w:color="auto" w:sz="10" w:space="0"/>
              <w:bottom w:val="single" w:color="auto" w:sz="10" w:space="0"/>
              <w:right w:val="single" w:color="auto" w:sz="10" w:space="0"/>
              <w:insideV w:val="single" w:sz="10" w:space="0"/>
            </w:tcBorders>
            <w:vAlign w:val="center"/>
          </w:tcPr>
          <w:p w14:paraId="25519E63">
            <w:pPr>
              <w:jc w:val="center"/>
            </w:pPr>
            <w:r>
              <w:rPr>
                <w:rFonts w:ascii="宋体" w:hAnsi="宋体" w:eastAsia="宋体"/>
                <w:sz w:val="16"/>
              </w:rPr>
              <w:t>得分</w:t>
            </w:r>
          </w:p>
        </w:tc>
      </w:tr>
      <w:tr w14:paraId="053DFA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D4F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BF5D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3C91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8EEC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FBF7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45529">
            <w:pPr>
              <w:jc w:val="center"/>
            </w:pPr>
            <w:r>
              <w:rPr>
                <w:rFonts w:ascii="宋体" w:hAnsi="宋体" w:eastAsia="宋体"/>
                <w:sz w:val="16"/>
              </w:rPr>
              <w:t>10</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9942F">
            <w:pPr>
              <w:jc w:val="center"/>
            </w:pPr>
            <w:r>
              <w:rPr>
                <w:rFonts w:ascii="宋体" w:hAnsi="宋体" w:eastAsia="宋体"/>
                <w:sz w:val="16"/>
              </w:rPr>
              <w:t>100.00%</w:t>
            </w:r>
          </w:p>
        </w:tc>
        <w:tc>
          <w:tcPr>
            <w:tcW w:w="783" w:type="dxa"/>
            <w:tcBorders>
              <w:top w:val="single" w:color="auto" w:sz="10" w:space="0"/>
              <w:left w:val="single" w:color="auto" w:sz="10" w:space="0"/>
              <w:bottom w:val="single" w:color="auto" w:sz="10" w:space="0"/>
              <w:right w:val="single" w:color="auto" w:sz="10" w:space="0"/>
              <w:insideV w:val="single" w:sz="10" w:space="0"/>
            </w:tcBorders>
            <w:vAlign w:val="center"/>
          </w:tcPr>
          <w:p w14:paraId="3BA73EF6">
            <w:pPr>
              <w:jc w:val="center"/>
            </w:pPr>
            <w:r>
              <w:rPr>
                <w:rFonts w:ascii="宋体" w:hAnsi="宋体" w:eastAsia="宋体"/>
                <w:sz w:val="16"/>
              </w:rPr>
              <w:t>10.00</w:t>
            </w:r>
          </w:p>
        </w:tc>
      </w:tr>
      <w:tr w14:paraId="19AE03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16D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049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282E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5104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720C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ABBA2">
            <w:pPr>
              <w:jc w:val="center"/>
            </w:pPr>
            <w:r>
              <w:rPr>
                <w:rFonts w:ascii="宋体" w:hAnsi="宋体" w:eastAsia="宋体"/>
                <w:sz w:val="16"/>
              </w:rPr>
              <w:t>—</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CAF23">
            <w:pPr>
              <w:jc w:val="center"/>
            </w:pPr>
            <w:r>
              <w:rPr>
                <w:rFonts w:ascii="宋体" w:hAnsi="宋体" w:eastAsia="宋体"/>
                <w:sz w:val="16"/>
              </w:rPr>
              <w:t>—</w:t>
            </w:r>
          </w:p>
        </w:tc>
        <w:tc>
          <w:tcPr>
            <w:tcW w:w="783" w:type="dxa"/>
            <w:tcBorders>
              <w:top w:val="single" w:color="auto" w:sz="10" w:space="0"/>
              <w:left w:val="single" w:color="auto" w:sz="10" w:space="0"/>
              <w:bottom w:val="single" w:color="auto" w:sz="10" w:space="0"/>
              <w:right w:val="single" w:color="auto" w:sz="10" w:space="0"/>
              <w:insideV w:val="single" w:sz="10" w:space="0"/>
            </w:tcBorders>
            <w:vAlign w:val="center"/>
          </w:tcPr>
          <w:p w14:paraId="57CAAE21">
            <w:pPr>
              <w:jc w:val="center"/>
            </w:pPr>
            <w:r>
              <w:rPr>
                <w:rFonts w:ascii="宋体" w:hAnsi="宋体" w:eastAsia="宋体"/>
                <w:sz w:val="16"/>
              </w:rPr>
              <w:t>—</w:t>
            </w:r>
          </w:p>
        </w:tc>
      </w:tr>
      <w:tr w14:paraId="47180A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85F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5FA3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6FD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AAB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CFA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6D3DD">
            <w:pPr>
              <w:jc w:val="center"/>
            </w:pPr>
            <w:r>
              <w:rPr>
                <w:rFonts w:ascii="宋体" w:hAnsi="宋体" w:eastAsia="宋体"/>
                <w:sz w:val="16"/>
              </w:rPr>
              <w:t>—</w:t>
            </w:r>
          </w:p>
        </w:tc>
        <w:tc>
          <w:tcPr>
            <w:tcW w:w="11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1DEA7">
            <w:pPr>
              <w:jc w:val="center"/>
            </w:pPr>
            <w:r>
              <w:rPr>
                <w:rFonts w:ascii="宋体" w:hAnsi="宋体" w:eastAsia="宋体"/>
                <w:sz w:val="16"/>
              </w:rPr>
              <w:t>—</w:t>
            </w:r>
          </w:p>
        </w:tc>
        <w:tc>
          <w:tcPr>
            <w:tcW w:w="783" w:type="dxa"/>
            <w:tcBorders>
              <w:top w:val="single" w:color="auto" w:sz="10" w:space="0"/>
              <w:left w:val="single" w:color="auto" w:sz="10" w:space="0"/>
              <w:bottom w:val="single" w:color="auto" w:sz="10" w:space="0"/>
              <w:right w:val="single" w:color="auto" w:sz="10" w:space="0"/>
              <w:insideV w:val="single" w:sz="10" w:space="0"/>
            </w:tcBorders>
            <w:vAlign w:val="center"/>
          </w:tcPr>
          <w:p w14:paraId="0645E02A">
            <w:pPr>
              <w:jc w:val="center"/>
            </w:pPr>
            <w:r>
              <w:rPr>
                <w:rFonts w:ascii="宋体" w:hAnsi="宋体" w:eastAsia="宋体"/>
                <w:sz w:val="16"/>
              </w:rPr>
              <w:t>—</w:t>
            </w:r>
          </w:p>
        </w:tc>
      </w:tr>
      <w:tr w14:paraId="6E6418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1756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B9151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54CD8C">
            <w:pPr>
              <w:jc w:val="center"/>
            </w:pPr>
            <w:r>
              <w:rPr>
                <w:rFonts w:ascii="宋体" w:hAnsi="宋体" w:eastAsia="宋体"/>
                <w:sz w:val="16"/>
              </w:rPr>
              <w:t>实际完成情况</w:t>
            </w:r>
          </w:p>
        </w:tc>
      </w:tr>
      <w:tr w14:paraId="5D62D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D27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524F7A">
            <w:pPr>
              <w:jc w:val="both"/>
            </w:pPr>
            <w:r>
              <w:rPr>
                <w:rFonts w:ascii="宋体" w:hAnsi="宋体" w:eastAsia="宋体"/>
                <w:sz w:val="16"/>
              </w:rPr>
              <w:t>通过文件精神要求培养一批教育教学名师。按照上级文件精神，按需使用专项资金，保证此项目按计划实施。根据伊州财行</w:t>
            </w:r>
            <w:r>
              <w:rPr>
                <w:rFonts w:hint="eastAsia" w:ascii="宋体" w:hAnsi="宋体"/>
                <w:sz w:val="16"/>
                <w:lang w:eastAsia="zh-CN"/>
              </w:rPr>
              <w:t>〔2024〕3号</w:t>
            </w:r>
            <w:r>
              <w:rPr>
                <w:rFonts w:ascii="宋体" w:hAnsi="宋体" w:eastAsia="宋体"/>
                <w:sz w:val="16"/>
              </w:rPr>
              <w:t>文件精神，拨付新疆人才发展基金2024年度第一轮支持资金为了改善受援学校办学教育管理水平，进一步提高乡村教师队伍素质，切实推进霍城县基础教育事业发展。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1EA13E">
            <w:pPr>
              <w:jc w:val="both"/>
            </w:pPr>
            <w:r>
              <w:rPr>
                <w:rFonts w:ascii="宋体" w:hAnsi="宋体" w:eastAsia="宋体"/>
                <w:sz w:val="16"/>
              </w:rPr>
              <w:t>完成专家讲座2次，培养了一批教育教学名师，充分发挥“天山英才”教育教学名师引领示范作用，让教师团队综合素质得到有效提高，按需使用专项资金开展业务活动，促进教学改革，让教育事业得到发展。</w:t>
            </w:r>
          </w:p>
        </w:tc>
      </w:tr>
      <w:tr w14:paraId="1BD9AC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97F2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86E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3DA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FF7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6B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D852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AC26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B2D2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19D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01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3CC7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0773">
            <w:pPr>
              <w:jc w:val="center"/>
            </w:pPr>
            <w:r>
              <w:rPr>
                <w:rFonts w:ascii="宋体" w:hAnsi="宋体" w:eastAsia="宋体"/>
                <w:sz w:val="16"/>
              </w:rPr>
              <w:t>赋分规则</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592EA45D">
            <w:pPr>
              <w:jc w:val="center"/>
            </w:pPr>
            <w:r>
              <w:rPr>
                <w:rFonts w:ascii="宋体" w:hAnsi="宋体" w:eastAsia="宋体"/>
                <w:sz w:val="16"/>
              </w:rPr>
              <w:t>佐证资料</w:t>
            </w:r>
          </w:p>
        </w:tc>
        <w:tc>
          <w:tcPr>
            <w:tcW w:w="783" w:type="dxa"/>
            <w:tcBorders>
              <w:top w:val="single" w:color="auto" w:sz="10" w:space="0"/>
              <w:left w:val="single" w:color="auto" w:sz="10" w:space="0"/>
              <w:bottom w:val="single" w:color="auto" w:sz="10" w:space="0"/>
              <w:right w:val="single" w:color="auto" w:sz="10" w:space="0"/>
              <w:insideV w:val="single" w:sz="10" w:space="0"/>
            </w:tcBorders>
            <w:vAlign w:val="center"/>
          </w:tcPr>
          <w:p w14:paraId="37EF354B">
            <w:pPr>
              <w:jc w:val="center"/>
            </w:pPr>
            <w:r>
              <w:rPr>
                <w:rFonts w:ascii="宋体" w:hAnsi="宋体" w:eastAsia="宋体"/>
                <w:sz w:val="16"/>
              </w:rPr>
              <w:t>偏差原因分析及改进措施</w:t>
            </w:r>
          </w:p>
        </w:tc>
      </w:tr>
      <w:tr w14:paraId="3F5EDC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9E9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D734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167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05D3">
            <w:pPr>
              <w:jc w:val="center"/>
            </w:pPr>
            <w:r>
              <w:rPr>
                <w:rFonts w:ascii="宋体" w:hAnsi="宋体" w:eastAsia="宋体"/>
                <w:sz w:val="16"/>
              </w:rPr>
              <w:t>专家讲座开展场次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013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4FE1">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095C">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3EDA2">
            <w:pPr>
              <w:jc w:val="center"/>
            </w:pPr>
            <w:r>
              <w:rPr>
                <w:rFonts w:ascii="宋体" w:hAnsi="宋体" w:eastAsia="宋体"/>
                <w:sz w:val="16"/>
              </w:rPr>
              <w:t>600%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62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29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0C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7466">
            <w:pPr>
              <w:jc w:val="center"/>
            </w:pPr>
            <w:r>
              <w:rPr>
                <w:rFonts w:ascii="宋体" w:hAnsi="宋体" w:eastAsia="宋体"/>
                <w:sz w:val="16"/>
              </w:rPr>
              <w:t>按照完成比例赋分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3BDAEC90">
            <w:pPr>
              <w:jc w:val="center"/>
            </w:pPr>
            <w:r>
              <w:rPr>
                <w:rFonts w:ascii="宋体" w:hAnsi="宋体" w:eastAsia="宋体"/>
                <w:sz w:val="16"/>
              </w:rPr>
              <w:t>工作资料</w:t>
            </w:r>
          </w:p>
        </w:tc>
        <w:tc>
          <w:tcPr>
            <w:tcW w:w="783" w:type="dxa"/>
            <w:tcBorders>
              <w:top w:val="single" w:color="auto" w:sz="10" w:space="0"/>
              <w:left w:val="single" w:color="auto" w:sz="10" w:space="0"/>
              <w:bottom w:val="single" w:color="auto" w:sz="10" w:space="0"/>
              <w:right w:val="single" w:color="auto" w:sz="10" w:space="0"/>
              <w:insideV w:val="single" w:sz="10" w:space="0"/>
            </w:tcBorders>
            <w:vAlign w:val="center"/>
          </w:tcPr>
          <w:p w14:paraId="28ADAEB9">
            <w:pPr>
              <w:jc w:val="center"/>
            </w:pPr>
            <w:r>
              <w:rPr>
                <w:rFonts w:ascii="宋体" w:hAnsi="宋体" w:eastAsia="宋体"/>
                <w:sz w:val="16"/>
              </w:rPr>
              <w:t>偏差原因：全年开展专家讲座数量超额完成。改进措施：做好下一年度活动开展计划，做到数量准确。</w:t>
            </w:r>
          </w:p>
        </w:tc>
      </w:tr>
      <w:tr w14:paraId="11C626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D2A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C85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70A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00B0">
            <w:pPr>
              <w:jc w:val="center"/>
            </w:pPr>
            <w:r>
              <w:rPr>
                <w:rFonts w:ascii="宋体" w:hAnsi="宋体" w:eastAsia="宋体"/>
                <w:sz w:val="16"/>
              </w:rPr>
              <w:t>组建教学团队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64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6B3F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D61E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0A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27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29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3A8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A5F4">
            <w:pPr>
              <w:jc w:val="center"/>
            </w:pPr>
            <w:r>
              <w:rPr>
                <w:rFonts w:ascii="宋体" w:hAnsi="宋体" w:eastAsia="宋体"/>
                <w:sz w:val="16"/>
              </w:rPr>
              <w:t>按照完成比例赋分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2881FAAD">
            <w:pPr>
              <w:jc w:val="center"/>
            </w:pPr>
            <w:r>
              <w:rPr>
                <w:rFonts w:ascii="宋体" w:hAnsi="宋体" w:eastAsia="宋体"/>
                <w:sz w:val="16"/>
              </w:rPr>
              <w:t>工作资料</w:t>
            </w:r>
          </w:p>
        </w:tc>
        <w:tc>
          <w:tcPr>
            <w:tcW w:w="783" w:type="dxa"/>
            <w:tcBorders>
              <w:top w:val="single" w:color="auto" w:sz="10" w:space="0"/>
              <w:left w:val="single" w:color="auto" w:sz="10" w:space="0"/>
              <w:bottom w:val="single" w:color="auto" w:sz="10" w:space="0"/>
              <w:right w:val="single" w:color="auto" w:sz="10" w:space="0"/>
              <w:insideV w:val="single" w:sz="10" w:space="0"/>
            </w:tcBorders>
            <w:vAlign w:val="center"/>
          </w:tcPr>
          <w:p w14:paraId="6355924D">
            <w:pPr>
              <w:jc w:val="center"/>
            </w:pPr>
          </w:p>
        </w:tc>
      </w:tr>
      <w:tr w14:paraId="4EB0E9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33A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203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06FF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1ED9">
            <w:pPr>
              <w:jc w:val="center"/>
            </w:pPr>
            <w:r>
              <w:rPr>
                <w:rFonts w:ascii="宋体" w:hAnsi="宋体" w:eastAsia="宋体"/>
                <w:sz w:val="16"/>
              </w:rPr>
              <w:t>专家讲座开展完成率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B3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CB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554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F2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DC8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C60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478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39B1">
            <w:pPr>
              <w:jc w:val="center"/>
            </w:pPr>
            <w:r>
              <w:rPr>
                <w:rFonts w:ascii="宋体" w:hAnsi="宋体" w:eastAsia="宋体"/>
                <w:sz w:val="16"/>
              </w:rPr>
              <w:t>按照完成比例赋分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7F21BF0A">
            <w:pPr>
              <w:jc w:val="center"/>
            </w:pPr>
            <w:r>
              <w:rPr>
                <w:rFonts w:ascii="宋体" w:hAnsi="宋体" w:eastAsia="宋体"/>
                <w:sz w:val="16"/>
              </w:rPr>
              <w:t>工作资料</w:t>
            </w:r>
          </w:p>
        </w:tc>
        <w:tc>
          <w:tcPr>
            <w:tcW w:w="783" w:type="dxa"/>
            <w:tcBorders>
              <w:top w:val="single" w:color="auto" w:sz="10" w:space="0"/>
              <w:left w:val="single" w:color="auto" w:sz="10" w:space="0"/>
              <w:bottom w:val="single" w:color="auto" w:sz="10" w:space="0"/>
              <w:right w:val="single" w:color="auto" w:sz="10" w:space="0"/>
              <w:insideV w:val="single" w:sz="10" w:space="0"/>
            </w:tcBorders>
            <w:vAlign w:val="center"/>
          </w:tcPr>
          <w:p w14:paraId="4A63602A">
            <w:pPr>
              <w:jc w:val="center"/>
            </w:pPr>
          </w:p>
        </w:tc>
      </w:tr>
      <w:tr w14:paraId="5C8903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26E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769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BA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F7D8">
            <w:pPr>
              <w:jc w:val="center"/>
            </w:pPr>
            <w:r>
              <w:rPr>
                <w:rFonts w:ascii="宋体" w:hAnsi="宋体" w:eastAsia="宋体"/>
                <w:sz w:val="16"/>
              </w:rPr>
              <w:t>组建教学团队完成率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0E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C53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9D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1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CA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DF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B1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F0CC6">
            <w:pPr>
              <w:jc w:val="center"/>
            </w:pPr>
            <w:r>
              <w:rPr>
                <w:rFonts w:ascii="宋体" w:hAnsi="宋体" w:eastAsia="宋体"/>
                <w:sz w:val="16"/>
              </w:rPr>
              <w:t>按照完成比例赋分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4BC266C8">
            <w:pPr>
              <w:jc w:val="center"/>
            </w:pPr>
            <w:r>
              <w:rPr>
                <w:rFonts w:ascii="宋体" w:hAnsi="宋体" w:eastAsia="宋体"/>
                <w:sz w:val="16"/>
              </w:rPr>
              <w:t>工作资料</w:t>
            </w:r>
          </w:p>
        </w:tc>
        <w:tc>
          <w:tcPr>
            <w:tcW w:w="783" w:type="dxa"/>
            <w:tcBorders>
              <w:top w:val="single" w:color="auto" w:sz="10" w:space="0"/>
              <w:left w:val="single" w:color="auto" w:sz="10" w:space="0"/>
              <w:bottom w:val="single" w:color="auto" w:sz="10" w:space="0"/>
              <w:right w:val="single" w:color="auto" w:sz="10" w:space="0"/>
              <w:insideV w:val="single" w:sz="10" w:space="0"/>
            </w:tcBorders>
            <w:vAlign w:val="center"/>
          </w:tcPr>
          <w:p w14:paraId="094AAF7D">
            <w:pPr>
              <w:jc w:val="center"/>
            </w:pPr>
          </w:p>
        </w:tc>
      </w:tr>
      <w:tr w14:paraId="31317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971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1B7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E4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0DA4">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5BA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10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FAB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C6C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FAC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FA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1B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93E7">
            <w:pPr>
              <w:jc w:val="center"/>
            </w:pPr>
            <w:r>
              <w:rPr>
                <w:rFonts w:ascii="宋体" w:hAnsi="宋体" w:eastAsia="宋体"/>
                <w:sz w:val="16"/>
              </w:rPr>
              <w:t>按照完成比例赋分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1BC5DD87">
            <w:pPr>
              <w:jc w:val="center"/>
            </w:pPr>
            <w:r>
              <w:rPr>
                <w:rFonts w:ascii="宋体" w:hAnsi="宋体" w:eastAsia="宋体"/>
                <w:sz w:val="16"/>
              </w:rPr>
              <w:t>原始凭证</w:t>
            </w:r>
          </w:p>
        </w:tc>
        <w:tc>
          <w:tcPr>
            <w:tcW w:w="783" w:type="dxa"/>
            <w:tcBorders>
              <w:top w:val="single" w:color="auto" w:sz="10" w:space="0"/>
              <w:left w:val="single" w:color="auto" w:sz="10" w:space="0"/>
              <w:bottom w:val="single" w:color="auto" w:sz="10" w:space="0"/>
              <w:right w:val="single" w:color="auto" w:sz="10" w:space="0"/>
              <w:insideV w:val="single" w:sz="10" w:space="0"/>
            </w:tcBorders>
            <w:vAlign w:val="center"/>
          </w:tcPr>
          <w:p w14:paraId="790AA777">
            <w:pPr>
              <w:jc w:val="center"/>
            </w:pPr>
          </w:p>
        </w:tc>
      </w:tr>
      <w:tr w14:paraId="000223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975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E421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4F5D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6B03E">
            <w:pPr>
              <w:jc w:val="center"/>
            </w:pPr>
            <w:r>
              <w:rPr>
                <w:rFonts w:ascii="宋体" w:hAnsi="宋体" w:eastAsia="宋体"/>
                <w:sz w:val="16"/>
              </w:rPr>
              <w:t>个人生活补助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E68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4F50">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C1C1">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E7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1B0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E3A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DFD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40CA">
            <w:pPr>
              <w:jc w:val="center"/>
            </w:pPr>
            <w:r>
              <w:rPr>
                <w:rFonts w:ascii="宋体" w:hAnsi="宋体" w:eastAsia="宋体"/>
                <w:sz w:val="16"/>
              </w:rPr>
              <w:t>按照完成比例赋分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264FC13B">
            <w:pPr>
              <w:jc w:val="center"/>
            </w:pPr>
            <w:r>
              <w:rPr>
                <w:rFonts w:ascii="宋体" w:hAnsi="宋体" w:eastAsia="宋体"/>
                <w:sz w:val="16"/>
              </w:rPr>
              <w:t>原始凭证</w:t>
            </w:r>
          </w:p>
        </w:tc>
        <w:tc>
          <w:tcPr>
            <w:tcW w:w="783" w:type="dxa"/>
            <w:tcBorders>
              <w:top w:val="single" w:color="auto" w:sz="10" w:space="0"/>
              <w:left w:val="single" w:color="auto" w:sz="10" w:space="0"/>
              <w:bottom w:val="single" w:color="auto" w:sz="10" w:space="0"/>
              <w:right w:val="single" w:color="auto" w:sz="10" w:space="0"/>
              <w:insideV w:val="single" w:sz="10" w:space="0"/>
            </w:tcBorders>
            <w:vAlign w:val="center"/>
          </w:tcPr>
          <w:p w14:paraId="44365459">
            <w:pPr>
              <w:jc w:val="center"/>
            </w:pPr>
          </w:p>
        </w:tc>
      </w:tr>
      <w:tr w14:paraId="773773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54E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4B2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445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67CD2">
            <w:pPr>
              <w:jc w:val="center"/>
            </w:pPr>
            <w:r>
              <w:rPr>
                <w:rFonts w:ascii="宋体" w:hAnsi="宋体" w:eastAsia="宋体"/>
                <w:sz w:val="16"/>
              </w:rPr>
              <w:t>业务开展使用经费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8C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F823">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FA08">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CC6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A9A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494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05A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AB22F">
            <w:pPr>
              <w:jc w:val="center"/>
            </w:pPr>
            <w:r>
              <w:rPr>
                <w:rFonts w:ascii="宋体" w:hAnsi="宋体" w:eastAsia="宋体"/>
                <w:sz w:val="16"/>
              </w:rPr>
              <w:t>按照完成比例赋分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222C7F98">
            <w:pPr>
              <w:jc w:val="center"/>
            </w:pPr>
            <w:r>
              <w:rPr>
                <w:rFonts w:ascii="宋体" w:hAnsi="宋体" w:eastAsia="宋体"/>
                <w:sz w:val="16"/>
              </w:rPr>
              <w:t>原始凭证</w:t>
            </w:r>
          </w:p>
        </w:tc>
        <w:tc>
          <w:tcPr>
            <w:tcW w:w="783" w:type="dxa"/>
            <w:tcBorders>
              <w:top w:val="single" w:color="auto" w:sz="10" w:space="0"/>
              <w:left w:val="single" w:color="auto" w:sz="10" w:space="0"/>
              <w:bottom w:val="single" w:color="auto" w:sz="10" w:space="0"/>
              <w:right w:val="single" w:color="auto" w:sz="10" w:space="0"/>
              <w:insideV w:val="single" w:sz="10" w:space="0"/>
            </w:tcBorders>
            <w:vAlign w:val="center"/>
          </w:tcPr>
          <w:p w14:paraId="2D6758A9">
            <w:pPr>
              <w:jc w:val="center"/>
            </w:pPr>
          </w:p>
        </w:tc>
      </w:tr>
      <w:tr w14:paraId="26511D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C49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D57E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376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DCAF">
            <w:pPr>
              <w:jc w:val="center"/>
            </w:pPr>
            <w:r>
              <w:rPr>
                <w:rFonts w:ascii="宋体" w:hAnsi="宋体" w:eastAsia="宋体"/>
                <w:sz w:val="16"/>
              </w:rPr>
              <w:t>组织教学改革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9D4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308D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85A98">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33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3A1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B2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29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4F0E6">
            <w:pPr>
              <w:jc w:val="center"/>
            </w:pPr>
            <w:r>
              <w:rPr>
                <w:rFonts w:ascii="宋体" w:hAnsi="宋体" w:eastAsia="宋体"/>
                <w:sz w:val="16"/>
              </w:rPr>
              <w:t>按照完成比例赋分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3443BEA1">
            <w:pPr>
              <w:jc w:val="center"/>
            </w:pPr>
            <w:r>
              <w:rPr>
                <w:rFonts w:ascii="宋体" w:hAnsi="宋体" w:eastAsia="宋体"/>
                <w:sz w:val="16"/>
              </w:rPr>
              <w:t>工作资料</w:t>
            </w:r>
          </w:p>
        </w:tc>
        <w:tc>
          <w:tcPr>
            <w:tcW w:w="783" w:type="dxa"/>
            <w:tcBorders>
              <w:top w:val="single" w:color="auto" w:sz="10" w:space="0"/>
              <w:left w:val="single" w:color="auto" w:sz="10" w:space="0"/>
              <w:bottom w:val="single" w:color="auto" w:sz="10" w:space="0"/>
              <w:right w:val="single" w:color="auto" w:sz="10" w:space="0"/>
              <w:insideV w:val="single" w:sz="10" w:space="0"/>
            </w:tcBorders>
            <w:vAlign w:val="center"/>
          </w:tcPr>
          <w:p w14:paraId="5F7FBAAF">
            <w:pPr>
              <w:jc w:val="center"/>
            </w:pPr>
          </w:p>
        </w:tc>
      </w:tr>
      <w:tr w14:paraId="5C8C35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410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CDE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A49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EFAB">
            <w:pPr>
              <w:jc w:val="center"/>
            </w:pPr>
            <w:r>
              <w:rPr>
                <w:rFonts w:ascii="宋体" w:hAnsi="宋体" w:eastAsia="宋体"/>
                <w:sz w:val="16"/>
              </w:rPr>
              <w:t>教师团队综合素质有效提高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A3AE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DBB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1F9D8">
            <w:pPr>
              <w:jc w:val="center"/>
            </w:pPr>
            <w:r>
              <w:rPr>
                <w:rFonts w:ascii="宋体" w:hAnsi="宋体" w:eastAsia="宋体"/>
                <w:sz w:val="16"/>
              </w:rPr>
              <w:t>显著提升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54F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139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32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14D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CC5D0">
            <w:pPr>
              <w:jc w:val="center"/>
            </w:pPr>
            <w:r>
              <w:rPr>
                <w:rFonts w:ascii="宋体" w:hAnsi="宋体" w:eastAsia="宋体"/>
                <w:sz w:val="16"/>
              </w:rPr>
              <w:t>按照完成比例赋分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6DEE37A9">
            <w:pPr>
              <w:jc w:val="center"/>
            </w:pPr>
            <w:r>
              <w:rPr>
                <w:rFonts w:ascii="宋体" w:hAnsi="宋体" w:eastAsia="宋体"/>
                <w:sz w:val="16"/>
              </w:rPr>
              <w:t>工作资料</w:t>
            </w:r>
          </w:p>
        </w:tc>
        <w:tc>
          <w:tcPr>
            <w:tcW w:w="783" w:type="dxa"/>
            <w:tcBorders>
              <w:top w:val="single" w:color="auto" w:sz="10" w:space="0"/>
              <w:left w:val="single" w:color="auto" w:sz="10" w:space="0"/>
              <w:bottom w:val="single" w:color="auto" w:sz="10" w:space="0"/>
              <w:right w:val="single" w:color="auto" w:sz="10" w:space="0"/>
              <w:insideV w:val="single" w:sz="10" w:space="0"/>
            </w:tcBorders>
            <w:vAlign w:val="center"/>
          </w:tcPr>
          <w:p w14:paraId="301D6EFB">
            <w:pPr>
              <w:jc w:val="center"/>
            </w:pPr>
          </w:p>
        </w:tc>
      </w:tr>
      <w:tr w14:paraId="5BFD33D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55BE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E9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C879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E5F9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528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4BF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D6B5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49A4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F0CF3A"/>
        </w:tc>
        <w:tc>
          <w:tcPr>
            <w:tcW w:w="481" w:type="dxa"/>
            <w:tcBorders>
              <w:top w:val="single" w:color="auto" w:sz="10" w:space="0"/>
              <w:left w:val="single" w:color="auto" w:sz="10" w:space="0"/>
              <w:bottom w:val="single" w:color="auto" w:sz="10" w:space="0"/>
              <w:right w:val="single" w:color="auto" w:sz="10" w:space="0"/>
              <w:insideV w:val="single" w:sz="10" w:space="0"/>
            </w:tcBorders>
          </w:tcPr>
          <w:p w14:paraId="7A6FB9A6"/>
        </w:tc>
        <w:tc>
          <w:tcPr>
            <w:tcW w:w="783" w:type="dxa"/>
            <w:tcBorders>
              <w:top w:val="single" w:color="auto" w:sz="10" w:space="0"/>
              <w:left w:val="single" w:color="auto" w:sz="10" w:space="0"/>
              <w:bottom w:val="single" w:color="auto" w:sz="10" w:space="0"/>
              <w:right w:val="single" w:color="auto" w:sz="10" w:space="0"/>
              <w:insideV w:val="single" w:sz="10" w:space="0"/>
            </w:tcBorders>
          </w:tcPr>
          <w:p w14:paraId="1A59DA78"/>
        </w:tc>
      </w:tr>
    </w:tbl>
    <w:p w14:paraId="1513D585">
      <w:r>
        <w:br w:type="page"/>
      </w:r>
    </w:p>
    <w:p w14:paraId="0991FF06">
      <w:pPr>
        <w:spacing w:line="640" w:lineRule="exact"/>
        <w:ind w:firstLine="640"/>
        <w:jc w:val="both"/>
        <w:outlineLvl w:val="2"/>
      </w:pPr>
      <w:r>
        <w:rPr>
          <w:rFonts w:ascii="黑体" w:hAnsi="黑体" w:eastAsia="黑体"/>
          <w:sz w:val="32"/>
        </w:rPr>
        <w:t>十二、其他需说明的事项</w:t>
      </w:r>
    </w:p>
    <w:p w14:paraId="3FBAD010">
      <w:pPr>
        <w:spacing w:line="580" w:lineRule="exact"/>
        <w:ind w:firstLine="640"/>
        <w:jc w:val="both"/>
      </w:pPr>
      <w:r>
        <w:rPr>
          <w:rFonts w:ascii="仿宋_GB2312" w:hAnsi="仿宋_GB2312" w:eastAsia="仿宋_GB2312"/>
          <w:b w:val="0"/>
          <w:sz w:val="32"/>
        </w:rPr>
        <w:t>本单位无其他需说明的事项。</w:t>
      </w:r>
    </w:p>
    <w:p w14:paraId="08876A39">
      <w:r>
        <w:br w:type="page"/>
      </w:r>
    </w:p>
    <w:p w14:paraId="2ABAB1A5">
      <w:pPr>
        <w:spacing w:line="240" w:lineRule="auto"/>
        <w:jc w:val="center"/>
        <w:outlineLvl w:val="1"/>
      </w:pPr>
      <w:r>
        <w:rPr>
          <w:rFonts w:ascii="黑体" w:hAnsi="黑体" w:eastAsia="黑体"/>
          <w:sz w:val="32"/>
        </w:rPr>
        <w:t>第三部分 专业名词解释</w:t>
      </w:r>
    </w:p>
    <w:p w14:paraId="6812162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71A7F1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133626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4CAD91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A7E356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3E4BE2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AAF6ED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78E1EE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6DA85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B9690A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0DD2C7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1E9A37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6FDD5E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0713A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815CB55">
      <w:r>
        <w:br w:type="page"/>
      </w:r>
    </w:p>
    <w:p w14:paraId="1CD9FC06">
      <w:pPr>
        <w:spacing w:line="240" w:lineRule="auto"/>
        <w:jc w:val="center"/>
        <w:outlineLvl w:val="1"/>
      </w:pPr>
      <w:r>
        <w:rPr>
          <w:rFonts w:ascii="黑体" w:hAnsi="黑体" w:eastAsia="黑体"/>
          <w:sz w:val="32"/>
        </w:rPr>
        <w:t>第四部分 部门决算报表（见附表）</w:t>
      </w:r>
    </w:p>
    <w:p w14:paraId="5F9B3B1E">
      <w:pPr>
        <w:spacing w:line="240" w:lineRule="auto"/>
        <w:ind w:firstLine="640"/>
        <w:jc w:val="both"/>
      </w:pPr>
      <w:r>
        <w:rPr>
          <w:rFonts w:ascii="仿宋_GB2312" w:hAnsi="仿宋_GB2312" w:eastAsia="仿宋_GB2312"/>
          <w:b w:val="0"/>
          <w:sz w:val="32"/>
        </w:rPr>
        <w:t>一、《收入支出决算总表》</w:t>
      </w:r>
    </w:p>
    <w:p w14:paraId="151B85FB">
      <w:pPr>
        <w:spacing w:line="240" w:lineRule="auto"/>
        <w:ind w:firstLine="640"/>
        <w:jc w:val="both"/>
      </w:pPr>
      <w:r>
        <w:rPr>
          <w:rFonts w:ascii="仿宋_GB2312" w:hAnsi="仿宋_GB2312" w:eastAsia="仿宋_GB2312"/>
          <w:b w:val="0"/>
          <w:sz w:val="32"/>
        </w:rPr>
        <w:t>二、《收入决算表》</w:t>
      </w:r>
    </w:p>
    <w:p w14:paraId="4FA9A856">
      <w:pPr>
        <w:spacing w:line="240" w:lineRule="auto"/>
        <w:ind w:firstLine="640"/>
        <w:jc w:val="both"/>
      </w:pPr>
      <w:r>
        <w:rPr>
          <w:rFonts w:ascii="仿宋_GB2312" w:hAnsi="仿宋_GB2312" w:eastAsia="仿宋_GB2312"/>
          <w:b w:val="0"/>
          <w:sz w:val="32"/>
        </w:rPr>
        <w:t>三、《支出决算表》</w:t>
      </w:r>
    </w:p>
    <w:p w14:paraId="580C1627">
      <w:pPr>
        <w:spacing w:line="240" w:lineRule="auto"/>
        <w:ind w:firstLine="640"/>
        <w:jc w:val="both"/>
      </w:pPr>
      <w:r>
        <w:rPr>
          <w:rFonts w:ascii="仿宋_GB2312" w:hAnsi="仿宋_GB2312" w:eastAsia="仿宋_GB2312"/>
          <w:b w:val="0"/>
          <w:sz w:val="32"/>
        </w:rPr>
        <w:t>四、《财政拨款收入支出决算总表》</w:t>
      </w:r>
    </w:p>
    <w:p w14:paraId="4E3DC80F">
      <w:pPr>
        <w:spacing w:line="240" w:lineRule="auto"/>
        <w:ind w:firstLine="640"/>
        <w:jc w:val="both"/>
      </w:pPr>
      <w:r>
        <w:rPr>
          <w:rFonts w:ascii="仿宋_GB2312" w:hAnsi="仿宋_GB2312" w:eastAsia="仿宋_GB2312"/>
          <w:b w:val="0"/>
          <w:sz w:val="32"/>
        </w:rPr>
        <w:t>五、《一般公共预算财政拨款支出决算表》</w:t>
      </w:r>
    </w:p>
    <w:p w14:paraId="02D57B06">
      <w:pPr>
        <w:spacing w:line="240" w:lineRule="auto"/>
        <w:ind w:firstLine="640"/>
        <w:jc w:val="both"/>
      </w:pPr>
      <w:r>
        <w:rPr>
          <w:rFonts w:ascii="仿宋_GB2312" w:hAnsi="仿宋_GB2312" w:eastAsia="仿宋_GB2312"/>
          <w:b w:val="0"/>
          <w:sz w:val="32"/>
        </w:rPr>
        <w:t>六、《一般公共预算财政拨款基本支出决算表》</w:t>
      </w:r>
    </w:p>
    <w:p w14:paraId="6CBCE14D">
      <w:pPr>
        <w:spacing w:line="240" w:lineRule="auto"/>
        <w:ind w:firstLine="640"/>
        <w:jc w:val="both"/>
      </w:pPr>
      <w:r>
        <w:rPr>
          <w:rFonts w:ascii="仿宋_GB2312" w:hAnsi="仿宋_GB2312" w:eastAsia="仿宋_GB2312"/>
          <w:b w:val="0"/>
          <w:sz w:val="32"/>
        </w:rPr>
        <w:t>七、《政府性基金预算财政拨款收入支出决算表》</w:t>
      </w:r>
    </w:p>
    <w:p w14:paraId="75F675E0">
      <w:pPr>
        <w:spacing w:line="240" w:lineRule="auto"/>
        <w:ind w:firstLine="640"/>
        <w:jc w:val="both"/>
      </w:pPr>
      <w:r>
        <w:rPr>
          <w:rFonts w:ascii="仿宋_GB2312" w:hAnsi="仿宋_GB2312" w:eastAsia="仿宋_GB2312"/>
          <w:b w:val="0"/>
          <w:sz w:val="32"/>
        </w:rPr>
        <w:t>八、《国有资本经营预算财政拨款收入支出决算表》</w:t>
      </w:r>
    </w:p>
    <w:p w14:paraId="0EA03DD7">
      <w:pPr>
        <w:spacing w:line="240" w:lineRule="auto"/>
        <w:ind w:firstLine="640"/>
        <w:jc w:val="both"/>
      </w:pPr>
      <w:r>
        <w:rPr>
          <w:rFonts w:ascii="仿宋_GB2312" w:hAnsi="仿宋_GB2312" w:eastAsia="仿宋_GB2312"/>
          <w:b w:val="0"/>
          <w:sz w:val="32"/>
        </w:rPr>
        <w:t>九、《财政拨款“三公”经费支出决算表》</w:t>
      </w:r>
    </w:p>
    <w:p w14:paraId="4EB56C5C">
      <w:pPr>
        <w:spacing w:line="240" w:lineRule="auto"/>
        <w:ind w:firstLine="640"/>
        <w:jc w:val="both"/>
      </w:pPr>
    </w:p>
    <w:p w14:paraId="7DDAD01F">
      <w:pPr>
        <w:spacing w:line="240" w:lineRule="auto"/>
        <w:ind w:firstLine="640"/>
        <w:jc w:val="both"/>
      </w:pPr>
    </w:p>
    <w:p w14:paraId="46B8313C">
      <w:pPr>
        <w:spacing w:line="240" w:lineRule="auto"/>
        <w:ind w:firstLine="640"/>
        <w:jc w:val="both"/>
      </w:pPr>
    </w:p>
    <w:p w14:paraId="2C5F9274">
      <w:pPr>
        <w:spacing w:line="240" w:lineRule="auto"/>
        <w:ind w:firstLine="640"/>
        <w:jc w:val="both"/>
      </w:pPr>
    </w:p>
    <w:p w14:paraId="7EC145F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8F4850"/>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4720</Words>
  <Characters>5484</Characters>
  <Lines>0</Lines>
  <Paragraphs>0</Paragraphs>
  <TotalTime>2</TotalTime>
  <ScaleCrop>false</ScaleCrop>
  <LinksUpToDate>false</LinksUpToDate>
  <CharactersWithSpaces>5497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2025-09-25T02:25:19Z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