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霍城县兰干镇中心学校2024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555507">
      <w:r>
        <w:br w:type="page"/>
      </w:r>
    </w:p>
    <w:p w14:paraId="573A6612">
      <w:pPr>
        <w:spacing w:line="640" w:lineRule="exact"/>
        <w:jc w:val="center"/>
        <w:outlineLvl w:val="1"/>
      </w:pPr>
      <w:r>
        <w:rPr>
          <w:rFonts w:ascii="黑体" w:hAnsi="黑体" w:eastAsia="黑体"/>
          <w:sz w:val="32"/>
        </w:rPr>
        <w:t>第一部分 单位概况</w:t>
      </w:r>
    </w:p>
    <w:p w14:paraId="37557F0A">
      <w:pPr>
        <w:spacing w:line="640" w:lineRule="exact"/>
        <w:ind w:firstLine="640"/>
        <w:jc w:val="both"/>
        <w:outlineLvl w:val="2"/>
      </w:pPr>
      <w:r>
        <w:rPr>
          <w:rFonts w:ascii="黑体" w:hAnsi="黑体" w:eastAsia="黑体"/>
          <w:sz w:val="32"/>
        </w:rPr>
        <w:t>一、主要职能</w:t>
      </w:r>
    </w:p>
    <w:p w14:paraId="120FDB11">
      <w:pPr>
        <w:spacing w:line="580" w:lineRule="exact"/>
        <w:ind w:firstLine="640"/>
        <w:jc w:val="both"/>
      </w:pPr>
      <w:r>
        <w:rPr>
          <w:rFonts w:ascii="仿宋_GB2312" w:hAnsi="仿宋_GB2312" w:eastAsia="仿宋_GB2312"/>
          <w:sz w:val="32"/>
        </w:rPr>
        <w:t>实施小学教育，促进基础教育发展。宣传贯彻执行党和国家的教育方针、政策、法律法规等，坚持依法治教、依法治学，贯彻执行县教育局的行政规章制度。负责对本校教育教学业务的具体管理，负责教育教学管理及教研教改工作，全力推进素质教育实施。指导、管理、检查、评价本校的教育教学工作，提高办学质量和办学效益。按照义务教育课程计划，开齐课程，开足课时，认真实施小学的教育教学管理，全面推进素质教育，全面提高教育教学质量。</w:t>
      </w:r>
    </w:p>
    <w:p w14:paraId="79146E40">
      <w:pPr>
        <w:spacing w:line="640" w:lineRule="exact"/>
        <w:ind w:firstLine="640"/>
        <w:jc w:val="both"/>
        <w:outlineLvl w:val="2"/>
      </w:pPr>
      <w:r>
        <w:rPr>
          <w:rFonts w:ascii="黑体" w:hAnsi="黑体" w:eastAsia="黑体"/>
          <w:sz w:val="32"/>
        </w:rPr>
        <w:t>二、机构设置及人员情况</w:t>
      </w:r>
    </w:p>
    <w:p w14:paraId="75F9B7EF">
      <w:pPr>
        <w:spacing w:line="580" w:lineRule="exact"/>
        <w:ind w:firstLine="640"/>
        <w:jc w:val="both"/>
      </w:pPr>
      <w:r>
        <w:rPr>
          <w:rFonts w:ascii="仿宋_GB2312" w:hAnsi="仿宋_GB2312" w:eastAsia="仿宋_GB2312"/>
          <w:sz w:val="32"/>
        </w:rPr>
        <w:t>霍城县兰干镇中心学校2024年度，实有人数749人，其中：在职人员498人，减少19人；离休人员0人，增加0人；退休人员251人,增加6人。</w:t>
      </w:r>
    </w:p>
    <w:p w14:paraId="080125D1">
      <w:pPr>
        <w:spacing w:line="580" w:lineRule="exact"/>
        <w:ind w:firstLine="640"/>
        <w:jc w:val="both"/>
      </w:pPr>
      <w:r>
        <w:rPr>
          <w:rFonts w:ascii="仿宋_GB2312" w:hAnsi="仿宋_GB2312" w:eastAsia="仿宋_GB2312"/>
          <w:sz w:val="32"/>
        </w:rPr>
        <w:t>霍城县兰干镇中心学校无下属预算单位，下设7个科室，分别是：总务处、办公室、教研室、教务处、政教处、财务室、平安办。</w:t>
      </w:r>
    </w:p>
    <w:p w14:paraId="0C267061">
      <w:r>
        <w:br w:type="page"/>
      </w:r>
    </w:p>
    <w:p w14:paraId="04DEFCD0">
      <w:pPr>
        <w:spacing w:line="240" w:lineRule="auto"/>
        <w:jc w:val="center"/>
        <w:outlineLvl w:val="1"/>
      </w:pPr>
      <w:r>
        <w:rPr>
          <w:rFonts w:ascii="黑体" w:hAnsi="黑体" w:eastAsia="黑体"/>
          <w:sz w:val="32"/>
        </w:rPr>
        <w:t>第二部分 部门决算情况说明</w:t>
      </w:r>
    </w:p>
    <w:p w14:paraId="34F48E9E">
      <w:pPr>
        <w:spacing w:line="640" w:lineRule="exact"/>
        <w:ind w:firstLine="640"/>
        <w:jc w:val="both"/>
        <w:outlineLvl w:val="2"/>
      </w:pPr>
      <w:r>
        <w:rPr>
          <w:rFonts w:ascii="黑体" w:hAnsi="黑体" w:eastAsia="黑体"/>
          <w:sz w:val="32"/>
        </w:rPr>
        <w:t>一、收入支出决算总体情况说明</w:t>
      </w:r>
    </w:p>
    <w:p w14:paraId="2F99642F">
      <w:pPr>
        <w:spacing w:line="580" w:lineRule="exact"/>
        <w:ind w:firstLine="640"/>
        <w:jc w:val="both"/>
      </w:pPr>
      <w:r>
        <w:rPr>
          <w:rFonts w:ascii="仿宋_GB2312" w:hAnsi="仿宋_GB2312" w:eastAsia="仿宋_GB2312"/>
          <w:b/>
          <w:sz w:val="32"/>
        </w:rPr>
        <w:t>2024年度收入总计9,283.07万元，</w:t>
      </w:r>
      <w:r>
        <w:rPr>
          <w:rFonts w:ascii="仿宋_GB2312" w:hAnsi="仿宋_GB2312" w:eastAsia="仿宋_GB2312"/>
          <w:b w:val="0"/>
          <w:sz w:val="32"/>
        </w:rPr>
        <w:t>其中：本年收入合计9,283.07万元，使用非财政拨款结余（含专用结余）0.00万元，年初结转和结余0.00万元。</w:t>
      </w:r>
    </w:p>
    <w:p w14:paraId="69B1BC4E">
      <w:pPr>
        <w:spacing w:line="580" w:lineRule="exact"/>
        <w:ind w:firstLine="640"/>
        <w:jc w:val="both"/>
      </w:pPr>
      <w:r>
        <w:rPr>
          <w:rFonts w:ascii="仿宋_GB2312" w:hAnsi="仿宋_GB2312" w:eastAsia="仿宋_GB2312"/>
          <w:b/>
          <w:sz w:val="32"/>
        </w:rPr>
        <w:t>2024年度支出总计9,283.07万元，</w:t>
      </w:r>
      <w:r>
        <w:rPr>
          <w:rFonts w:ascii="仿宋_GB2312" w:hAnsi="仿宋_GB2312" w:eastAsia="仿宋_GB2312"/>
          <w:b w:val="0"/>
          <w:sz w:val="32"/>
        </w:rPr>
        <w:t>其中：本年支出合计9,283.07万元，结余分配0.00万元，年末结转和结余0.00万元。</w:t>
      </w:r>
    </w:p>
    <w:p w14:paraId="3159D39C">
      <w:pPr>
        <w:spacing w:line="580" w:lineRule="exact"/>
        <w:ind w:firstLine="640"/>
        <w:jc w:val="both"/>
      </w:pPr>
      <w:r>
        <w:rPr>
          <w:rFonts w:ascii="仿宋_GB2312" w:hAnsi="仿宋_GB2312" w:eastAsia="仿宋_GB2312"/>
          <w:b w:val="0"/>
          <w:sz w:val="32"/>
        </w:rPr>
        <w:t>收入支出总体与上年相比，减少515.82万元，下降5.26%，主要原因是：1.本年在职人员减少，相关人员经费较上年减少。2.本年减少园舍维修、校舍维修等项目。3.入学学生人数减少，导致公用经费减少。</w:t>
      </w:r>
    </w:p>
    <w:p w14:paraId="7DAC29DC">
      <w:pPr>
        <w:spacing w:line="640" w:lineRule="exact"/>
        <w:ind w:firstLine="640"/>
        <w:jc w:val="both"/>
        <w:outlineLvl w:val="2"/>
      </w:pPr>
      <w:r>
        <w:rPr>
          <w:rFonts w:ascii="黑体" w:hAnsi="黑体" w:eastAsia="黑体"/>
          <w:sz w:val="32"/>
        </w:rPr>
        <w:t>二、收入决算情况说明</w:t>
      </w:r>
    </w:p>
    <w:p w14:paraId="56D2E20F">
      <w:pPr>
        <w:spacing w:line="580" w:lineRule="exact"/>
        <w:ind w:firstLine="640"/>
        <w:jc w:val="both"/>
      </w:pPr>
      <w:r>
        <w:rPr>
          <w:rFonts w:ascii="仿宋_GB2312" w:hAnsi="仿宋_GB2312" w:eastAsia="仿宋_GB2312"/>
          <w:b/>
          <w:sz w:val="32"/>
        </w:rPr>
        <w:t>本年收入9,283.07万元，</w:t>
      </w:r>
      <w:r>
        <w:rPr>
          <w:rFonts w:ascii="仿宋_GB2312" w:hAnsi="仿宋_GB2312" w:eastAsia="仿宋_GB2312"/>
          <w:b w:val="0"/>
          <w:sz w:val="32"/>
        </w:rPr>
        <w:t>其中：财政拨款收入9,283.07万元，占100.00%；上级补助收入0.00万元，占0.00%；事业收入0.00万元，占0.00%；经营收入0.00万元，占0.00%；附属单位上缴收入0.00万元，占0.00%；其他收入0.00万元，占0.00%。</w:t>
      </w:r>
    </w:p>
    <w:p w14:paraId="37813B15">
      <w:pPr>
        <w:spacing w:line="640" w:lineRule="exact"/>
        <w:ind w:firstLine="640"/>
        <w:jc w:val="both"/>
        <w:outlineLvl w:val="2"/>
      </w:pPr>
      <w:r>
        <w:rPr>
          <w:rFonts w:ascii="黑体" w:hAnsi="黑体" w:eastAsia="黑体"/>
          <w:sz w:val="32"/>
        </w:rPr>
        <w:t>三、支出决算情况说明</w:t>
      </w:r>
    </w:p>
    <w:p w14:paraId="4D33545D">
      <w:pPr>
        <w:spacing w:line="580" w:lineRule="exact"/>
        <w:ind w:firstLine="640"/>
        <w:jc w:val="both"/>
      </w:pPr>
      <w:r>
        <w:rPr>
          <w:rFonts w:ascii="仿宋_GB2312" w:hAnsi="仿宋_GB2312" w:eastAsia="仿宋_GB2312"/>
          <w:b/>
          <w:sz w:val="32"/>
        </w:rPr>
        <w:t>本年支出9,283.07万元，</w:t>
      </w:r>
      <w:r>
        <w:rPr>
          <w:rFonts w:ascii="仿宋_GB2312" w:hAnsi="仿宋_GB2312" w:eastAsia="仿宋_GB2312"/>
          <w:b w:val="0"/>
          <w:sz w:val="32"/>
        </w:rPr>
        <w:t>其中：基本支出9,283.07万元，占100.00%；项目支出0.00万元，占0.00%；上缴上级支出0.00万元，占0.00%；经营支出0.00万元，占0.00%；对附属单位补助支出0.00万元，占0.00%。</w:t>
      </w:r>
    </w:p>
    <w:p w14:paraId="3126AAC8">
      <w:pPr>
        <w:spacing w:line="640" w:lineRule="exact"/>
        <w:ind w:firstLine="640"/>
        <w:jc w:val="both"/>
        <w:outlineLvl w:val="2"/>
      </w:pPr>
      <w:r>
        <w:rPr>
          <w:rFonts w:ascii="黑体" w:hAnsi="黑体" w:eastAsia="黑体"/>
          <w:sz w:val="32"/>
        </w:rPr>
        <w:t>四、财政拨款收入支出决算总体情况说明</w:t>
      </w:r>
    </w:p>
    <w:p w14:paraId="61711E3D">
      <w:pPr>
        <w:spacing w:line="580" w:lineRule="exact"/>
        <w:ind w:firstLine="640"/>
        <w:jc w:val="both"/>
      </w:pPr>
      <w:r>
        <w:rPr>
          <w:rFonts w:ascii="仿宋_GB2312" w:hAnsi="仿宋_GB2312" w:eastAsia="仿宋_GB2312"/>
          <w:b/>
          <w:sz w:val="32"/>
        </w:rPr>
        <w:t>2024年度财政拨款收入总计9,283.07万元，</w:t>
      </w:r>
      <w:r>
        <w:rPr>
          <w:rFonts w:ascii="仿宋_GB2312" w:hAnsi="仿宋_GB2312" w:eastAsia="仿宋_GB2312"/>
          <w:b w:val="0"/>
          <w:sz w:val="32"/>
        </w:rPr>
        <w:t>其中：年初财政拨款结转和结余0.00万元，本年财政拨款收入9,283.07万元。</w:t>
      </w:r>
      <w:r>
        <w:rPr>
          <w:rFonts w:ascii="仿宋_GB2312" w:hAnsi="仿宋_GB2312" w:eastAsia="仿宋_GB2312"/>
          <w:b/>
          <w:sz w:val="32"/>
        </w:rPr>
        <w:t>财政拨款支出总计9,283.07万元，</w:t>
      </w:r>
      <w:r>
        <w:rPr>
          <w:rFonts w:ascii="仿宋_GB2312" w:hAnsi="仿宋_GB2312" w:eastAsia="仿宋_GB2312"/>
          <w:b w:val="0"/>
          <w:sz w:val="32"/>
        </w:rPr>
        <w:t>其中：年末财政拨款结转和结余0.00万元，本年财政拨款支出9,283.07万元。</w:t>
      </w:r>
    </w:p>
    <w:p w14:paraId="5B6918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减少510.41万元，下降5.21%，主要原因是：1.本年在职人员减少，相关人员经费较上年减少。2.本年减少园舍维修、校舍维修等项目。3.入学学生人数减少，导致公用经费收入支出减少。</w:t>
      </w:r>
      <w:r>
        <w:rPr>
          <w:rFonts w:ascii="仿宋_GB2312" w:hAnsi="仿宋_GB2312" w:eastAsia="仿宋_GB2312"/>
          <w:b/>
          <w:sz w:val="32"/>
        </w:rPr>
        <w:t>与年初预算相比，</w:t>
      </w:r>
      <w:r>
        <w:rPr>
          <w:rFonts w:ascii="仿宋_GB2312" w:hAnsi="仿宋_GB2312" w:eastAsia="仿宋_GB2312"/>
          <w:b w:val="0"/>
          <w:sz w:val="32"/>
        </w:rPr>
        <w:t>年初预算数8,737.32万元，决算数9,283.07万元，预决算差异率6.25%，主要原因是：年中追加人员工资、社保、公积金基数调增部分资金，导致预决算存在差异。</w:t>
      </w:r>
    </w:p>
    <w:p w14:paraId="16CBCB9B">
      <w:pPr>
        <w:spacing w:line="640" w:lineRule="exact"/>
        <w:ind w:firstLine="640"/>
        <w:jc w:val="both"/>
        <w:outlineLvl w:val="2"/>
      </w:pPr>
      <w:r>
        <w:rPr>
          <w:rFonts w:ascii="黑体" w:hAnsi="黑体" w:eastAsia="黑体"/>
          <w:sz w:val="32"/>
        </w:rPr>
        <w:t>五、一般公共预算财政拨款支出决算情况说明</w:t>
      </w:r>
    </w:p>
    <w:p w14:paraId="13D09F83">
      <w:pPr>
        <w:spacing w:line="640" w:lineRule="exact"/>
        <w:ind w:firstLine="640"/>
        <w:jc w:val="both"/>
        <w:outlineLvl w:val="3"/>
      </w:pPr>
      <w:r>
        <w:rPr>
          <w:rFonts w:ascii="楷体_GB2312" w:hAnsi="楷体_GB2312" w:eastAsia="楷体_GB2312"/>
          <w:b/>
          <w:sz w:val="32"/>
        </w:rPr>
        <w:t>（一）一般公共预算财政拨款支出决算总体情况</w:t>
      </w:r>
    </w:p>
    <w:p w14:paraId="533226BF">
      <w:pPr>
        <w:spacing w:line="580" w:lineRule="exact"/>
        <w:ind w:firstLine="640"/>
        <w:jc w:val="both"/>
      </w:pPr>
      <w:r>
        <w:rPr>
          <w:rFonts w:ascii="仿宋_GB2312" w:hAnsi="仿宋_GB2312" w:eastAsia="仿宋_GB2312"/>
          <w:b/>
          <w:sz w:val="32"/>
        </w:rPr>
        <w:t>2024年度一般公共预算财政拨款支出9,283.07万元，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减少510.41万元，下降5.21%，主要原因是：1.本年在职人员减少，相关人员经费较上年减少。2.本年减少园舍维修、校舍维修等项目。3.入学学生人数减少，导致公用经费收入支出减少。</w:t>
      </w:r>
      <w:r>
        <w:rPr>
          <w:rFonts w:ascii="仿宋_GB2312" w:hAnsi="仿宋_GB2312" w:eastAsia="仿宋_GB2312"/>
          <w:b/>
          <w:sz w:val="32"/>
        </w:rPr>
        <w:t>与年初预算相比,</w:t>
      </w:r>
      <w:r>
        <w:rPr>
          <w:rFonts w:ascii="仿宋_GB2312" w:hAnsi="仿宋_GB2312" w:eastAsia="仿宋_GB2312"/>
          <w:b w:val="0"/>
          <w:sz w:val="32"/>
        </w:rPr>
        <w:t>年初预算数8,737.32万元，决算数9,283.07万元，预决算差异率6.25%，主要原因是：年中追加人员工资、社保、公积金基数调增部分资金，导致预决算存在差异。</w:t>
      </w:r>
    </w:p>
    <w:p w14:paraId="282F301A">
      <w:pPr>
        <w:spacing w:line="640" w:lineRule="exact"/>
        <w:ind w:firstLine="640"/>
        <w:jc w:val="both"/>
        <w:outlineLvl w:val="3"/>
      </w:pPr>
      <w:r>
        <w:rPr>
          <w:rFonts w:ascii="楷体_GB2312" w:hAnsi="楷体_GB2312" w:eastAsia="楷体_GB2312"/>
          <w:b/>
          <w:sz w:val="32"/>
        </w:rPr>
        <w:t>（二）一般公共预算财政拨款支出决算结构情况</w:t>
      </w:r>
    </w:p>
    <w:p w14:paraId="5E869A93">
      <w:pPr>
        <w:spacing w:line="580" w:lineRule="exact"/>
        <w:ind w:firstLine="640"/>
        <w:jc w:val="both"/>
      </w:pPr>
      <w:r>
        <w:rPr>
          <w:rFonts w:ascii="仿宋_GB2312" w:hAnsi="仿宋_GB2312" w:eastAsia="仿宋_GB2312"/>
          <w:b w:val="0"/>
          <w:sz w:val="32"/>
        </w:rPr>
        <w:t>1.教育支出(类)7,768.10万元,占83.68%。</w:t>
      </w:r>
    </w:p>
    <w:p w14:paraId="70ECD3BB">
      <w:pPr>
        <w:spacing w:line="580" w:lineRule="exact"/>
        <w:ind w:firstLine="640"/>
        <w:jc w:val="both"/>
      </w:pPr>
      <w:r>
        <w:rPr>
          <w:rFonts w:ascii="仿宋_GB2312" w:hAnsi="仿宋_GB2312" w:eastAsia="仿宋_GB2312"/>
          <w:b w:val="0"/>
          <w:sz w:val="32"/>
        </w:rPr>
        <w:t>2.社会保障和就业支出(类)1,100.42万元,占11.85%。</w:t>
      </w:r>
    </w:p>
    <w:p w14:paraId="462D766F">
      <w:pPr>
        <w:spacing w:line="580" w:lineRule="exact"/>
        <w:ind w:firstLine="640"/>
        <w:jc w:val="both"/>
      </w:pPr>
      <w:r>
        <w:rPr>
          <w:rFonts w:ascii="仿宋_GB2312" w:hAnsi="仿宋_GB2312" w:eastAsia="仿宋_GB2312"/>
          <w:b w:val="0"/>
          <w:sz w:val="32"/>
        </w:rPr>
        <w:t>3.卫生健康支出(类)414.54万元,占4.47%。</w:t>
      </w:r>
    </w:p>
    <w:p w14:paraId="0DB57B0A">
      <w:pPr>
        <w:spacing w:line="640" w:lineRule="exact"/>
        <w:ind w:firstLine="640"/>
        <w:jc w:val="both"/>
        <w:outlineLvl w:val="3"/>
      </w:pPr>
      <w:r>
        <w:rPr>
          <w:rFonts w:ascii="楷体_GB2312" w:hAnsi="楷体_GB2312" w:eastAsia="楷体_GB2312"/>
          <w:b/>
          <w:sz w:val="32"/>
        </w:rPr>
        <w:t>（三）一般公共预算财政拨款支出决算具体情况</w:t>
      </w:r>
    </w:p>
    <w:p w14:paraId="2BAA51A7">
      <w:pPr>
        <w:spacing w:line="580" w:lineRule="exact"/>
        <w:ind w:firstLine="640"/>
        <w:jc w:val="both"/>
      </w:pPr>
      <w:r>
        <w:rPr>
          <w:rFonts w:ascii="仿宋_GB2312" w:hAnsi="仿宋_GB2312" w:eastAsia="仿宋_GB2312"/>
          <w:b w:val="0"/>
          <w:sz w:val="32"/>
        </w:rPr>
        <w:t>1.教育支出(类)普通教育(款)学前教育(项):支出决算数为1,555.42万元，比上年决算增加101.60万元，增长6.99%,主要原因是：本年学前教育在职人员薪资调增，相关人员经费增加，增加学生助学金，导致学前教育支出较上年增加。</w:t>
      </w:r>
    </w:p>
    <w:p w14:paraId="35691346">
      <w:pPr>
        <w:spacing w:line="580" w:lineRule="exact"/>
        <w:ind w:firstLine="640"/>
        <w:jc w:val="both"/>
      </w:pPr>
      <w:r>
        <w:rPr>
          <w:rFonts w:ascii="仿宋_GB2312" w:hAnsi="仿宋_GB2312" w:eastAsia="仿宋_GB2312"/>
          <w:b w:val="0"/>
          <w:sz w:val="32"/>
        </w:rPr>
        <w:t>2.教育支出(类)普通教育(款)小学教育(项):支出决算数为5,804.91万元，比上年决算增加228.91万元，增长4.11%,主要原因是：本年功能科目调整，班主任补贴经费上年在其他教育支出科目列支，本年调整至小学教育科目列支；住房公积金上年度单独列支，本年调整至主科目列支，导致经费较上年增加。</w:t>
      </w:r>
    </w:p>
    <w:p w14:paraId="7DBD42C6">
      <w:pPr>
        <w:spacing w:line="580" w:lineRule="exact"/>
        <w:ind w:firstLine="640"/>
        <w:jc w:val="both"/>
      </w:pPr>
      <w:r>
        <w:rPr>
          <w:rFonts w:ascii="仿宋_GB2312" w:hAnsi="仿宋_GB2312" w:eastAsia="仿宋_GB2312"/>
          <w:b w:val="0"/>
          <w:sz w:val="32"/>
        </w:rPr>
        <w:t>3.教育支出(类)普通教育(款)其他普通教育支出(项):支出决算数为395.60万元，比上年决算减少157.67万元，下降28.50%,主要原因是：本年度减少临聘人员，导致其他普通教育支出较上年减少。</w:t>
      </w:r>
    </w:p>
    <w:p w14:paraId="214AB55A">
      <w:pPr>
        <w:spacing w:line="580" w:lineRule="exact"/>
        <w:ind w:firstLine="640"/>
        <w:jc w:val="both"/>
      </w:pPr>
      <w:r>
        <w:rPr>
          <w:rFonts w:ascii="仿宋_GB2312" w:hAnsi="仿宋_GB2312" w:eastAsia="仿宋_GB2312"/>
          <w:b w:val="0"/>
          <w:sz w:val="32"/>
        </w:rPr>
        <w:t>4.教育支出(类)教育费附加安排的支出(款)农村中小学校舍建设(项):支出决算数为0.00万元，比上年决算减少38.10万元，下降100.00%,主要原因是：本年度减少兰干镇中心学各幼儿园园舍维修项目。</w:t>
      </w:r>
    </w:p>
    <w:p w14:paraId="20B65968">
      <w:pPr>
        <w:spacing w:line="580" w:lineRule="exact"/>
        <w:ind w:firstLine="640"/>
        <w:jc w:val="both"/>
      </w:pPr>
      <w:r>
        <w:rPr>
          <w:rFonts w:ascii="仿宋_GB2312" w:hAnsi="仿宋_GB2312" w:eastAsia="仿宋_GB2312"/>
          <w:b w:val="0"/>
          <w:sz w:val="32"/>
        </w:rPr>
        <w:t>5.教育支出(类)教育费附加安排的支出(款)农村中小学教学设施(项):支出决算数为12.17万元，比上年决算增加12.17万元，增长100.00%,主要原因是：本年功能科目调整，上年度运动场维修项目在主科目列支，本年度单独列支，导致经费增加。</w:t>
      </w:r>
    </w:p>
    <w:p w14:paraId="2831B47D">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6.教育支出(类)教育费附加安排的支出(款)其他教育费附加安排的支出(项):支出决算数为0.00万元，比上年决算减少17.23万元，下降100.00%,主要原因是：本年度未安排继续教育支出，导致经费较上年减少。</w:t>
      </w:r>
    </w:p>
    <w:p w14:paraId="3866148A">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7.81万元，下降100.00%,主要原因是：本年功能科目调整，班主任补贴经费上年在其他教育支出科目列支，本年调整至小学教育科目列支，导致经费较上年减少。</w:t>
      </w:r>
    </w:p>
    <w:p w14:paraId="4107A899">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175.90万元，比上年决算增加131.33万元，增长294.66%,主要原因是：本年增加退休人员基础绩效奖，退休人员增加，退休费支出增加。</w:t>
      </w:r>
    </w:p>
    <w:p w14:paraId="57628F3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827.14万元，比上年决算增加64.40万元，增长8.44%,主要原因是：本年在职人员工资基数调增，养老缴费基数上涨，相应支出增加。</w:t>
      </w:r>
    </w:p>
    <w:p w14:paraId="3493200D">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97.39万元，比上年决算增加3.63万元，增长3.87%,主要原因是：本年新增退休人员、调出人员，职业年金缴费支出增加。</w:t>
      </w:r>
    </w:p>
    <w:p w14:paraId="3BCBB5E1">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11.社会保障和就业支出(类)抚恤(款)死亡抚恤(项):支出决算数为0.00万元，比上年决算减少98.84万元，下降100.00%,主要原因是：本年无新增死亡人员，死亡抚恤支出较上年减少。</w:t>
      </w:r>
    </w:p>
    <w:p w14:paraId="299DF033">
      <w:pPr>
        <w:spacing w:line="580" w:lineRule="exact"/>
        <w:ind w:firstLine="640"/>
        <w:jc w:val="both"/>
      </w:pPr>
      <w:r>
        <w:rPr>
          <w:rFonts w:ascii="仿宋_GB2312" w:hAnsi="仿宋_GB2312" w:eastAsia="仿宋_GB2312"/>
          <w:b w:val="0"/>
          <w:sz w:val="32"/>
        </w:rPr>
        <w:t>12.卫生健康支出(类)行政事业单位医疗(款)事业单位医疗(项):支出决算数为414.54万元，比上年决算减少95.99万元，下降18.80%,主要原因是：因退休人员医疗保险制度改革，退休人员基本医疗不再由单位缴纳，导致经费较上年减少。</w:t>
      </w:r>
    </w:p>
    <w:p w14:paraId="70B83B6A">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636.80万元，下降100.00%,主要原因是：本年功能科目调整，住房公积金上年度单独列支，本年调整至主科目列支，导致经费较上年减少。</w:t>
      </w:r>
    </w:p>
    <w:p w14:paraId="1E13374C">
      <w:pPr>
        <w:spacing w:line="640" w:lineRule="exact"/>
        <w:ind w:firstLine="640"/>
        <w:jc w:val="both"/>
        <w:outlineLvl w:val="2"/>
      </w:pPr>
      <w:r>
        <w:rPr>
          <w:rFonts w:ascii="黑体" w:hAnsi="黑体" w:eastAsia="黑体"/>
          <w:sz w:val="32"/>
        </w:rPr>
        <w:t>六、一般公共预算财政拨款基本支出决算情况说明</w:t>
      </w:r>
    </w:p>
    <w:p w14:paraId="5F4BE5B8">
      <w:pPr>
        <w:spacing w:line="580" w:lineRule="exact"/>
        <w:ind w:firstLine="640"/>
        <w:jc w:val="both"/>
      </w:pPr>
      <w:r>
        <w:rPr>
          <w:rFonts w:ascii="仿宋_GB2312" w:hAnsi="仿宋_GB2312" w:eastAsia="仿宋_GB2312"/>
          <w:b w:val="0"/>
          <w:sz w:val="32"/>
        </w:rPr>
        <w:t>2024年度一般公共预算财政拨款基本支出9,283.07万元，其中：</w:t>
      </w:r>
      <w:r>
        <w:rPr>
          <w:rFonts w:ascii="仿宋_GB2312" w:hAnsi="仿宋_GB2312" w:eastAsia="仿宋_GB2312"/>
          <w:b/>
          <w:sz w:val="32"/>
        </w:rPr>
        <w:t>人员经费8,747.86万元，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14:paraId="44FAB2AD">
      <w:pPr>
        <w:spacing w:line="580" w:lineRule="exact"/>
        <w:ind w:firstLine="640"/>
        <w:jc w:val="both"/>
      </w:pPr>
      <w:r>
        <w:rPr>
          <w:rFonts w:ascii="仿宋_GB2312" w:hAnsi="仿宋_GB2312" w:eastAsia="仿宋_GB2312"/>
          <w:b/>
          <w:sz w:val="32"/>
        </w:rPr>
        <w:t>公用经费535.21万元，</w:t>
      </w:r>
      <w:r>
        <w:rPr>
          <w:rFonts w:ascii="仿宋_GB2312" w:hAnsi="仿宋_GB2312" w:eastAsia="仿宋_GB2312"/>
          <w:b w:val="0"/>
          <w:sz w:val="32"/>
        </w:rPr>
        <w:t>包括：办公费、印刷费、水费、电费、邮电费、取暖费、物业管理费、差旅费、维修（护）费、培训费、专用材料费、劳务费、工会经费。</w:t>
      </w:r>
    </w:p>
    <w:p w14:paraId="09C6ADD0">
      <w:pPr>
        <w:spacing w:line="640" w:lineRule="exact"/>
        <w:ind w:firstLine="640"/>
        <w:jc w:val="both"/>
        <w:outlineLvl w:val="2"/>
      </w:pPr>
      <w:r>
        <w:rPr>
          <w:rFonts w:ascii="黑体" w:hAnsi="黑体" w:eastAsia="黑体"/>
          <w:sz w:val="32"/>
        </w:rPr>
        <w:t>七、政府性基金预算财政拨款收入支出决算情况说明</w:t>
      </w:r>
    </w:p>
    <w:p w14:paraId="60F19C4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7316F6C">
      <w:pPr>
        <w:spacing w:line="640" w:lineRule="exact"/>
        <w:ind w:firstLine="640"/>
        <w:jc w:val="both"/>
        <w:outlineLvl w:val="2"/>
      </w:pPr>
      <w:r>
        <w:rPr>
          <w:rFonts w:ascii="黑体" w:hAnsi="黑体" w:eastAsia="黑体"/>
          <w:sz w:val="32"/>
        </w:rPr>
        <w:t>八、国有资本经营预算财政拨款收入支出决算情况说明</w:t>
      </w:r>
    </w:p>
    <w:p w14:paraId="2A7FB3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9B2B8A">
      <w:pPr>
        <w:spacing w:line="640" w:lineRule="exact"/>
        <w:ind w:firstLine="640"/>
        <w:jc w:val="both"/>
        <w:outlineLvl w:val="2"/>
      </w:pPr>
      <w:r>
        <w:rPr>
          <w:rFonts w:ascii="黑体" w:hAnsi="黑体" w:eastAsia="黑体"/>
          <w:sz w:val="32"/>
        </w:rPr>
        <w:t>九、财政拨款“三公”经费支出决算情况说明</w:t>
      </w:r>
    </w:p>
    <w:p w14:paraId="0B3E492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85FBA5E">
      <w:pPr>
        <w:spacing w:line="580" w:lineRule="exact"/>
        <w:ind w:firstLine="640"/>
        <w:jc w:val="both"/>
      </w:pPr>
      <w:r>
        <w:rPr>
          <w:rFonts w:ascii="仿宋_GB2312" w:hAnsi="仿宋_GB2312" w:eastAsia="仿宋_GB2312"/>
          <w:b/>
          <w:sz w:val="32"/>
        </w:rPr>
        <w:t>具体情况如下：</w:t>
      </w:r>
    </w:p>
    <w:p w14:paraId="799FFE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B6B20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1ED6B3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FF0EF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70E3B6E">
      <w:pPr>
        <w:spacing w:line="640" w:lineRule="exact"/>
        <w:ind w:firstLine="640"/>
        <w:jc w:val="both"/>
        <w:outlineLvl w:val="2"/>
      </w:pPr>
      <w:r>
        <w:rPr>
          <w:rFonts w:ascii="黑体" w:hAnsi="黑体" w:eastAsia="黑体"/>
          <w:sz w:val="32"/>
        </w:rPr>
        <w:t>十、其他重要事项的情况说明</w:t>
      </w:r>
    </w:p>
    <w:p w14:paraId="4B7714C2">
      <w:pPr>
        <w:spacing w:line="640" w:lineRule="exact"/>
        <w:ind w:firstLine="640"/>
        <w:jc w:val="both"/>
        <w:outlineLvl w:val="3"/>
      </w:pPr>
      <w:r>
        <w:rPr>
          <w:rFonts w:ascii="楷体_GB2312" w:hAnsi="楷体_GB2312" w:eastAsia="楷体_GB2312"/>
          <w:b/>
          <w:sz w:val="32"/>
        </w:rPr>
        <w:t>（一）机关运行经费及公用经费支出情况</w:t>
      </w:r>
    </w:p>
    <w:p w14:paraId="2B24C1C6">
      <w:pPr>
        <w:spacing w:line="580" w:lineRule="exact"/>
        <w:ind w:firstLine="640"/>
        <w:jc w:val="both"/>
      </w:pPr>
      <w:r>
        <w:rPr>
          <w:rFonts w:ascii="仿宋_GB2312" w:hAnsi="仿宋_GB2312" w:eastAsia="仿宋_GB2312"/>
          <w:b w:val="0"/>
          <w:sz w:val="32"/>
        </w:rPr>
        <w:t>2024年度霍城县兰干镇中心学校（事业单位）公用经费支出535.21万元，比上年增加105.72万元，增长24.62%，主要原因是：本年办公费增加，维修经费增加，导致公用经费较上年增加。</w:t>
      </w:r>
      <w:bookmarkStart w:id="0" w:name="_GoBack"/>
      <w:bookmarkEnd w:id="0"/>
    </w:p>
    <w:p w14:paraId="5E02E5BF">
      <w:pPr>
        <w:spacing w:line="640" w:lineRule="exact"/>
        <w:ind w:firstLine="640"/>
        <w:jc w:val="both"/>
        <w:outlineLvl w:val="3"/>
      </w:pPr>
      <w:r>
        <w:rPr>
          <w:rFonts w:ascii="楷体_GB2312" w:hAnsi="楷体_GB2312" w:eastAsia="楷体_GB2312"/>
          <w:b/>
          <w:sz w:val="32"/>
        </w:rPr>
        <w:t>（二）政府采购情况</w:t>
      </w:r>
    </w:p>
    <w:p w14:paraId="5739D89D">
      <w:pPr>
        <w:spacing w:line="580" w:lineRule="exact"/>
        <w:ind w:firstLine="640"/>
        <w:jc w:val="both"/>
      </w:pPr>
      <w:r>
        <w:rPr>
          <w:rFonts w:ascii="仿宋_GB2312" w:hAnsi="仿宋_GB2312" w:eastAsia="仿宋_GB2312"/>
          <w:b w:val="0"/>
          <w:sz w:val="32"/>
        </w:rPr>
        <w:t>2024年度政府采购支出总额2.34万元，其中：政府采购货物支出2.34万元、政府采购工程支出0.00万元、政府采购服务支出0.00万元。</w:t>
      </w:r>
    </w:p>
    <w:p w14:paraId="7139549E">
      <w:pPr>
        <w:spacing w:line="580" w:lineRule="exact"/>
        <w:ind w:firstLine="640"/>
        <w:jc w:val="both"/>
      </w:pPr>
      <w:r>
        <w:rPr>
          <w:rFonts w:ascii="仿宋_GB2312" w:hAnsi="仿宋_GB2312" w:eastAsia="仿宋_GB2312"/>
          <w:b w:val="0"/>
          <w:sz w:val="32"/>
        </w:rPr>
        <w:t>授予中小企业合同金额2.34万元，占政府采购支出总额的100.00%，其中：授予小微企业合同金额2.34万元，占政府采购支出总额的100.00%。</w:t>
      </w:r>
    </w:p>
    <w:p w14:paraId="0879391B">
      <w:pPr>
        <w:spacing w:line="640" w:lineRule="exact"/>
        <w:ind w:firstLine="640"/>
        <w:jc w:val="both"/>
        <w:outlineLvl w:val="3"/>
      </w:pPr>
      <w:r>
        <w:rPr>
          <w:rFonts w:ascii="楷体_GB2312" w:hAnsi="楷体_GB2312" w:eastAsia="楷体_GB2312"/>
          <w:b/>
          <w:sz w:val="32"/>
        </w:rPr>
        <w:t>（三）国有资产占用情况说明</w:t>
      </w:r>
    </w:p>
    <w:p w14:paraId="51F90E2C">
      <w:pPr>
        <w:spacing w:line="580" w:lineRule="exact"/>
        <w:ind w:firstLine="640"/>
        <w:jc w:val="both"/>
      </w:pPr>
      <w:r>
        <w:rPr>
          <w:rFonts w:ascii="仿宋_GB2312" w:hAnsi="仿宋_GB2312" w:eastAsia="仿宋_GB2312"/>
          <w:b w:val="0"/>
          <w:sz w:val="32"/>
        </w:rPr>
        <w:t>截至2024年12月31日，房屋65,230.90平方米，价值7,148.36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80C9CA0">
      <w:pPr>
        <w:spacing w:line="640" w:lineRule="exact"/>
        <w:ind w:firstLine="640"/>
        <w:jc w:val="both"/>
        <w:outlineLvl w:val="2"/>
      </w:pPr>
      <w:r>
        <w:rPr>
          <w:rFonts w:ascii="黑体" w:hAnsi="黑体" w:eastAsia="黑体"/>
          <w:sz w:val="32"/>
        </w:rPr>
        <w:t>十一、预算绩效的情况说明</w:t>
      </w:r>
    </w:p>
    <w:p w14:paraId="6528681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9,283.06万元，实际执行总额9,283.06万元；预算绩效评价项目0个，全年预算数0.00万元，全年执行数0.00万元。预算绩效管理取得的成效：一是资源配置优化：通过科学的预算绩效管理，学校能够更精准地将资金分配到教学、科研、师资建设等关键领域，提高了资源的利用效率。二是目标达成率提高：明确的预算绩效目标和定期的评估机制，使得学校各项工作计划的目标达成率显著提升，如教学质量的改善、科研成果的增加等。三是成本控制有效：对各项支出进行严格的监控和分析，有效控制了不必要的开支，降低了学校的运营成本。四是决策科学性增强：基于绩效数据的分析，为学校的决策提供了有力的支持，决策更加科学合理，避免了盲目投资和资源浪费。发现的问题及原因：一是绩效指标不够细化：部分绩效指标的设定较为笼统，难以准确衡量工作的实际效果。原因在于对工作内容的分解不够深入，缺乏具体的量化标准。二是数据收集与分析困难：在预算执行过程中，相关数据的收集不够及时、准确，影响了绩效评估的准确性和及时性。主要是因为数据管理系统不完善，各部门之间的数据沟通不畅。三是人员绩效意识薄弱：部分教职工对预算绩效管理的重要性认识不足，参与度不高，导致工作执行不到位。这可能是由于培训宣传不足，缺乏激励机制。四是预算调整机制不灵活：当外部环境变化或学校发展需求调整时，预算调整的流程繁琐，不够灵活，影响了工作的推进。原因在于预算管理制度的僵化，缺乏应对突发情况的弹性条款。下一步改进措施：一是完善绩效指标体系：深入调研各部门工作，制定更加细化、可衡量的绩效指标，确保能够全面、准确地反映工作成果。二是加强数据管理：建立健全数据收集、整理和分析的系统，明确各部门的数据责任，加强部门间的数据共享与交流。三是强化培训与宣传：开展预算绩效管理的培训活动，提高教职工的绩效意识，建立相应的激励机制，鼓励积极参与。四是优化预算调整流程：制定灵活的预算调整规则，明确调整的条件和程序，提高预算对学校发展变化的适应性。五是建立持续监控机制：定期对预算绩效执行情况进行跟踪监控，及时发现问题并采取纠正措施，确保预算目标的实现。具体附整体支出绩效自评表。</w:t>
      </w:r>
    </w:p>
    <w:p w14:paraId="0C4BEC2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54F3CDA">
        <w:tblPrEx>
          <w:tblCellMar>
            <w:top w:w="0" w:type="dxa"/>
            <w:left w:w="108" w:type="dxa"/>
            <w:bottom w:w="0" w:type="dxa"/>
            <w:right w:w="108" w:type="dxa"/>
          </w:tblCellMar>
        </w:tblPrEx>
        <w:tc>
          <w:tcPr>
            <w:tcW w:w="8840" w:type="dxa"/>
            <w:gridSpan w:val="8"/>
            <w:vAlign w:val="center"/>
          </w:tcPr>
          <w:p w14:paraId="63EF1E55">
            <w:pPr>
              <w:jc w:val="center"/>
            </w:pPr>
            <w:r>
              <w:rPr>
                <w:rFonts w:ascii="宋体" w:hAnsi="宋体" w:eastAsia="宋体"/>
                <w:sz w:val="24"/>
              </w:rPr>
              <w:t>单位整体支出绩效自评表</w:t>
            </w:r>
          </w:p>
        </w:tc>
      </w:tr>
      <w:tr w14:paraId="7EBEEFF4">
        <w:tblPrEx>
          <w:tblCellMar>
            <w:top w:w="0" w:type="dxa"/>
            <w:left w:w="108" w:type="dxa"/>
            <w:bottom w:w="0" w:type="dxa"/>
            <w:right w:w="108" w:type="dxa"/>
          </w:tblCellMar>
        </w:tblPrEx>
        <w:tc>
          <w:tcPr>
            <w:tcW w:w="8840" w:type="dxa"/>
            <w:gridSpan w:val="8"/>
            <w:vAlign w:val="center"/>
          </w:tcPr>
          <w:p w14:paraId="574DC2C4">
            <w:pPr>
              <w:jc w:val="center"/>
            </w:pPr>
            <w:r>
              <w:rPr>
                <w:rFonts w:ascii="宋体" w:hAnsi="宋体" w:eastAsia="宋体"/>
                <w:sz w:val="24"/>
              </w:rPr>
              <w:t>（2024年度）</w:t>
            </w:r>
          </w:p>
        </w:tc>
      </w:tr>
      <w:tr w14:paraId="2139AB1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74BA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1406B">
            <w:pPr>
              <w:jc w:val="center"/>
            </w:pPr>
            <w:r>
              <w:rPr>
                <w:rFonts w:ascii="宋体" w:hAnsi="宋体" w:eastAsia="宋体"/>
                <w:sz w:val="16"/>
              </w:rPr>
              <w:t>霍城县兰干镇中心学校</w:t>
            </w:r>
          </w:p>
        </w:tc>
      </w:tr>
      <w:tr w14:paraId="43CE79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8108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B920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F77C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E8D4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2F1F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88D0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0E6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CCDB9">
            <w:pPr>
              <w:jc w:val="center"/>
            </w:pPr>
            <w:r>
              <w:rPr>
                <w:rFonts w:ascii="宋体" w:hAnsi="宋体" w:eastAsia="宋体"/>
                <w:sz w:val="16"/>
              </w:rPr>
              <w:t>得分</w:t>
            </w:r>
          </w:p>
        </w:tc>
      </w:tr>
      <w:tr w14:paraId="148F4D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AF32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92D2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3B986">
            <w:pPr>
              <w:jc w:val="center"/>
            </w:pPr>
            <w:r>
              <w:rPr>
                <w:rFonts w:ascii="宋体" w:hAnsi="宋体" w:eastAsia="宋体"/>
                <w:sz w:val="16"/>
              </w:rPr>
              <w:t>8,737.32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868F8">
            <w:pPr>
              <w:jc w:val="center"/>
            </w:pPr>
            <w:r>
              <w:rPr>
                <w:rFonts w:ascii="宋体" w:hAnsi="宋体" w:eastAsia="宋体"/>
                <w:sz w:val="16"/>
              </w:rPr>
              <w:t>9,283.06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F756C">
            <w:pPr>
              <w:jc w:val="center"/>
            </w:pPr>
            <w:r>
              <w:rPr>
                <w:rFonts w:ascii="宋体" w:hAnsi="宋体" w:eastAsia="宋体"/>
                <w:sz w:val="16"/>
              </w:rPr>
              <w:t>9,283.06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AA1E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44F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D3480">
            <w:pPr>
              <w:jc w:val="center"/>
            </w:pPr>
            <w:r>
              <w:rPr>
                <w:rFonts w:ascii="宋体" w:hAnsi="宋体" w:eastAsia="宋体"/>
                <w:sz w:val="16"/>
              </w:rPr>
              <w:t>10</w:t>
            </w:r>
          </w:p>
        </w:tc>
      </w:tr>
      <w:tr w14:paraId="5EC022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F8E0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04C2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C4D84">
            <w:pPr>
              <w:jc w:val="center"/>
            </w:pPr>
            <w:r>
              <w:rPr>
                <w:rFonts w:ascii="宋体" w:hAnsi="宋体" w:eastAsia="宋体"/>
                <w:sz w:val="16"/>
              </w:rPr>
              <w:t>404.45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C369">
            <w:pPr>
              <w:jc w:val="center"/>
            </w:pPr>
            <w:r>
              <w:rPr>
                <w:rFonts w:ascii="宋体" w:hAnsi="宋体" w:eastAsia="宋体"/>
                <w:sz w:val="16"/>
              </w:rPr>
              <w:t>418.64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FB6BD">
            <w:pPr>
              <w:jc w:val="center"/>
            </w:pPr>
            <w:r>
              <w:rPr>
                <w:rFonts w:ascii="宋体" w:hAnsi="宋体" w:eastAsia="宋体"/>
                <w:sz w:val="16"/>
              </w:rPr>
              <w:t>418.64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0E6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320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0C2DD">
            <w:pPr>
              <w:jc w:val="center"/>
            </w:pPr>
            <w:r>
              <w:rPr>
                <w:rFonts w:ascii="宋体" w:hAnsi="宋体" w:eastAsia="宋体"/>
                <w:sz w:val="16"/>
              </w:rPr>
              <w:t>-</w:t>
            </w:r>
          </w:p>
        </w:tc>
      </w:tr>
      <w:tr w14:paraId="6D1968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CDB8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8A69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1F46B">
            <w:pPr>
              <w:jc w:val="center"/>
            </w:pPr>
            <w:r>
              <w:rPr>
                <w:rFonts w:ascii="宋体" w:hAnsi="宋体" w:eastAsia="宋体"/>
                <w:sz w:val="16"/>
              </w:rPr>
              <w:t>8,332.87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6D684">
            <w:pPr>
              <w:jc w:val="center"/>
            </w:pPr>
            <w:r>
              <w:rPr>
                <w:rFonts w:ascii="宋体" w:hAnsi="宋体" w:eastAsia="宋体"/>
                <w:sz w:val="16"/>
              </w:rPr>
              <w:t>8,864.42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5ADAF">
            <w:pPr>
              <w:jc w:val="center"/>
            </w:pPr>
            <w:r>
              <w:rPr>
                <w:rFonts w:ascii="宋体" w:hAnsi="宋体" w:eastAsia="宋体"/>
                <w:sz w:val="16"/>
              </w:rPr>
              <w:t>8,864.42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098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54E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5A1A7">
            <w:pPr>
              <w:jc w:val="center"/>
            </w:pPr>
            <w:r>
              <w:rPr>
                <w:rFonts w:ascii="宋体" w:hAnsi="宋体" w:eastAsia="宋体"/>
                <w:sz w:val="16"/>
              </w:rPr>
              <w:t>-</w:t>
            </w:r>
          </w:p>
        </w:tc>
      </w:tr>
      <w:tr w14:paraId="1FDBB9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D170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5370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FA5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8A2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864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B4C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6E3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0730D">
            <w:pPr>
              <w:jc w:val="center"/>
            </w:pPr>
            <w:r>
              <w:rPr>
                <w:rFonts w:ascii="宋体" w:hAnsi="宋体" w:eastAsia="宋体"/>
                <w:sz w:val="16"/>
              </w:rPr>
              <w:t>-</w:t>
            </w:r>
          </w:p>
        </w:tc>
      </w:tr>
      <w:tr w14:paraId="3C6541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B463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34E42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587844">
            <w:pPr>
              <w:jc w:val="center"/>
            </w:pPr>
            <w:r>
              <w:rPr>
                <w:rFonts w:ascii="宋体" w:hAnsi="宋体" w:eastAsia="宋体"/>
                <w:sz w:val="16"/>
              </w:rPr>
              <w:t>实际完成情况</w:t>
            </w:r>
          </w:p>
        </w:tc>
      </w:tr>
      <w:tr w14:paraId="714983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A7781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3E79C6">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进一步优化结构、深化改革、强化监管，花好每一分钱，把教育经费用到最关键处，切实提高教育经费使用效益。完善城乡义务教育经费保障机制，保障小学正常运转，保证学校校舍安全。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2024年兰干镇中心学校以质量兴教为根本，努力提高教育教学质量，办让家长放心、让人民满意的教育。管好用好国家的教育资金，改善和优化农村的办学条件，力争使社会对兰干镇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887A82">
            <w:pPr>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少年儿童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323104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04F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81AC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D441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8114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FF11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299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5295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96D37">
            <w:pPr>
              <w:jc w:val="center"/>
            </w:pPr>
            <w:r>
              <w:rPr>
                <w:rFonts w:ascii="宋体" w:hAnsi="宋体" w:eastAsia="宋体"/>
                <w:sz w:val="16"/>
              </w:rPr>
              <w:t>得分</w:t>
            </w:r>
          </w:p>
        </w:tc>
      </w:tr>
      <w:tr w14:paraId="65B1905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65CD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368F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3B1A7">
            <w:pPr>
              <w:jc w:val="center"/>
            </w:pPr>
            <w:r>
              <w:rPr>
                <w:rFonts w:ascii="宋体" w:hAnsi="宋体" w:eastAsia="宋体"/>
                <w:sz w:val="16"/>
              </w:rPr>
              <w:t>义务教育学生人数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E9942">
            <w:pPr>
              <w:jc w:val="center"/>
            </w:pPr>
            <w:r>
              <w:rPr>
                <w:rFonts w:ascii="宋体" w:hAnsi="宋体" w:eastAsia="宋体"/>
                <w:sz w:val="16"/>
              </w:rPr>
              <w:t>=3069人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6F2D4">
            <w:pPr>
              <w:jc w:val="center"/>
            </w:pPr>
            <w:r>
              <w:rPr>
                <w:rFonts w:ascii="宋体" w:hAnsi="宋体" w:eastAsia="宋体"/>
                <w:sz w:val="16"/>
              </w:rPr>
              <w:t>兰干镇学生年报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97D5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AB484">
            <w:pPr>
              <w:jc w:val="center"/>
            </w:pPr>
            <w:r>
              <w:rPr>
                <w:rFonts w:ascii="宋体" w:hAnsi="宋体" w:eastAsia="宋体"/>
                <w:sz w:val="16"/>
              </w:rPr>
              <w:t>3069人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045CA">
            <w:pPr>
              <w:jc w:val="center"/>
            </w:pPr>
            <w:r>
              <w:rPr>
                <w:rFonts w:ascii="宋体" w:hAnsi="宋体" w:eastAsia="宋体"/>
                <w:sz w:val="16"/>
              </w:rPr>
              <w:t>18</w:t>
            </w:r>
          </w:p>
        </w:tc>
      </w:tr>
      <w:tr w14:paraId="3DC33A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6DFE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AC87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0E62D">
            <w:pPr>
              <w:jc w:val="center"/>
            </w:pPr>
            <w:r>
              <w:rPr>
                <w:rFonts w:ascii="宋体" w:hAnsi="宋体" w:eastAsia="宋体"/>
                <w:sz w:val="16"/>
              </w:rPr>
              <w:t>享受资助补助学生覆盖率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85FE4">
            <w:pPr>
              <w:jc w:val="center"/>
            </w:pPr>
            <w:r>
              <w:rPr>
                <w:rFonts w:ascii="宋体" w:hAnsi="宋体" w:eastAsia="宋体"/>
                <w:sz w:val="16"/>
              </w:rPr>
              <w:t>&gt;=30%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BB5D4">
            <w:pPr>
              <w:jc w:val="center"/>
            </w:pPr>
            <w:r>
              <w:rPr>
                <w:rFonts w:ascii="宋体" w:hAnsi="宋体" w:eastAsia="宋体"/>
                <w:sz w:val="16"/>
              </w:rPr>
              <w:t>兰干镇非寄宿生汇总表，霍城县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7137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2BC31">
            <w:pPr>
              <w:jc w:val="center"/>
            </w:pPr>
            <w:r>
              <w:rPr>
                <w:rFonts w:ascii="宋体" w:hAnsi="宋体" w:eastAsia="宋体"/>
                <w:sz w:val="16"/>
              </w:rPr>
              <w:tab/>
            </w:r>
            <w:r>
              <w:rPr>
                <w:rFonts w:ascii="宋体" w:hAnsi="宋体" w:eastAsia="宋体"/>
                <w:sz w:val="16"/>
              </w:rPr>
              <w:t>40.63%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D4832">
            <w:pPr>
              <w:jc w:val="center"/>
            </w:pPr>
            <w:r>
              <w:rPr>
                <w:rFonts w:ascii="宋体" w:hAnsi="宋体" w:eastAsia="宋体"/>
                <w:sz w:val="16"/>
              </w:rPr>
              <w:t>18</w:t>
            </w:r>
          </w:p>
        </w:tc>
      </w:tr>
      <w:tr w14:paraId="50531B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674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0C6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B3C2C">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85C55">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53DF5">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4F4E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CC99B">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E360E">
            <w:pPr>
              <w:jc w:val="center"/>
            </w:pPr>
            <w:r>
              <w:rPr>
                <w:rFonts w:ascii="宋体" w:hAnsi="宋体" w:eastAsia="宋体"/>
                <w:sz w:val="16"/>
              </w:rPr>
              <w:t>18</w:t>
            </w:r>
          </w:p>
        </w:tc>
      </w:tr>
      <w:tr w14:paraId="7E6B88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C6B7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F19D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F22BC">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E82B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EAF72">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EF3C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9C59B">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AC7E0">
            <w:pPr>
              <w:jc w:val="center"/>
            </w:pPr>
            <w:r>
              <w:rPr>
                <w:rFonts w:ascii="宋体" w:hAnsi="宋体" w:eastAsia="宋体"/>
                <w:sz w:val="16"/>
              </w:rPr>
              <w:t>18</w:t>
            </w:r>
          </w:p>
        </w:tc>
      </w:tr>
      <w:tr w14:paraId="6C66DD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4A5F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C9DF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A0C75">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7D7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A2B74">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F328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2CEA3">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7443D">
            <w:pPr>
              <w:jc w:val="center"/>
            </w:pPr>
            <w:r>
              <w:rPr>
                <w:rFonts w:ascii="宋体" w:hAnsi="宋体" w:eastAsia="宋体"/>
                <w:sz w:val="16"/>
              </w:rPr>
              <w:t>18</w:t>
            </w:r>
          </w:p>
        </w:tc>
      </w:tr>
    </w:tbl>
    <w:p w14:paraId="398AA03C">
      <w:r>
        <w:br w:type="page"/>
      </w:r>
    </w:p>
    <w:p w14:paraId="27D7336E">
      <w:pPr>
        <w:spacing w:line="640" w:lineRule="exact"/>
        <w:ind w:firstLine="640"/>
        <w:jc w:val="both"/>
        <w:outlineLvl w:val="2"/>
      </w:pPr>
      <w:r>
        <w:rPr>
          <w:rFonts w:ascii="黑体" w:hAnsi="黑体" w:eastAsia="黑体"/>
          <w:sz w:val="32"/>
        </w:rPr>
        <w:t>十二、其他需说明的事项</w:t>
      </w:r>
    </w:p>
    <w:p w14:paraId="50715F53">
      <w:pPr>
        <w:spacing w:line="580" w:lineRule="exact"/>
        <w:ind w:firstLine="640"/>
        <w:jc w:val="both"/>
      </w:pPr>
      <w:r>
        <w:rPr>
          <w:rFonts w:ascii="仿宋_GB2312" w:hAnsi="仿宋_GB2312" w:eastAsia="仿宋_GB2312"/>
          <w:b w:val="0"/>
          <w:sz w:val="32"/>
        </w:rPr>
        <w:t>本单位无其他需说明的事项。</w:t>
      </w:r>
    </w:p>
    <w:p w14:paraId="7DBE6372">
      <w:r>
        <w:br w:type="page"/>
      </w:r>
    </w:p>
    <w:p w14:paraId="7C5E9588">
      <w:pPr>
        <w:spacing w:line="240" w:lineRule="auto"/>
        <w:jc w:val="center"/>
        <w:outlineLvl w:val="1"/>
      </w:pPr>
      <w:r>
        <w:rPr>
          <w:rFonts w:ascii="黑体" w:hAnsi="黑体" w:eastAsia="黑体"/>
          <w:sz w:val="32"/>
        </w:rPr>
        <w:t>第三部分 专业名词解释</w:t>
      </w:r>
    </w:p>
    <w:p w14:paraId="5592C5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87DE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12500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2AAB6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6F6AD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6D711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6197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9694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4529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2AEB5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B789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64822A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2022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9D26A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A37E93">
      <w:r>
        <w:br w:type="page"/>
      </w:r>
    </w:p>
    <w:p w14:paraId="2BE4AB0C">
      <w:pPr>
        <w:spacing w:line="240" w:lineRule="auto"/>
        <w:jc w:val="center"/>
        <w:outlineLvl w:val="1"/>
      </w:pPr>
      <w:r>
        <w:rPr>
          <w:rFonts w:ascii="黑体" w:hAnsi="黑体" w:eastAsia="黑体"/>
          <w:sz w:val="32"/>
        </w:rPr>
        <w:t>第四部分 部门决算报表（见附表）</w:t>
      </w:r>
    </w:p>
    <w:p w14:paraId="120F7D2D">
      <w:pPr>
        <w:spacing w:line="240" w:lineRule="auto"/>
        <w:ind w:firstLine="640"/>
        <w:jc w:val="both"/>
      </w:pPr>
      <w:r>
        <w:rPr>
          <w:rFonts w:ascii="仿宋_GB2312" w:hAnsi="仿宋_GB2312" w:eastAsia="仿宋_GB2312"/>
          <w:b w:val="0"/>
          <w:sz w:val="32"/>
        </w:rPr>
        <w:t>一、《收入支出决算总表》</w:t>
      </w:r>
    </w:p>
    <w:p w14:paraId="0C9DBA6A">
      <w:pPr>
        <w:spacing w:line="240" w:lineRule="auto"/>
        <w:ind w:firstLine="640"/>
        <w:jc w:val="both"/>
      </w:pPr>
      <w:r>
        <w:rPr>
          <w:rFonts w:ascii="仿宋_GB2312" w:hAnsi="仿宋_GB2312" w:eastAsia="仿宋_GB2312"/>
          <w:b w:val="0"/>
          <w:sz w:val="32"/>
        </w:rPr>
        <w:t>二、《收入决算表》</w:t>
      </w:r>
    </w:p>
    <w:p w14:paraId="0964F661">
      <w:pPr>
        <w:spacing w:line="240" w:lineRule="auto"/>
        <w:ind w:firstLine="640"/>
        <w:jc w:val="both"/>
      </w:pPr>
      <w:r>
        <w:rPr>
          <w:rFonts w:ascii="仿宋_GB2312" w:hAnsi="仿宋_GB2312" w:eastAsia="仿宋_GB2312"/>
          <w:b w:val="0"/>
          <w:sz w:val="32"/>
        </w:rPr>
        <w:t>三、《支出决算表》</w:t>
      </w:r>
    </w:p>
    <w:p w14:paraId="24C35662">
      <w:pPr>
        <w:spacing w:line="240" w:lineRule="auto"/>
        <w:ind w:firstLine="640"/>
        <w:jc w:val="both"/>
      </w:pPr>
      <w:r>
        <w:rPr>
          <w:rFonts w:ascii="仿宋_GB2312" w:hAnsi="仿宋_GB2312" w:eastAsia="仿宋_GB2312"/>
          <w:b w:val="0"/>
          <w:sz w:val="32"/>
        </w:rPr>
        <w:t>四、《财政拨款收入支出决算总表》</w:t>
      </w:r>
    </w:p>
    <w:p w14:paraId="6D12020A">
      <w:pPr>
        <w:spacing w:line="240" w:lineRule="auto"/>
        <w:ind w:firstLine="640"/>
        <w:jc w:val="both"/>
      </w:pPr>
      <w:r>
        <w:rPr>
          <w:rFonts w:ascii="仿宋_GB2312" w:hAnsi="仿宋_GB2312" w:eastAsia="仿宋_GB2312"/>
          <w:b w:val="0"/>
          <w:sz w:val="32"/>
        </w:rPr>
        <w:t>五、《一般公共预算财政拨款支出决算表》</w:t>
      </w:r>
    </w:p>
    <w:p w14:paraId="2E0AB49B">
      <w:pPr>
        <w:spacing w:line="240" w:lineRule="auto"/>
        <w:ind w:firstLine="640"/>
        <w:jc w:val="both"/>
      </w:pPr>
      <w:r>
        <w:rPr>
          <w:rFonts w:ascii="仿宋_GB2312" w:hAnsi="仿宋_GB2312" w:eastAsia="仿宋_GB2312"/>
          <w:b w:val="0"/>
          <w:sz w:val="32"/>
        </w:rPr>
        <w:t>六、《一般公共预算财政拨款基本支出决算表》</w:t>
      </w:r>
    </w:p>
    <w:p w14:paraId="45585D77">
      <w:pPr>
        <w:spacing w:line="240" w:lineRule="auto"/>
        <w:ind w:firstLine="640"/>
        <w:jc w:val="both"/>
      </w:pPr>
      <w:r>
        <w:rPr>
          <w:rFonts w:ascii="仿宋_GB2312" w:hAnsi="仿宋_GB2312" w:eastAsia="仿宋_GB2312"/>
          <w:b w:val="0"/>
          <w:sz w:val="32"/>
        </w:rPr>
        <w:t>七、《政府性基金预算财政拨款收入支出决算表》</w:t>
      </w:r>
    </w:p>
    <w:p w14:paraId="01861AFC">
      <w:pPr>
        <w:spacing w:line="240" w:lineRule="auto"/>
        <w:ind w:firstLine="640"/>
        <w:jc w:val="both"/>
      </w:pPr>
      <w:r>
        <w:rPr>
          <w:rFonts w:ascii="仿宋_GB2312" w:hAnsi="仿宋_GB2312" w:eastAsia="仿宋_GB2312"/>
          <w:b w:val="0"/>
          <w:sz w:val="32"/>
        </w:rPr>
        <w:t>八、《国有资本经营预算财政拨款收入支出决算表》</w:t>
      </w:r>
    </w:p>
    <w:p w14:paraId="122A86D1">
      <w:pPr>
        <w:spacing w:line="240" w:lineRule="auto"/>
        <w:ind w:firstLine="640"/>
        <w:jc w:val="both"/>
      </w:pPr>
      <w:r>
        <w:rPr>
          <w:rFonts w:ascii="仿宋_GB2312" w:hAnsi="仿宋_GB2312" w:eastAsia="仿宋_GB2312"/>
          <w:b w:val="0"/>
          <w:sz w:val="32"/>
        </w:rPr>
        <w:t>九、《财政拨款“三公”经费支出决算表》</w:t>
      </w:r>
    </w:p>
    <w:p w14:paraId="38CC2727">
      <w:pPr>
        <w:spacing w:line="240" w:lineRule="auto"/>
        <w:ind w:firstLine="640"/>
        <w:jc w:val="both"/>
      </w:pPr>
    </w:p>
    <w:p w14:paraId="3C15E41A">
      <w:pPr>
        <w:spacing w:line="240" w:lineRule="auto"/>
        <w:ind w:firstLine="640"/>
        <w:jc w:val="both"/>
      </w:pPr>
    </w:p>
    <w:p w14:paraId="0D19F0BF">
      <w:pPr>
        <w:spacing w:line="240" w:lineRule="auto"/>
        <w:ind w:firstLine="640"/>
        <w:jc w:val="both"/>
      </w:pPr>
    </w:p>
    <w:p w14:paraId="1275252E">
      <w:pPr>
        <w:spacing w:line="240" w:lineRule="auto"/>
        <w:ind w:firstLine="640"/>
        <w:jc w:val="both"/>
      </w:pPr>
    </w:p>
    <w:p w14:paraId="07F5B2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F502F6"/>
    <w:rsid w:val="4B4C0111"/>
    <w:rsid w:val="4BB23021"/>
    <w:rsid w:val="4F3F074E"/>
    <w:rsid w:val="50DB5F45"/>
    <w:rsid w:val="52F92565"/>
    <w:rsid w:val="543D17CB"/>
    <w:rsid w:val="55DA564E"/>
    <w:rsid w:val="56E07045"/>
    <w:rsid w:val="583059FA"/>
    <w:rsid w:val="587E6212"/>
    <w:rsid w:val="5AFC6609"/>
    <w:rsid w:val="5EC0148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7778</Words>
  <Characters>8717</Characters>
  <Lines>0</Lines>
  <Paragraphs>0</Paragraphs>
  <TotalTime>8</TotalTime>
  <ScaleCrop>false</ScaleCrop>
  <LinksUpToDate>false</LinksUpToDate>
  <CharactersWithSpaces>8729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