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473BCA">
      <w:r>
        <w:br w:type="page"/>
      </w:r>
    </w:p>
    <w:p w14:paraId="3D268983">
      <w:pPr>
        <w:spacing w:line="640" w:lineRule="exact"/>
        <w:jc w:val="center"/>
        <w:outlineLvl w:val="1"/>
      </w:pPr>
      <w:r>
        <w:rPr>
          <w:rFonts w:ascii="黑体" w:hAnsi="黑体" w:eastAsia="黑体"/>
          <w:sz w:val="32"/>
        </w:rPr>
        <w:t>第一部分 单位概况</w:t>
      </w:r>
    </w:p>
    <w:p w14:paraId="05FA41A5">
      <w:pPr>
        <w:spacing w:line="640" w:lineRule="exact"/>
        <w:ind w:firstLine="640"/>
        <w:jc w:val="both"/>
        <w:outlineLvl w:val="2"/>
      </w:pPr>
      <w:r>
        <w:rPr>
          <w:rFonts w:ascii="黑体" w:hAnsi="黑体" w:eastAsia="黑体"/>
          <w:sz w:val="32"/>
        </w:rPr>
        <w:t>一、主要职能</w:t>
      </w:r>
    </w:p>
    <w:p w14:paraId="1251E390">
      <w:pPr>
        <w:spacing w:line="580" w:lineRule="exact"/>
        <w:ind w:firstLine="640"/>
        <w:jc w:val="both"/>
      </w:pPr>
      <w:r>
        <w:rPr>
          <w:rFonts w:ascii="仿宋_GB2312" w:hAnsi="仿宋_GB2312" w:eastAsia="仿宋_GB2312"/>
          <w:sz w:val="32"/>
        </w:rPr>
        <w:t>（1）宣传、贯彻、落实党中央、国务院和上级党委、人民政府有关农业、农村经济社会发展的路线、方针、政策及法律法规。在县委、县政府的领导下，做好为“三农”服务的各项工作。</w:t>
      </w:r>
    </w:p>
    <w:p w14:paraId="35A88215">
      <w:pPr>
        <w:spacing w:line="580" w:lineRule="exact"/>
        <w:ind w:firstLine="640"/>
        <w:jc w:val="both"/>
      </w:pPr>
      <w:r>
        <w:rPr>
          <w:rFonts w:ascii="仿宋_GB2312" w:hAnsi="仿宋_GB2312" w:eastAsia="仿宋_GB2312"/>
          <w:sz w:val="32"/>
        </w:rPr>
        <w:t>（2）研究制定并组织实施本县区域供销社发展战略和规划。指导供销社企业和基层社的改革和发展。</w:t>
      </w:r>
    </w:p>
    <w:p w14:paraId="277F33C3">
      <w:pPr>
        <w:spacing w:line="580" w:lineRule="exact"/>
        <w:ind w:firstLine="640"/>
        <w:jc w:val="both"/>
      </w:pPr>
      <w:r>
        <w:rPr>
          <w:rFonts w:ascii="仿宋_GB2312" w:hAnsi="仿宋_GB2312" w:eastAsia="仿宋_GB2312"/>
          <w:sz w:val="32"/>
        </w:rPr>
        <w:t>（3）组织、引领农村合作经济组织的发展，提高农民的组织化程度。组织实施新网工程的建设，构建农村现代流通网络体系。参与和推动农业产业化经营，促进农业、农村经济发展。参与农村综合服务体系建设，开拓城乡市场。</w:t>
      </w:r>
    </w:p>
    <w:p w14:paraId="50855AB3">
      <w:pPr>
        <w:spacing w:line="580" w:lineRule="exact"/>
        <w:ind w:firstLine="640"/>
        <w:jc w:val="both"/>
      </w:pPr>
      <w:r>
        <w:rPr>
          <w:rFonts w:ascii="仿宋_GB2312" w:hAnsi="仿宋_GB2312" w:eastAsia="仿宋_GB2312"/>
          <w:sz w:val="32"/>
        </w:rPr>
        <w:t>（4）完成县委、县政府安排的各项工作任务。按照政府及有关部门的授权和委托，负责对重要农业生产资料、农副产品、烟花爆竹、边销茶、再生资源、盐业等商品的经营管理和组织协调。</w:t>
      </w:r>
    </w:p>
    <w:p w14:paraId="4137C489">
      <w:pPr>
        <w:spacing w:line="580" w:lineRule="exact"/>
        <w:ind w:firstLine="640"/>
        <w:jc w:val="both"/>
      </w:pPr>
      <w:r>
        <w:rPr>
          <w:rFonts w:ascii="仿宋_GB2312" w:hAnsi="仿宋_GB2312" w:eastAsia="仿宋_GB2312"/>
          <w:sz w:val="32"/>
        </w:rPr>
        <w:t>（5）负责协调与政府相关部门及其他社会组织的关系。向县委、县政府和有关部门反映农民社员的合理要求，依法维护供销社和农民专业合作社社员的合法权益。</w:t>
      </w:r>
    </w:p>
    <w:p w14:paraId="6DCA9D14">
      <w:pPr>
        <w:spacing w:line="580" w:lineRule="exact"/>
        <w:ind w:firstLine="640"/>
        <w:jc w:val="both"/>
      </w:pPr>
      <w:r>
        <w:rPr>
          <w:rFonts w:ascii="仿宋_GB2312" w:hAnsi="仿宋_GB2312" w:eastAsia="仿宋_GB2312"/>
          <w:sz w:val="32"/>
        </w:rPr>
        <w:t>（6）行使本级社有资产出资人代表的职能，监督社有资产保值增值，加强对控参股企业的监管。适应县级供销社机关经费纳入财政预算的新形势，遵守财经纪律，接受政府财经等部门的监督，管好、用好财政经费。</w:t>
      </w:r>
    </w:p>
    <w:p w14:paraId="38C10EC7">
      <w:pPr>
        <w:spacing w:line="580" w:lineRule="exact"/>
        <w:ind w:firstLine="640"/>
        <w:jc w:val="both"/>
      </w:pPr>
      <w:r>
        <w:rPr>
          <w:rFonts w:ascii="仿宋_GB2312" w:hAnsi="仿宋_GB2312" w:eastAsia="仿宋_GB2312"/>
          <w:sz w:val="32"/>
        </w:rPr>
        <w:t>（7）负责县社机关、控股企业、基层供销社人事管理工作。开展职工和农民社员的培训和教育，全面提高职工队伍的素质。</w:t>
      </w:r>
    </w:p>
    <w:p w14:paraId="16E66305">
      <w:pPr>
        <w:spacing w:line="580" w:lineRule="exact"/>
        <w:ind w:firstLine="640"/>
        <w:jc w:val="both"/>
      </w:pPr>
      <w:r>
        <w:rPr>
          <w:rFonts w:ascii="仿宋_GB2312" w:hAnsi="仿宋_GB2312" w:eastAsia="仿宋_GB2312"/>
          <w:sz w:val="32"/>
        </w:rPr>
        <w:t>（8）遵守供销合作社章程，履行章程规定的职权，承担章程规定的义务。参加上级社各项活动，完成上级社安排的任务。</w:t>
      </w:r>
    </w:p>
    <w:p w14:paraId="3449390E">
      <w:pPr>
        <w:spacing w:line="580" w:lineRule="exact"/>
        <w:ind w:firstLine="640"/>
        <w:jc w:val="both"/>
      </w:pPr>
      <w:r>
        <w:rPr>
          <w:rFonts w:ascii="仿宋_GB2312" w:hAnsi="仿宋_GB2312" w:eastAsia="仿宋_GB2312"/>
          <w:sz w:val="32"/>
        </w:rPr>
        <w:t>（9）承办县委、县政府和上级</w:t>
      </w:r>
      <w:bookmarkStart w:id="0" w:name="_GoBack"/>
      <w:r>
        <w:rPr>
          <w:rFonts w:hint="eastAsia" w:ascii="仿宋_GB2312" w:hAnsi="仿宋_GB2312" w:eastAsia="仿宋_GB2312"/>
          <w:sz w:val="32"/>
          <w:lang w:eastAsia="zh-CN"/>
        </w:rPr>
        <w:t>交</w:t>
      </w:r>
      <w:bookmarkEnd w:id="0"/>
      <w:r>
        <w:rPr>
          <w:rFonts w:hint="eastAsia" w:ascii="仿宋_GB2312" w:hAnsi="仿宋_GB2312" w:eastAsia="仿宋_GB2312"/>
          <w:sz w:val="32"/>
          <w:lang w:eastAsia="zh-CN"/>
        </w:rPr>
        <w:t>办的其他</w:t>
      </w:r>
      <w:r>
        <w:rPr>
          <w:rFonts w:ascii="仿宋_GB2312" w:hAnsi="仿宋_GB2312" w:eastAsia="仿宋_GB2312"/>
          <w:sz w:val="32"/>
        </w:rPr>
        <w:t>事项。</w:t>
      </w:r>
    </w:p>
    <w:p w14:paraId="0E584A60">
      <w:pPr>
        <w:spacing w:line="640" w:lineRule="exact"/>
        <w:ind w:firstLine="640"/>
        <w:jc w:val="both"/>
        <w:outlineLvl w:val="2"/>
      </w:pPr>
      <w:r>
        <w:rPr>
          <w:rFonts w:ascii="黑体" w:hAnsi="黑体" w:eastAsia="黑体"/>
          <w:sz w:val="32"/>
        </w:rPr>
        <w:t>二、机构设置及人员情况</w:t>
      </w:r>
    </w:p>
    <w:p w14:paraId="5135628E">
      <w:pPr>
        <w:spacing w:line="580" w:lineRule="exact"/>
        <w:ind w:firstLine="640"/>
        <w:jc w:val="both"/>
      </w:pPr>
      <w:r>
        <w:rPr>
          <w:rFonts w:ascii="仿宋_GB2312" w:hAnsi="仿宋_GB2312" w:eastAsia="仿宋_GB2312"/>
          <w:sz w:val="32"/>
        </w:rPr>
        <w:t>霍城县供销合作社联合社2024年度，实有人数23人，其中：在职人员8人，增加1人；离休人员0人，增加0人；退休人员15人,减少1人。</w:t>
      </w:r>
    </w:p>
    <w:p w14:paraId="51C4BB58">
      <w:pPr>
        <w:spacing w:line="580" w:lineRule="exact"/>
        <w:ind w:firstLine="640"/>
        <w:jc w:val="both"/>
      </w:pPr>
      <w:r>
        <w:rPr>
          <w:rFonts w:ascii="仿宋_GB2312" w:hAnsi="仿宋_GB2312" w:eastAsia="仿宋_GB2312"/>
          <w:sz w:val="32"/>
        </w:rPr>
        <w:t>霍城县供销合作社联合社无下属预算单位，下设4个科室，分别是：办公室、党建办、业务科、财务科。</w:t>
      </w:r>
    </w:p>
    <w:p w14:paraId="6EF3B37F">
      <w:r>
        <w:br w:type="page"/>
      </w:r>
    </w:p>
    <w:p w14:paraId="1076936A">
      <w:pPr>
        <w:spacing w:line="240" w:lineRule="auto"/>
        <w:jc w:val="center"/>
        <w:outlineLvl w:val="1"/>
      </w:pPr>
      <w:r>
        <w:rPr>
          <w:rFonts w:ascii="黑体" w:hAnsi="黑体" w:eastAsia="黑体"/>
          <w:sz w:val="32"/>
        </w:rPr>
        <w:t>第二部分 部门决算情况说明</w:t>
      </w:r>
    </w:p>
    <w:p w14:paraId="23537AB3">
      <w:pPr>
        <w:spacing w:line="640" w:lineRule="exact"/>
        <w:ind w:firstLine="640"/>
        <w:jc w:val="both"/>
        <w:outlineLvl w:val="2"/>
      </w:pPr>
      <w:r>
        <w:rPr>
          <w:rFonts w:ascii="黑体" w:hAnsi="黑体" w:eastAsia="黑体"/>
          <w:sz w:val="32"/>
        </w:rPr>
        <w:t>一、收入支出决算总体情况说明</w:t>
      </w:r>
    </w:p>
    <w:p w14:paraId="415F0CFA">
      <w:pPr>
        <w:spacing w:line="580" w:lineRule="exact"/>
        <w:ind w:firstLine="640"/>
        <w:jc w:val="both"/>
      </w:pPr>
      <w:r>
        <w:rPr>
          <w:rFonts w:ascii="仿宋_GB2312" w:hAnsi="仿宋_GB2312" w:eastAsia="仿宋_GB2312"/>
          <w:b/>
          <w:sz w:val="32"/>
        </w:rPr>
        <w:t>2024年度收入总计142.65万元，</w:t>
      </w:r>
      <w:r>
        <w:rPr>
          <w:rFonts w:ascii="仿宋_GB2312" w:hAnsi="仿宋_GB2312" w:eastAsia="仿宋_GB2312"/>
          <w:b w:val="0"/>
          <w:sz w:val="32"/>
        </w:rPr>
        <w:t>其中：本年收入合计142.65万元，使用非财政拨款结余（含专用结余）0.00万元，年初结转和结余0.00万元。</w:t>
      </w:r>
    </w:p>
    <w:p w14:paraId="32FD7043">
      <w:pPr>
        <w:spacing w:line="580" w:lineRule="exact"/>
        <w:ind w:firstLine="640"/>
        <w:jc w:val="both"/>
      </w:pPr>
      <w:r>
        <w:rPr>
          <w:rFonts w:ascii="仿宋_GB2312" w:hAnsi="仿宋_GB2312" w:eastAsia="仿宋_GB2312"/>
          <w:b/>
          <w:sz w:val="32"/>
        </w:rPr>
        <w:t>2024年度支出总计142.65万元，</w:t>
      </w:r>
      <w:r>
        <w:rPr>
          <w:rFonts w:ascii="仿宋_GB2312" w:hAnsi="仿宋_GB2312" w:eastAsia="仿宋_GB2312"/>
          <w:b w:val="0"/>
          <w:sz w:val="32"/>
        </w:rPr>
        <w:t>其中：本年支出合计142.65万元，结余分配0.00万元，年末结转和结余0.00万元。</w:t>
      </w:r>
    </w:p>
    <w:p w14:paraId="2CB93812">
      <w:pPr>
        <w:spacing w:line="580" w:lineRule="exact"/>
        <w:ind w:firstLine="640"/>
        <w:jc w:val="both"/>
      </w:pPr>
      <w:r>
        <w:rPr>
          <w:rFonts w:ascii="仿宋_GB2312" w:hAnsi="仿宋_GB2312" w:eastAsia="仿宋_GB2312"/>
          <w:b w:val="0"/>
          <w:sz w:val="32"/>
        </w:rPr>
        <w:t>收入支出总体与上年相比，减少3.84万元，下降2.62%，主要原因是：本年无新增退休人员，职业年金缴费较上年减少。</w:t>
      </w:r>
    </w:p>
    <w:p w14:paraId="062D963C">
      <w:pPr>
        <w:spacing w:line="640" w:lineRule="exact"/>
        <w:ind w:firstLine="640"/>
        <w:jc w:val="both"/>
        <w:outlineLvl w:val="2"/>
      </w:pPr>
      <w:r>
        <w:rPr>
          <w:rFonts w:ascii="黑体" w:hAnsi="黑体" w:eastAsia="黑体"/>
          <w:sz w:val="32"/>
        </w:rPr>
        <w:t>二、收入决算情况说明</w:t>
      </w:r>
    </w:p>
    <w:p w14:paraId="1652E33A">
      <w:pPr>
        <w:spacing w:line="580" w:lineRule="exact"/>
        <w:ind w:firstLine="640"/>
        <w:jc w:val="both"/>
      </w:pPr>
      <w:r>
        <w:rPr>
          <w:rFonts w:ascii="仿宋_GB2312" w:hAnsi="仿宋_GB2312" w:eastAsia="仿宋_GB2312"/>
          <w:b/>
          <w:sz w:val="32"/>
        </w:rPr>
        <w:t>本年收入142.65万元，</w:t>
      </w:r>
      <w:r>
        <w:rPr>
          <w:rFonts w:ascii="仿宋_GB2312" w:hAnsi="仿宋_GB2312" w:eastAsia="仿宋_GB2312"/>
          <w:b w:val="0"/>
          <w:sz w:val="32"/>
        </w:rPr>
        <w:t>其中：财政拨款收入142.65万元，占100.00%；上级补助收入0.00万元，占0.00%；事业收入0.00万元，占0.00%；经营收入0.00万元，占0.00%；附属单位上缴收入0.00万元，占0.00%；其他收入0.00万元，占0.00%。</w:t>
      </w:r>
    </w:p>
    <w:p w14:paraId="0B62018F">
      <w:pPr>
        <w:spacing w:line="640" w:lineRule="exact"/>
        <w:ind w:firstLine="640"/>
        <w:jc w:val="both"/>
        <w:outlineLvl w:val="2"/>
      </w:pPr>
      <w:r>
        <w:rPr>
          <w:rFonts w:ascii="黑体" w:hAnsi="黑体" w:eastAsia="黑体"/>
          <w:sz w:val="32"/>
        </w:rPr>
        <w:t>三、支出决算情况说明</w:t>
      </w:r>
    </w:p>
    <w:p w14:paraId="4DBD76E0">
      <w:pPr>
        <w:spacing w:line="580" w:lineRule="exact"/>
        <w:ind w:firstLine="640"/>
        <w:jc w:val="both"/>
      </w:pPr>
      <w:r>
        <w:rPr>
          <w:rFonts w:ascii="仿宋_GB2312" w:hAnsi="仿宋_GB2312" w:eastAsia="仿宋_GB2312"/>
          <w:b/>
          <w:sz w:val="32"/>
        </w:rPr>
        <w:t>本年支出142.65万元，</w:t>
      </w:r>
      <w:r>
        <w:rPr>
          <w:rFonts w:ascii="仿宋_GB2312" w:hAnsi="仿宋_GB2312" w:eastAsia="仿宋_GB2312"/>
          <w:b w:val="0"/>
          <w:sz w:val="32"/>
        </w:rPr>
        <w:t>其中：基本支出142.65万元，占100.00%；项目支出0.00万元，占0.00%；上缴上级支出0.00万元，占0.00%；经营支出0.00万元，占0.00%；对附属单位补助支出0.00万元，占0.00%。</w:t>
      </w:r>
    </w:p>
    <w:p w14:paraId="14A84ED7">
      <w:pPr>
        <w:spacing w:line="640" w:lineRule="exact"/>
        <w:ind w:firstLine="640"/>
        <w:jc w:val="both"/>
        <w:outlineLvl w:val="2"/>
      </w:pPr>
      <w:r>
        <w:rPr>
          <w:rFonts w:ascii="黑体" w:hAnsi="黑体" w:eastAsia="黑体"/>
          <w:sz w:val="32"/>
        </w:rPr>
        <w:t>四、财政拨款收入支出决算总体情况说明</w:t>
      </w:r>
    </w:p>
    <w:p w14:paraId="041AD2E0">
      <w:pPr>
        <w:spacing w:line="580" w:lineRule="exact"/>
        <w:ind w:firstLine="640"/>
        <w:jc w:val="both"/>
      </w:pPr>
      <w:r>
        <w:rPr>
          <w:rFonts w:ascii="仿宋_GB2312" w:hAnsi="仿宋_GB2312" w:eastAsia="仿宋_GB2312"/>
          <w:b/>
          <w:sz w:val="32"/>
        </w:rPr>
        <w:t>2024年度财政拨款收入总计142.65万元，</w:t>
      </w:r>
      <w:r>
        <w:rPr>
          <w:rFonts w:ascii="仿宋_GB2312" w:hAnsi="仿宋_GB2312" w:eastAsia="仿宋_GB2312"/>
          <w:b w:val="0"/>
          <w:sz w:val="32"/>
        </w:rPr>
        <w:t>其中：年初财政拨款结转和结余0.00万元，本年财政拨款收入142.65万元。</w:t>
      </w:r>
      <w:r>
        <w:rPr>
          <w:rFonts w:ascii="仿宋_GB2312" w:hAnsi="仿宋_GB2312" w:eastAsia="仿宋_GB2312"/>
          <w:b/>
          <w:sz w:val="32"/>
        </w:rPr>
        <w:t>财政拨款支出总计142.65万元，</w:t>
      </w:r>
      <w:r>
        <w:rPr>
          <w:rFonts w:ascii="仿宋_GB2312" w:hAnsi="仿宋_GB2312" w:eastAsia="仿宋_GB2312"/>
          <w:b w:val="0"/>
          <w:sz w:val="32"/>
        </w:rPr>
        <w:t>其中：年末财政拨款结转和结余0.00万元，本年财政拨款支出142.65万元。</w:t>
      </w:r>
    </w:p>
    <w:p w14:paraId="4DDDE53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减少3.84万元，下降2.62%，主要原因是：本年无新增退休人员，职业年金缴费较上年减少。</w:t>
      </w:r>
      <w:r>
        <w:rPr>
          <w:rFonts w:ascii="仿宋_GB2312" w:hAnsi="仿宋_GB2312" w:eastAsia="仿宋_GB2312"/>
          <w:b/>
          <w:sz w:val="32"/>
        </w:rPr>
        <w:t>与年初预算相比，</w:t>
      </w:r>
      <w:r>
        <w:rPr>
          <w:rFonts w:ascii="仿宋_GB2312" w:hAnsi="仿宋_GB2312" w:eastAsia="仿宋_GB2312"/>
          <w:b w:val="0"/>
          <w:sz w:val="32"/>
        </w:rPr>
        <w:t>年初预算数132.11万元，决算数142.65万元，预决算差异率7.98%，主要原因是：本年在职人员增加，退休人员1人死亡，年中追加人员工资、社保、公积金基数调增部分资金</w:t>
      </w:r>
      <w:r>
        <w:rPr>
          <w:rFonts w:hint="eastAsia" w:ascii="仿宋_GB2312" w:hAnsi="仿宋_GB2312" w:eastAsia="仿宋_GB2312"/>
          <w:b w:val="0"/>
          <w:sz w:val="32"/>
          <w:lang w:val="en-US" w:eastAsia="zh-CN"/>
        </w:rPr>
        <w:t>及丧葬费</w:t>
      </w:r>
      <w:r>
        <w:rPr>
          <w:rFonts w:ascii="仿宋_GB2312" w:hAnsi="仿宋_GB2312" w:eastAsia="仿宋_GB2312"/>
          <w:b w:val="0"/>
          <w:sz w:val="32"/>
        </w:rPr>
        <w:t>，导致预决算存在差异。</w:t>
      </w:r>
    </w:p>
    <w:p w14:paraId="1F23C342">
      <w:pPr>
        <w:spacing w:line="640" w:lineRule="exact"/>
        <w:ind w:firstLine="640"/>
        <w:jc w:val="both"/>
        <w:outlineLvl w:val="2"/>
      </w:pPr>
      <w:r>
        <w:rPr>
          <w:rFonts w:ascii="黑体" w:hAnsi="黑体" w:eastAsia="黑体"/>
          <w:sz w:val="32"/>
        </w:rPr>
        <w:t>五、一般公共预算财政拨款支出决算情况说明</w:t>
      </w:r>
    </w:p>
    <w:p w14:paraId="668675DB">
      <w:pPr>
        <w:spacing w:line="640" w:lineRule="exact"/>
        <w:ind w:firstLine="640"/>
        <w:jc w:val="both"/>
        <w:outlineLvl w:val="3"/>
      </w:pPr>
      <w:r>
        <w:rPr>
          <w:rFonts w:ascii="楷体_GB2312" w:hAnsi="楷体_GB2312" w:eastAsia="楷体_GB2312"/>
          <w:b/>
          <w:sz w:val="32"/>
        </w:rPr>
        <w:t>（一）一般公共预算财政拨款支出决算总体情况</w:t>
      </w:r>
    </w:p>
    <w:p w14:paraId="2ED445C3">
      <w:pPr>
        <w:spacing w:line="580" w:lineRule="exact"/>
        <w:ind w:firstLine="640"/>
        <w:jc w:val="both"/>
      </w:pPr>
      <w:r>
        <w:rPr>
          <w:rFonts w:ascii="仿宋_GB2312" w:hAnsi="仿宋_GB2312" w:eastAsia="仿宋_GB2312"/>
          <w:b/>
          <w:sz w:val="32"/>
        </w:rPr>
        <w:t>2024年度一般公共预算财政拨款支出142.65万元，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减少3.84万元，下降2.62%，主要原因是：本年无新增退休人员，职业年金缴费较上年</w:t>
      </w:r>
      <w:r>
        <w:rPr>
          <w:rFonts w:hint="eastAsia" w:ascii="仿宋_GB2312" w:hAnsi="仿宋_GB2312" w:eastAsia="仿宋_GB2312"/>
          <w:b w:val="0"/>
          <w:sz w:val="32"/>
          <w:lang w:eastAsia="zh-CN"/>
        </w:rPr>
        <w:t>减</w:t>
      </w:r>
      <w:r>
        <w:rPr>
          <w:rFonts w:ascii="仿宋_GB2312" w:hAnsi="仿宋_GB2312" w:eastAsia="仿宋_GB2312"/>
          <w:b w:val="0"/>
          <w:sz w:val="32"/>
        </w:rPr>
        <w:t>少。</w:t>
      </w:r>
      <w:r>
        <w:rPr>
          <w:rFonts w:ascii="仿宋_GB2312" w:hAnsi="仿宋_GB2312" w:eastAsia="仿宋_GB2312"/>
          <w:b/>
          <w:sz w:val="32"/>
        </w:rPr>
        <w:t>与年初预算相比,</w:t>
      </w:r>
      <w:r>
        <w:rPr>
          <w:rFonts w:ascii="仿宋_GB2312" w:hAnsi="仿宋_GB2312" w:eastAsia="仿宋_GB2312"/>
          <w:b w:val="0"/>
          <w:sz w:val="32"/>
        </w:rPr>
        <w:t>年初预算数132.11万元，决算数142.65万元，预决算差异率7.98%，主要原因是：本年在职人员增加，退休人员1人死亡，年中追加人员工资、社保、公积金基数调增部分资金</w:t>
      </w:r>
      <w:r>
        <w:rPr>
          <w:rFonts w:hint="eastAsia" w:ascii="仿宋_GB2312" w:hAnsi="仿宋_GB2312" w:eastAsia="仿宋_GB2312"/>
          <w:b w:val="0"/>
          <w:sz w:val="32"/>
          <w:lang w:val="en-US" w:eastAsia="zh-CN"/>
        </w:rPr>
        <w:t>及丧葬费</w:t>
      </w:r>
      <w:r>
        <w:rPr>
          <w:rFonts w:ascii="仿宋_GB2312" w:hAnsi="仿宋_GB2312" w:eastAsia="仿宋_GB2312"/>
          <w:b w:val="0"/>
          <w:sz w:val="32"/>
        </w:rPr>
        <w:t>，导致预决算存在差异。</w:t>
      </w:r>
    </w:p>
    <w:p w14:paraId="59949A25">
      <w:pPr>
        <w:spacing w:line="640" w:lineRule="exact"/>
        <w:ind w:firstLine="640"/>
        <w:jc w:val="both"/>
        <w:outlineLvl w:val="3"/>
      </w:pPr>
      <w:r>
        <w:rPr>
          <w:rFonts w:ascii="楷体_GB2312" w:hAnsi="楷体_GB2312" w:eastAsia="楷体_GB2312"/>
          <w:b/>
          <w:sz w:val="32"/>
        </w:rPr>
        <w:t>（二）一般公共预算财政拨款支出决算结构情况</w:t>
      </w:r>
    </w:p>
    <w:p w14:paraId="41DD69C9">
      <w:pPr>
        <w:spacing w:line="580" w:lineRule="exact"/>
        <w:ind w:firstLine="640"/>
        <w:jc w:val="both"/>
      </w:pPr>
      <w:r>
        <w:rPr>
          <w:rFonts w:ascii="仿宋_GB2312" w:hAnsi="仿宋_GB2312" w:eastAsia="仿宋_GB2312"/>
          <w:b w:val="0"/>
          <w:sz w:val="32"/>
        </w:rPr>
        <w:t>1.社会保障和就业支出(类)31.18万元,占21.86%。</w:t>
      </w:r>
    </w:p>
    <w:p w14:paraId="719A5DCD">
      <w:pPr>
        <w:spacing w:line="580" w:lineRule="exact"/>
        <w:ind w:firstLine="640"/>
        <w:jc w:val="both"/>
      </w:pPr>
      <w:r>
        <w:rPr>
          <w:rFonts w:ascii="仿宋_GB2312" w:hAnsi="仿宋_GB2312" w:eastAsia="仿宋_GB2312"/>
          <w:b w:val="0"/>
          <w:sz w:val="32"/>
        </w:rPr>
        <w:t>2.卫生健康支出(类)6.61万元,占4.63%。</w:t>
      </w:r>
    </w:p>
    <w:p w14:paraId="3DEBF9E7">
      <w:pPr>
        <w:spacing w:line="580" w:lineRule="exact"/>
        <w:ind w:firstLine="640"/>
        <w:jc w:val="both"/>
      </w:pPr>
      <w:r>
        <w:rPr>
          <w:rFonts w:ascii="仿宋_GB2312" w:hAnsi="仿宋_GB2312" w:eastAsia="仿宋_GB2312"/>
          <w:b w:val="0"/>
          <w:sz w:val="32"/>
        </w:rPr>
        <w:t>3.商业服务业等支出(类)94.43万元,占66.20%。</w:t>
      </w:r>
    </w:p>
    <w:p w14:paraId="35E86667">
      <w:pPr>
        <w:spacing w:line="580" w:lineRule="exact"/>
        <w:ind w:firstLine="640"/>
        <w:jc w:val="both"/>
      </w:pPr>
      <w:r>
        <w:rPr>
          <w:rFonts w:ascii="仿宋_GB2312" w:hAnsi="仿宋_GB2312" w:eastAsia="仿宋_GB2312"/>
          <w:b w:val="0"/>
          <w:sz w:val="32"/>
        </w:rPr>
        <w:t>4.住房保障支出(类)10.42万元,占7.30%。</w:t>
      </w:r>
    </w:p>
    <w:p w14:paraId="0545E640">
      <w:pPr>
        <w:spacing w:line="640" w:lineRule="exact"/>
        <w:ind w:firstLine="640"/>
        <w:jc w:val="both"/>
        <w:outlineLvl w:val="3"/>
      </w:pPr>
      <w:r>
        <w:rPr>
          <w:rFonts w:ascii="楷体_GB2312" w:hAnsi="楷体_GB2312" w:eastAsia="楷体_GB2312"/>
          <w:b/>
          <w:sz w:val="32"/>
        </w:rPr>
        <w:t>（三）一般公共预算财政拨款支出决算具体情况</w:t>
      </w:r>
    </w:p>
    <w:p w14:paraId="20C89C2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1.社会保障和就业支出(类)行政事业单位养老支出(款)事业单位离退休(项):支出决算数为11.39万元，比上年决算增加8.20万元，增长257.05%,主要原因是：本年增加退休人员基础绩效奖，退休费支出增加。</w:t>
      </w:r>
    </w:p>
    <w:p w14:paraId="762FBE5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2.社会保障和就业支出(类)行政事业单位养老支出(款)机关事业单位基本养老保险缴费支出(项):支出决算数为13.22万元，比上年决算增加2.16万元，增长19.53%,主要原因是：本年在职人员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，养老保险缴费较上年增加。</w:t>
      </w:r>
    </w:p>
    <w:p w14:paraId="2C46343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7.67万元，下降100.00%,主要原因是：本年无新增退休人员，职业年金缴费较上年减少。</w:t>
      </w:r>
    </w:p>
    <w:p w14:paraId="2102E77D">
      <w:pPr>
        <w:spacing w:line="580" w:lineRule="exact"/>
        <w:ind w:firstLine="640"/>
        <w:jc w:val="both"/>
      </w:pPr>
      <w:r>
        <w:rPr>
          <w:rFonts w:ascii="仿宋_GB2312" w:hAnsi="仿宋_GB2312" w:eastAsia="仿宋_GB2312"/>
          <w:b w:val="0"/>
          <w:sz w:val="32"/>
        </w:rPr>
        <w:t>4.社会保障和就业支出(类)抚恤(款)死亡抚恤(项):支出决算数为6.56万元，比上年决算增加6.56万元，增长100.00%,主要原因是：本年新增死亡人员，死亡抚恤支出增加。</w:t>
      </w:r>
    </w:p>
    <w:p w14:paraId="25D8EFEA">
      <w:pPr>
        <w:spacing w:line="580" w:lineRule="exact"/>
        <w:ind w:firstLine="640"/>
        <w:jc w:val="both"/>
      </w:pPr>
      <w:r>
        <w:rPr>
          <w:rFonts w:ascii="仿宋_GB2312" w:hAnsi="仿宋_GB2312" w:eastAsia="仿宋_GB2312"/>
          <w:b w:val="0"/>
          <w:sz w:val="32"/>
        </w:rPr>
        <w:t>5.卫生健康支出(类)行政事业单位医疗(款)事业单位医疗(项):支出决算数为6.61万元，比上年决算减少7.91万元，下降54.48%,主要原因是：因退休人员医疗保险制度改革，退休人员基本医疗不再由单位缴纳，导致经费较上年减少。</w:t>
      </w:r>
    </w:p>
    <w:p w14:paraId="67B10F96">
      <w:pPr>
        <w:spacing w:line="580" w:lineRule="exact"/>
        <w:ind w:firstLine="640"/>
        <w:jc w:val="both"/>
      </w:pPr>
      <w:r>
        <w:rPr>
          <w:rFonts w:ascii="仿宋_GB2312" w:hAnsi="仿宋_GB2312" w:eastAsia="仿宋_GB2312"/>
          <w:b w:val="0"/>
          <w:sz w:val="32"/>
        </w:rPr>
        <w:t>6.商业服务业等支出(类)商业流通事务(款)事业运行(项):支出决算数为94.43万元，比上年决算减少5.90万元，下降5.88%,主要原因是：本年在职人员调入调出，人员职级不同，工资基数不同，导致人员经费较上年减少。</w:t>
      </w:r>
    </w:p>
    <w:p w14:paraId="5DE59DD8">
      <w:pPr>
        <w:spacing w:line="580" w:lineRule="exact"/>
        <w:ind w:firstLine="640"/>
        <w:jc w:val="both"/>
      </w:pPr>
      <w:r>
        <w:rPr>
          <w:rFonts w:ascii="仿宋_GB2312" w:hAnsi="仿宋_GB2312" w:eastAsia="仿宋_GB2312"/>
          <w:b w:val="0"/>
          <w:sz w:val="32"/>
        </w:rPr>
        <w:t>7.住房保障支出(类)住房改革支出(款)住房公积金(项):支出决算数为10.42万元，比上年决算增加0.70万元，增长7.20%,</w:t>
      </w:r>
      <w:r>
        <w:rPr>
          <w:rFonts w:ascii="仿宋_GB2312" w:hAnsi="仿宋_GB2312" w:eastAsia="仿宋_GB2312"/>
          <w:b w:val="0"/>
          <w:w w:val="96"/>
          <w:sz w:val="32"/>
        </w:rPr>
        <w:t>主要原因是：本年在职人员</w:t>
      </w:r>
      <w:r>
        <w:rPr>
          <w:rFonts w:hint="eastAsia" w:ascii="仿宋_GB2312" w:hAnsi="仿宋_GB2312" w:eastAsia="仿宋_GB2312"/>
          <w:b w:val="0"/>
          <w:w w:val="96"/>
          <w:sz w:val="32"/>
          <w:lang w:val="en-US" w:eastAsia="zh-CN"/>
        </w:rPr>
        <w:t>工资调增</w:t>
      </w:r>
      <w:r>
        <w:rPr>
          <w:rFonts w:ascii="仿宋_GB2312" w:hAnsi="仿宋_GB2312" w:eastAsia="仿宋_GB2312"/>
          <w:b w:val="0"/>
          <w:w w:val="96"/>
          <w:sz w:val="32"/>
        </w:rPr>
        <w:t>，住房公积金</w:t>
      </w:r>
      <w:r>
        <w:rPr>
          <w:rFonts w:hint="eastAsia" w:ascii="仿宋_GB2312" w:hAnsi="仿宋_GB2312" w:eastAsia="仿宋_GB2312"/>
          <w:b w:val="0"/>
          <w:w w:val="96"/>
          <w:sz w:val="32"/>
          <w:lang w:val="en-US" w:eastAsia="zh-CN"/>
        </w:rPr>
        <w:t>缴费</w:t>
      </w:r>
      <w:r>
        <w:rPr>
          <w:rFonts w:ascii="仿宋_GB2312" w:hAnsi="仿宋_GB2312" w:eastAsia="仿宋_GB2312"/>
          <w:b w:val="0"/>
          <w:w w:val="96"/>
          <w:sz w:val="32"/>
        </w:rPr>
        <w:t>较上年增加。</w:t>
      </w:r>
    </w:p>
    <w:p w14:paraId="37409478">
      <w:pPr>
        <w:spacing w:line="640" w:lineRule="exact"/>
        <w:ind w:firstLine="640"/>
        <w:jc w:val="both"/>
        <w:outlineLvl w:val="2"/>
      </w:pPr>
      <w:r>
        <w:rPr>
          <w:rFonts w:ascii="黑体" w:hAnsi="黑体" w:eastAsia="黑体"/>
          <w:sz w:val="32"/>
        </w:rPr>
        <w:t>六、一般公共预算财政拨款基本支出决算情况说明</w:t>
      </w:r>
    </w:p>
    <w:p w14:paraId="726EA784">
      <w:pPr>
        <w:spacing w:line="580" w:lineRule="exact"/>
        <w:ind w:firstLine="640"/>
        <w:jc w:val="both"/>
      </w:pPr>
      <w:r>
        <w:rPr>
          <w:rFonts w:ascii="仿宋_GB2312" w:hAnsi="仿宋_GB2312" w:eastAsia="仿宋_GB2312"/>
          <w:b w:val="0"/>
          <w:sz w:val="32"/>
        </w:rPr>
        <w:t>2024年度一般公共预算财政拨款基本支出142.65万元，其中：</w:t>
      </w:r>
      <w:r>
        <w:rPr>
          <w:rFonts w:ascii="仿宋_GB2312" w:hAnsi="仿宋_GB2312" w:eastAsia="仿宋_GB2312"/>
          <w:b/>
          <w:sz w:val="32"/>
        </w:rPr>
        <w:t>人员经费140.39万元，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w:t>
      </w:r>
    </w:p>
    <w:p w14:paraId="26728B58">
      <w:pPr>
        <w:spacing w:line="580" w:lineRule="exact"/>
        <w:ind w:firstLine="640"/>
        <w:jc w:val="both"/>
      </w:pPr>
      <w:r>
        <w:rPr>
          <w:rFonts w:ascii="仿宋_GB2312" w:hAnsi="仿宋_GB2312" w:eastAsia="仿宋_GB2312"/>
          <w:b/>
          <w:sz w:val="32"/>
        </w:rPr>
        <w:t>公用经费2.26万元，</w:t>
      </w:r>
      <w:r>
        <w:rPr>
          <w:rFonts w:ascii="仿宋_GB2312" w:hAnsi="仿宋_GB2312" w:eastAsia="仿宋_GB2312"/>
          <w:b w:val="0"/>
          <w:sz w:val="32"/>
        </w:rPr>
        <w:t>包括：办公费、水费、电费、邮电费、取暖费、工会经费、福利费。</w:t>
      </w:r>
    </w:p>
    <w:p w14:paraId="49696CB5">
      <w:pPr>
        <w:spacing w:line="640" w:lineRule="exact"/>
        <w:ind w:firstLine="640"/>
        <w:jc w:val="both"/>
        <w:outlineLvl w:val="2"/>
      </w:pPr>
      <w:r>
        <w:rPr>
          <w:rFonts w:ascii="黑体" w:hAnsi="黑体" w:eastAsia="黑体"/>
          <w:sz w:val="32"/>
        </w:rPr>
        <w:t>七、政府性基金预算财政拨款收入支出决算情况说明</w:t>
      </w:r>
    </w:p>
    <w:p w14:paraId="3B93E5C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67870EE">
      <w:pPr>
        <w:spacing w:line="640" w:lineRule="exact"/>
        <w:ind w:firstLine="640"/>
        <w:jc w:val="both"/>
        <w:outlineLvl w:val="2"/>
      </w:pPr>
      <w:r>
        <w:rPr>
          <w:rFonts w:ascii="黑体" w:hAnsi="黑体" w:eastAsia="黑体"/>
          <w:sz w:val="32"/>
        </w:rPr>
        <w:t>八、国有资本经营预算财政拨款收入支出决算情况说明</w:t>
      </w:r>
    </w:p>
    <w:p w14:paraId="2E0C43B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BC5C2F">
      <w:pPr>
        <w:spacing w:line="640" w:lineRule="exact"/>
        <w:ind w:firstLine="640"/>
        <w:jc w:val="both"/>
        <w:outlineLvl w:val="2"/>
      </w:pPr>
      <w:r>
        <w:rPr>
          <w:rFonts w:ascii="黑体" w:hAnsi="黑体" w:eastAsia="黑体"/>
          <w:sz w:val="32"/>
        </w:rPr>
        <w:t>九、财政拨款“三公”经费支出决算情况说明</w:t>
      </w:r>
    </w:p>
    <w:p w14:paraId="2BF53EF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08EFAD9">
      <w:pPr>
        <w:spacing w:line="580" w:lineRule="exact"/>
        <w:ind w:firstLine="640"/>
        <w:jc w:val="both"/>
      </w:pPr>
      <w:r>
        <w:rPr>
          <w:rFonts w:ascii="仿宋_GB2312" w:hAnsi="仿宋_GB2312" w:eastAsia="仿宋_GB2312"/>
          <w:b/>
          <w:sz w:val="32"/>
        </w:rPr>
        <w:t>具体情况如下：</w:t>
      </w:r>
    </w:p>
    <w:p w14:paraId="6219526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3D3D3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FAD322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F1C71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A2DC429">
      <w:pPr>
        <w:spacing w:line="640" w:lineRule="exact"/>
        <w:ind w:firstLine="640"/>
        <w:jc w:val="both"/>
        <w:outlineLvl w:val="2"/>
      </w:pPr>
      <w:r>
        <w:rPr>
          <w:rFonts w:ascii="黑体" w:hAnsi="黑体" w:eastAsia="黑体"/>
          <w:sz w:val="32"/>
        </w:rPr>
        <w:t>十、其他重要事项的情况说明</w:t>
      </w:r>
    </w:p>
    <w:p w14:paraId="2275C029">
      <w:pPr>
        <w:spacing w:line="640" w:lineRule="exact"/>
        <w:ind w:firstLine="640"/>
        <w:jc w:val="both"/>
        <w:outlineLvl w:val="3"/>
      </w:pPr>
      <w:r>
        <w:rPr>
          <w:rFonts w:ascii="楷体_GB2312" w:hAnsi="楷体_GB2312" w:eastAsia="楷体_GB2312"/>
          <w:b/>
          <w:sz w:val="32"/>
        </w:rPr>
        <w:t>（一）机关运行经费及公用经费支出情况</w:t>
      </w:r>
    </w:p>
    <w:p w14:paraId="25E093F3">
      <w:pPr>
        <w:spacing w:line="580" w:lineRule="exact"/>
        <w:ind w:firstLine="640"/>
        <w:jc w:val="both"/>
      </w:pPr>
      <w:r>
        <w:rPr>
          <w:rFonts w:ascii="仿宋_GB2312" w:hAnsi="仿宋_GB2312" w:eastAsia="仿宋_GB2312"/>
          <w:b w:val="0"/>
          <w:sz w:val="32"/>
        </w:rPr>
        <w:t>2024年度霍城县供销合作社联合社（事业单位）公用经费支出2.26万元，比上年减少0.67万元，下降22.87%，主要原因是：严格控制公用经费，合理节约办公用品，减少不必要开支。</w:t>
      </w:r>
    </w:p>
    <w:p w14:paraId="0B7B1FD2">
      <w:pPr>
        <w:spacing w:line="640" w:lineRule="exact"/>
        <w:ind w:firstLine="640"/>
        <w:jc w:val="both"/>
        <w:outlineLvl w:val="3"/>
      </w:pPr>
      <w:r>
        <w:rPr>
          <w:rFonts w:ascii="楷体_GB2312" w:hAnsi="楷体_GB2312" w:eastAsia="楷体_GB2312"/>
          <w:b/>
          <w:sz w:val="32"/>
        </w:rPr>
        <w:t>（二）政府采购情况</w:t>
      </w:r>
    </w:p>
    <w:p w14:paraId="41CD5CEF">
      <w:pPr>
        <w:spacing w:line="580" w:lineRule="exact"/>
        <w:ind w:firstLine="640"/>
        <w:jc w:val="both"/>
      </w:pPr>
      <w:r>
        <w:rPr>
          <w:rFonts w:ascii="仿宋_GB2312" w:hAnsi="仿宋_GB2312" w:eastAsia="仿宋_GB2312"/>
          <w:b w:val="0"/>
          <w:sz w:val="32"/>
        </w:rPr>
        <w:t>2024年度政府采购支出总额0.11万元，其中：政府采购货物支出0.11万元、政府采购工程支出0.00万元、政府采购服务支出0.00万元。</w:t>
      </w:r>
    </w:p>
    <w:p w14:paraId="7BD81807">
      <w:pPr>
        <w:spacing w:line="580" w:lineRule="exact"/>
        <w:ind w:firstLine="640"/>
        <w:jc w:val="both"/>
      </w:pPr>
      <w:r>
        <w:rPr>
          <w:rFonts w:ascii="仿宋_GB2312" w:hAnsi="仿宋_GB2312" w:eastAsia="仿宋_GB2312"/>
          <w:b w:val="0"/>
          <w:sz w:val="32"/>
        </w:rPr>
        <w:t>授予中小企业合同金额0.11万元，占政府采购支出总额的100.00%，其中：授予小微企业合同金额0.11万元，占政府采购支出总额的100.00%。</w:t>
      </w:r>
    </w:p>
    <w:p w14:paraId="77C65813">
      <w:pPr>
        <w:spacing w:line="640" w:lineRule="exact"/>
        <w:ind w:firstLine="640"/>
        <w:jc w:val="both"/>
        <w:outlineLvl w:val="3"/>
      </w:pPr>
      <w:r>
        <w:rPr>
          <w:rFonts w:ascii="楷体_GB2312" w:hAnsi="楷体_GB2312" w:eastAsia="楷体_GB2312"/>
          <w:b/>
          <w:sz w:val="32"/>
        </w:rPr>
        <w:t>（三）国有资产占用情况说明</w:t>
      </w:r>
    </w:p>
    <w:p w14:paraId="2BE60C7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6DCB047">
      <w:pPr>
        <w:spacing w:line="640" w:lineRule="exact"/>
        <w:ind w:firstLine="640"/>
        <w:jc w:val="both"/>
        <w:outlineLvl w:val="2"/>
      </w:pPr>
      <w:r>
        <w:rPr>
          <w:rFonts w:ascii="黑体" w:hAnsi="黑体" w:eastAsia="黑体"/>
          <w:sz w:val="32"/>
        </w:rPr>
        <w:t>十一、预算绩效的情况说明</w:t>
      </w:r>
    </w:p>
    <w:p w14:paraId="6BDA09A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142.64万元，实际执行总额142.64万元；预算绩效评价项目0个，全年预算数0.00万元，全年执行数0.00万元。预算绩效管理取得的成效：一是本部门加强预算绩效管理，规范财务制度，健全完整的各项管理制度；二是有效保障了</w:t>
      </w:r>
      <w:r>
        <w:rPr>
          <w:rFonts w:hint="eastAsia" w:ascii="仿宋_GB2312" w:hAnsi="仿宋_GB2312" w:eastAsia="仿宋_GB2312"/>
          <w:b w:val="0"/>
          <w:sz w:val="32"/>
          <w:lang w:eastAsia="zh-CN"/>
        </w:rPr>
        <w:t>本单位</w:t>
      </w:r>
      <w:r>
        <w:rPr>
          <w:rFonts w:ascii="仿宋_GB2312" w:hAnsi="仿宋_GB2312" w:eastAsia="仿宋_GB2312"/>
          <w:b w:val="0"/>
          <w:sz w:val="32"/>
        </w:rPr>
        <w:t>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w:t>
      </w:r>
      <w:r>
        <w:rPr>
          <w:rFonts w:hint="eastAsia" w:ascii="仿宋_GB2312" w:hAnsi="仿宋_GB2312" w:eastAsia="仿宋_GB2312"/>
          <w:b w:val="0"/>
          <w:sz w:val="32"/>
          <w:lang w:eastAsia="zh-CN"/>
        </w:rPr>
        <w:t>好地</w:t>
      </w:r>
      <w:r>
        <w:rPr>
          <w:rFonts w:ascii="仿宋_GB2312" w:hAnsi="仿宋_GB2312" w:eastAsia="仿宋_GB2312"/>
          <w:b w:val="0"/>
          <w:sz w:val="32"/>
        </w:rPr>
        <w:t>促进供销事业发展。发现的问题及原因：一是内部管理制度不完善，内部管理流程不清晰；二是预算执行完成后的绩效管理还有待完善和加强。下一步改进措施：一是预算执行完成后的绩效管理还有待完善和加强；二是逐步实现全面预算管理，加强事前控制，及时分析总结及评估，不断提高预算编制的准确性，提高可操作性。具体附整体支出绩效自评表。</w:t>
      </w:r>
    </w:p>
    <w:p w14:paraId="5DAAB73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A014CCD">
        <w:tc>
          <w:tcPr>
            <w:tcW w:w="8840" w:type="dxa"/>
            <w:gridSpan w:val="8"/>
            <w:vAlign w:val="center"/>
          </w:tcPr>
          <w:p w14:paraId="45738E0E">
            <w:pPr>
              <w:jc w:val="center"/>
            </w:pPr>
            <w:r>
              <w:rPr>
                <w:rFonts w:ascii="宋体" w:hAnsi="宋体" w:eastAsia="宋体"/>
                <w:sz w:val="24"/>
              </w:rPr>
              <w:t>单位整体支出绩效自评表</w:t>
            </w:r>
          </w:p>
        </w:tc>
      </w:tr>
      <w:tr w14:paraId="51891CA0">
        <w:tblPrEx>
          <w:tblCellMar>
            <w:top w:w="0" w:type="dxa"/>
            <w:left w:w="108" w:type="dxa"/>
            <w:bottom w:w="0" w:type="dxa"/>
            <w:right w:w="108" w:type="dxa"/>
          </w:tblCellMar>
        </w:tblPrEx>
        <w:tc>
          <w:tcPr>
            <w:tcW w:w="8840" w:type="dxa"/>
            <w:gridSpan w:val="8"/>
            <w:vAlign w:val="center"/>
          </w:tcPr>
          <w:p w14:paraId="5FD4867C">
            <w:pPr>
              <w:jc w:val="center"/>
            </w:pPr>
            <w:r>
              <w:rPr>
                <w:rFonts w:ascii="宋体" w:hAnsi="宋体" w:eastAsia="宋体"/>
                <w:sz w:val="24"/>
              </w:rPr>
              <w:t>（2024年度）</w:t>
            </w:r>
          </w:p>
        </w:tc>
      </w:tr>
      <w:tr w14:paraId="01DAD4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D074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FA912">
            <w:pPr>
              <w:jc w:val="center"/>
            </w:pPr>
            <w:r>
              <w:rPr>
                <w:rFonts w:ascii="宋体" w:hAnsi="宋体" w:eastAsia="宋体"/>
                <w:sz w:val="16"/>
              </w:rPr>
              <w:t>霍城县供销合作社联合社</w:t>
            </w:r>
          </w:p>
        </w:tc>
      </w:tr>
      <w:tr w14:paraId="7F932D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33D1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003D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54CA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AA0D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F350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CD57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7A7F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7D6DD">
            <w:pPr>
              <w:jc w:val="center"/>
            </w:pPr>
            <w:r>
              <w:rPr>
                <w:rFonts w:ascii="宋体" w:hAnsi="宋体" w:eastAsia="宋体"/>
                <w:sz w:val="16"/>
              </w:rPr>
              <w:t>得分</w:t>
            </w:r>
          </w:p>
        </w:tc>
      </w:tr>
      <w:tr w14:paraId="0D1F9E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B453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7262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DB007">
            <w:pPr>
              <w:jc w:val="center"/>
            </w:pPr>
            <w:r>
              <w:rPr>
                <w:rFonts w:ascii="宋体" w:hAnsi="宋体" w:eastAsia="宋体"/>
                <w:sz w:val="16"/>
              </w:rPr>
              <w:t>132.10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7B2FD">
            <w:pPr>
              <w:jc w:val="center"/>
            </w:pPr>
            <w:r>
              <w:rPr>
                <w:rFonts w:ascii="宋体" w:hAnsi="宋体" w:eastAsia="宋体"/>
                <w:sz w:val="16"/>
              </w:rPr>
              <w:t>142.64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D0488">
            <w:pPr>
              <w:jc w:val="center"/>
            </w:pPr>
            <w:r>
              <w:rPr>
                <w:rFonts w:ascii="宋体" w:hAnsi="宋体" w:eastAsia="宋体"/>
                <w:sz w:val="16"/>
              </w:rPr>
              <w:t>142.64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E1A4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512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57649">
            <w:pPr>
              <w:jc w:val="center"/>
            </w:pPr>
            <w:r>
              <w:rPr>
                <w:rFonts w:ascii="宋体" w:hAnsi="宋体" w:eastAsia="宋体"/>
                <w:sz w:val="16"/>
              </w:rPr>
              <w:t>10</w:t>
            </w:r>
          </w:p>
        </w:tc>
      </w:tr>
      <w:tr w14:paraId="130FCA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651F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9BED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74B2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183B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135B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3A5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4EC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D80EA">
            <w:pPr>
              <w:jc w:val="center"/>
            </w:pPr>
            <w:r>
              <w:rPr>
                <w:rFonts w:ascii="宋体" w:hAnsi="宋体" w:eastAsia="宋体"/>
                <w:sz w:val="16"/>
              </w:rPr>
              <w:t>-</w:t>
            </w:r>
          </w:p>
        </w:tc>
      </w:tr>
      <w:tr w14:paraId="5A0F75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F0D4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AA4F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638CD">
            <w:pPr>
              <w:jc w:val="center"/>
            </w:pPr>
            <w:r>
              <w:rPr>
                <w:rFonts w:ascii="宋体" w:hAnsi="宋体" w:eastAsia="宋体"/>
                <w:sz w:val="16"/>
              </w:rPr>
              <w:t>132.10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F2306">
            <w:pPr>
              <w:jc w:val="center"/>
            </w:pPr>
            <w:r>
              <w:rPr>
                <w:rFonts w:ascii="宋体" w:hAnsi="宋体" w:eastAsia="宋体"/>
                <w:sz w:val="16"/>
              </w:rPr>
              <w:t>142.64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087B2">
            <w:pPr>
              <w:jc w:val="center"/>
            </w:pPr>
            <w:r>
              <w:rPr>
                <w:rFonts w:ascii="宋体" w:hAnsi="宋体" w:eastAsia="宋体"/>
                <w:sz w:val="16"/>
              </w:rPr>
              <w:t>142.64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6A3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85FB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83AB8">
            <w:pPr>
              <w:jc w:val="center"/>
            </w:pPr>
            <w:r>
              <w:rPr>
                <w:rFonts w:ascii="宋体" w:hAnsi="宋体" w:eastAsia="宋体"/>
                <w:sz w:val="16"/>
              </w:rPr>
              <w:t>-</w:t>
            </w:r>
          </w:p>
        </w:tc>
      </w:tr>
      <w:tr w14:paraId="3F4FA0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9997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E5E7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AB4E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EDD7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EF23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9CF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21C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8860B">
            <w:pPr>
              <w:jc w:val="center"/>
            </w:pPr>
            <w:r>
              <w:rPr>
                <w:rFonts w:ascii="宋体" w:hAnsi="宋体" w:eastAsia="宋体"/>
                <w:sz w:val="16"/>
              </w:rPr>
              <w:t>-</w:t>
            </w:r>
          </w:p>
        </w:tc>
      </w:tr>
      <w:tr w14:paraId="3B5D652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A5B0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71806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B8BA39">
            <w:pPr>
              <w:jc w:val="center"/>
            </w:pPr>
            <w:r>
              <w:rPr>
                <w:rFonts w:ascii="宋体" w:hAnsi="宋体" w:eastAsia="宋体"/>
                <w:sz w:val="16"/>
              </w:rPr>
              <w:t>实际完成情况</w:t>
            </w:r>
          </w:p>
        </w:tc>
      </w:tr>
      <w:tr w14:paraId="4AD06D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EAB9A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D20E0B">
            <w:pPr>
              <w:jc w:val="both"/>
            </w:pPr>
            <w:r>
              <w:rPr>
                <w:rFonts w:ascii="宋体" w:hAnsi="宋体" w:eastAsia="宋体"/>
                <w:sz w:val="16"/>
              </w:rPr>
              <w:t>坚持以习近平新时代中国特色社会主义思想为指导，全面贯彻落实党的二十大精神，以服务“三农”为宗旨，围绕乡村振兴战略，进一步谋划好霍城供销社深化综合改革工作，服务于县域农业产业结构，大力推进农产品现代流通网络建设，规范发展农民专业合作经济组织，加强基层社建设，提升基层供销社为农服务能力，着力加强霍城县供销系统自身综合实力，服务、带动农民专业合作社的发展,巩固党和政府密切联系农民的桥梁纽带，在更好建设“两优一高”新霍城征程中发光出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94155B">
            <w:pPr>
              <w:jc w:val="both"/>
            </w:pPr>
            <w:r>
              <w:rPr>
                <w:rFonts w:ascii="宋体" w:hAnsi="宋体" w:eastAsia="宋体"/>
                <w:sz w:val="16"/>
              </w:rPr>
              <w:t>2024年霍城县供销社以服务“三农”服务为宗旨，进一步谋划好霍城供销社深化综合改革工作，服务于县域农业产业结构，保障农资供应，确保粮食安全，积极改造基层社、规范提升农民专业合作社、改造提升农村综合服务社。为发展新型基层组织、加大为农服务，提高为农服务化水平做好为“三农”服务工作。</w:t>
            </w:r>
          </w:p>
        </w:tc>
      </w:tr>
      <w:tr w14:paraId="3C4D6F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4E40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688B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11E9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CC57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4CE2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441B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6089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5A903">
            <w:pPr>
              <w:jc w:val="center"/>
            </w:pPr>
            <w:r>
              <w:rPr>
                <w:rFonts w:ascii="宋体" w:hAnsi="宋体" w:eastAsia="宋体"/>
                <w:sz w:val="16"/>
              </w:rPr>
              <w:t>得分</w:t>
            </w:r>
          </w:p>
        </w:tc>
      </w:tr>
      <w:tr w14:paraId="766B90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EFAF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894C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98822">
            <w:pPr>
              <w:jc w:val="center"/>
            </w:pPr>
            <w:r>
              <w:rPr>
                <w:rFonts w:ascii="宋体" w:hAnsi="宋体" w:eastAsia="宋体"/>
                <w:sz w:val="16"/>
              </w:rPr>
              <w:t>改造提升基层社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20BD0">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333C5">
            <w:pPr>
              <w:jc w:val="center"/>
            </w:pPr>
            <w:r>
              <w:rPr>
                <w:rFonts w:ascii="宋体" w:hAnsi="宋体" w:eastAsia="宋体"/>
                <w:sz w:val="16"/>
              </w:rPr>
              <w:t>霍城县供销社工作职能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46593">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3A40A">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5BFBF">
            <w:pPr>
              <w:jc w:val="center"/>
            </w:pPr>
            <w:r>
              <w:rPr>
                <w:rFonts w:ascii="宋体" w:hAnsi="宋体" w:eastAsia="宋体"/>
                <w:sz w:val="16"/>
              </w:rPr>
              <w:t>30</w:t>
            </w:r>
          </w:p>
        </w:tc>
      </w:tr>
      <w:tr w14:paraId="615CE6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78B39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072B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5C658">
            <w:pPr>
              <w:jc w:val="center"/>
            </w:pPr>
            <w:r>
              <w:rPr>
                <w:rFonts w:ascii="宋体" w:hAnsi="宋体" w:eastAsia="宋体"/>
                <w:sz w:val="16"/>
              </w:rPr>
              <w:t>规范提升农民专业合作社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C4D43">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99B0A">
            <w:pPr>
              <w:jc w:val="center"/>
            </w:pPr>
            <w:r>
              <w:rPr>
                <w:rFonts w:ascii="宋体" w:hAnsi="宋体" w:eastAsia="宋体"/>
                <w:sz w:val="16"/>
              </w:rPr>
              <w:t>霍城县供销社工作职能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71BCD">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548C8">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AD643">
            <w:pPr>
              <w:jc w:val="center"/>
            </w:pPr>
            <w:r>
              <w:rPr>
                <w:rFonts w:ascii="宋体" w:hAnsi="宋体" w:eastAsia="宋体"/>
                <w:sz w:val="16"/>
              </w:rPr>
              <w:t>30</w:t>
            </w:r>
          </w:p>
        </w:tc>
      </w:tr>
      <w:tr w14:paraId="75776D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A2A95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923F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E458A">
            <w:pPr>
              <w:jc w:val="center"/>
            </w:pPr>
            <w:r>
              <w:rPr>
                <w:rFonts w:ascii="宋体" w:hAnsi="宋体" w:eastAsia="宋体"/>
                <w:sz w:val="16"/>
              </w:rPr>
              <w:t>改造提升农村综合服务社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0ECC5">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6C43E">
            <w:pPr>
              <w:jc w:val="center"/>
            </w:pPr>
            <w:r>
              <w:rPr>
                <w:rFonts w:ascii="宋体" w:hAnsi="宋体" w:eastAsia="宋体"/>
                <w:sz w:val="16"/>
              </w:rPr>
              <w:t>霍城县供销社工作职能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CFC86">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4A82C">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E8D46">
            <w:pPr>
              <w:jc w:val="center"/>
            </w:pPr>
            <w:r>
              <w:rPr>
                <w:rFonts w:ascii="宋体" w:hAnsi="宋体" w:eastAsia="宋体"/>
                <w:sz w:val="16"/>
              </w:rPr>
              <w:t>30</w:t>
            </w:r>
          </w:p>
        </w:tc>
      </w:tr>
    </w:tbl>
    <w:p w14:paraId="1E5ACC28">
      <w:r>
        <w:br w:type="page"/>
      </w:r>
    </w:p>
    <w:p w14:paraId="4284C260">
      <w:pPr>
        <w:spacing w:line="640" w:lineRule="exact"/>
        <w:ind w:firstLine="640"/>
        <w:jc w:val="both"/>
        <w:outlineLvl w:val="2"/>
      </w:pPr>
      <w:r>
        <w:rPr>
          <w:rFonts w:ascii="黑体" w:hAnsi="黑体" w:eastAsia="黑体"/>
          <w:sz w:val="32"/>
        </w:rPr>
        <w:t>十二、其他需说明的事项</w:t>
      </w:r>
    </w:p>
    <w:p w14:paraId="7F837FE0">
      <w:pPr>
        <w:spacing w:line="580" w:lineRule="exact"/>
        <w:ind w:firstLine="640"/>
        <w:jc w:val="both"/>
      </w:pPr>
      <w:r>
        <w:rPr>
          <w:rFonts w:ascii="仿宋_GB2312" w:hAnsi="仿宋_GB2312" w:eastAsia="仿宋_GB2312"/>
          <w:b w:val="0"/>
          <w:sz w:val="32"/>
        </w:rPr>
        <w:t>本单位无其他需说明的事项。</w:t>
      </w:r>
    </w:p>
    <w:p w14:paraId="3D46DD3D">
      <w:r>
        <w:br w:type="page"/>
      </w:r>
    </w:p>
    <w:p w14:paraId="4DBF5E0B">
      <w:pPr>
        <w:spacing w:line="240" w:lineRule="auto"/>
        <w:jc w:val="center"/>
        <w:outlineLvl w:val="1"/>
      </w:pPr>
      <w:r>
        <w:rPr>
          <w:rFonts w:ascii="黑体" w:hAnsi="黑体" w:eastAsia="黑体"/>
          <w:sz w:val="32"/>
        </w:rPr>
        <w:t>第三部分 专业名词解释</w:t>
      </w:r>
    </w:p>
    <w:p w14:paraId="2E70FBE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4A04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94145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3E004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F0A5C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BF247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E9778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F6A42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BB241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9A33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A7871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B41D36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229EE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AF862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6AF8AFE">
      <w:r>
        <w:br w:type="page"/>
      </w:r>
    </w:p>
    <w:p w14:paraId="603761CD">
      <w:pPr>
        <w:spacing w:line="240" w:lineRule="auto"/>
        <w:jc w:val="center"/>
        <w:outlineLvl w:val="1"/>
      </w:pPr>
      <w:r>
        <w:rPr>
          <w:rFonts w:ascii="黑体" w:hAnsi="黑体" w:eastAsia="黑体"/>
          <w:sz w:val="32"/>
        </w:rPr>
        <w:t>第四部分 部门决算报表（见附表）</w:t>
      </w:r>
    </w:p>
    <w:p w14:paraId="2FA35D5A">
      <w:pPr>
        <w:spacing w:line="240" w:lineRule="auto"/>
        <w:ind w:firstLine="640"/>
        <w:jc w:val="both"/>
      </w:pPr>
      <w:r>
        <w:rPr>
          <w:rFonts w:ascii="仿宋_GB2312" w:hAnsi="仿宋_GB2312" w:eastAsia="仿宋_GB2312"/>
          <w:b w:val="0"/>
          <w:sz w:val="32"/>
        </w:rPr>
        <w:t>一、《收入支出决算总表》</w:t>
      </w:r>
    </w:p>
    <w:p w14:paraId="4D0DBF72">
      <w:pPr>
        <w:spacing w:line="240" w:lineRule="auto"/>
        <w:ind w:firstLine="640"/>
        <w:jc w:val="both"/>
      </w:pPr>
      <w:r>
        <w:rPr>
          <w:rFonts w:ascii="仿宋_GB2312" w:hAnsi="仿宋_GB2312" w:eastAsia="仿宋_GB2312"/>
          <w:b w:val="0"/>
          <w:sz w:val="32"/>
        </w:rPr>
        <w:t>二、《收入决算表》</w:t>
      </w:r>
    </w:p>
    <w:p w14:paraId="331E5B53">
      <w:pPr>
        <w:spacing w:line="240" w:lineRule="auto"/>
        <w:ind w:firstLine="640"/>
        <w:jc w:val="both"/>
      </w:pPr>
      <w:r>
        <w:rPr>
          <w:rFonts w:ascii="仿宋_GB2312" w:hAnsi="仿宋_GB2312" w:eastAsia="仿宋_GB2312"/>
          <w:b w:val="0"/>
          <w:sz w:val="32"/>
        </w:rPr>
        <w:t>三、《支出决算表》</w:t>
      </w:r>
    </w:p>
    <w:p w14:paraId="37D28AAF">
      <w:pPr>
        <w:spacing w:line="240" w:lineRule="auto"/>
        <w:ind w:firstLine="640"/>
        <w:jc w:val="both"/>
      </w:pPr>
      <w:r>
        <w:rPr>
          <w:rFonts w:ascii="仿宋_GB2312" w:hAnsi="仿宋_GB2312" w:eastAsia="仿宋_GB2312"/>
          <w:b w:val="0"/>
          <w:sz w:val="32"/>
        </w:rPr>
        <w:t>四、《财政拨款收入支出决算总表》</w:t>
      </w:r>
    </w:p>
    <w:p w14:paraId="7C5C1D72">
      <w:pPr>
        <w:spacing w:line="240" w:lineRule="auto"/>
        <w:ind w:firstLine="640"/>
        <w:jc w:val="both"/>
      </w:pPr>
      <w:r>
        <w:rPr>
          <w:rFonts w:ascii="仿宋_GB2312" w:hAnsi="仿宋_GB2312" w:eastAsia="仿宋_GB2312"/>
          <w:b w:val="0"/>
          <w:sz w:val="32"/>
        </w:rPr>
        <w:t>五、《一般公共预算财政拨款支出决算表》</w:t>
      </w:r>
    </w:p>
    <w:p w14:paraId="42EAA694">
      <w:pPr>
        <w:spacing w:line="240" w:lineRule="auto"/>
        <w:ind w:firstLine="640"/>
        <w:jc w:val="both"/>
      </w:pPr>
      <w:r>
        <w:rPr>
          <w:rFonts w:ascii="仿宋_GB2312" w:hAnsi="仿宋_GB2312" w:eastAsia="仿宋_GB2312"/>
          <w:b w:val="0"/>
          <w:sz w:val="32"/>
        </w:rPr>
        <w:t>六、《一般公共预算财政拨款基本支出决算表》</w:t>
      </w:r>
    </w:p>
    <w:p w14:paraId="0749E574">
      <w:pPr>
        <w:spacing w:line="240" w:lineRule="auto"/>
        <w:ind w:firstLine="640"/>
        <w:jc w:val="both"/>
      </w:pPr>
      <w:r>
        <w:rPr>
          <w:rFonts w:ascii="仿宋_GB2312" w:hAnsi="仿宋_GB2312" w:eastAsia="仿宋_GB2312"/>
          <w:b w:val="0"/>
          <w:sz w:val="32"/>
        </w:rPr>
        <w:t>七、《政府性基金预算财政拨款收入支出决算表》</w:t>
      </w:r>
    </w:p>
    <w:p w14:paraId="72E0C5EC">
      <w:pPr>
        <w:spacing w:line="240" w:lineRule="auto"/>
        <w:ind w:firstLine="640"/>
        <w:jc w:val="both"/>
      </w:pPr>
      <w:r>
        <w:rPr>
          <w:rFonts w:ascii="仿宋_GB2312" w:hAnsi="仿宋_GB2312" w:eastAsia="仿宋_GB2312"/>
          <w:b w:val="0"/>
          <w:sz w:val="32"/>
        </w:rPr>
        <w:t>八、《国有资本经营预算财政拨款收入支出决算表》</w:t>
      </w:r>
    </w:p>
    <w:p w14:paraId="1629929F">
      <w:pPr>
        <w:spacing w:line="240" w:lineRule="auto"/>
        <w:ind w:firstLine="640"/>
        <w:jc w:val="both"/>
      </w:pPr>
      <w:r>
        <w:rPr>
          <w:rFonts w:ascii="仿宋_GB2312" w:hAnsi="仿宋_GB2312" w:eastAsia="仿宋_GB2312"/>
          <w:b w:val="0"/>
          <w:sz w:val="32"/>
        </w:rPr>
        <w:t>九、《财政拨款“三公”经费支出决算表》</w:t>
      </w:r>
    </w:p>
    <w:p w14:paraId="04D17C5F">
      <w:pPr>
        <w:spacing w:line="240" w:lineRule="auto"/>
        <w:ind w:firstLine="640"/>
        <w:jc w:val="both"/>
      </w:pPr>
    </w:p>
    <w:p w14:paraId="43D54CBB">
      <w:pPr>
        <w:spacing w:line="240" w:lineRule="auto"/>
        <w:ind w:firstLine="640"/>
        <w:jc w:val="both"/>
      </w:pPr>
    </w:p>
    <w:p w14:paraId="65999D0D">
      <w:pPr>
        <w:spacing w:line="240" w:lineRule="auto"/>
        <w:ind w:firstLine="640"/>
        <w:jc w:val="both"/>
      </w:pPr>
    </w:p>
    <w:p w14:paraId="55C79C1C">
      <w:pPr>
        <w:spacing w:line="240" w:lineRule="auto"/>
        <w:ind w:firstLine="640"/>
        <w:jc w:val="both"/>
      </w:pPr>
    </w:p>
    <w:p w14:paraId="76C03D4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5543A4-49A1-42C4-AE28-8385AB5F38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ECA13BE-2010-4F68-B876-EA60A6A4A407}"/>
  </w:font>
  <w:font w:name="仿宋_GB2312">
    <w:panose1 w:val="02010609030101010101"/>
    <w:charset w:val="86"/>
    <w:family w:val="modern"/>
    <w:pitch w:val="default"/>
    <w:sig w:usb0="00000001" w:usb1="080E0000" w:usb2="00000000" w:usb3="00000000" w:csb0="00040000" w:csb1="00000000"/>
    <w:embedRegular r:id="rId3" w:fontKey="{FB35A3FC-F434-441B-BE37-09D02BCAF4DD}"/>
  </w:font>
  <w:font w:name="楷体_GB2312">
    <w:panose1 w:val="02010609030101010101"/>
    <w:charset w:val="86"/>
    <w:family w:val="auto"/>
    <w:pitch w:val="default"/>
    <w:sig w:usb0="00000001" w:usb1="080E0000" w:usb2="00000000" w:usb3="00000000" w:csb0="00040000" w:csb1="00000000"/>
    <w:embedRegular r:id="rId4" w:fontKey="{8D3AD0AE-F6A2-4B62-B0A5-F789CA905C7B}"/>
  </w:font>
  <w:font w:name="WPSEMBED3">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563038"/>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0560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4688</Words>
  <Characters>5310</Characters>
  <Lines>0</Lines>
  <Paragraphs>0</Paragraphs>
  <TotalTime>10</TotalTime>
  <ScaleCrop>false</ScaleCrop>
  <LinksUpToDate>false</LinksUpToDate>
  <CharactersWithSpaces>5318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2025-09-25T05:05:20Z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