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霍城县人民政府外事办公室2024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3107BB5">
      <w:r>
        <w:br w:type="page"/>
      </w:r>
    </w:p>
    <w:p w14:paraId="60D2EBE4">
      <w:pPr>
        <w:spacing w:line="640" w:lineRule="exact"/>
        <w:jc w:val="center"/>
        <w:outlineLvl w:val="1"/>
      </w:pPr>
      <w:r>
        <w:rPr>
          <w:rFonts w:ascii="黑体" w:hAnsi="黑体" w:eastAsia="黑体"/>
          <w:sz w:val="32"/>
        </w:rPr>
        <w:t>第一部分 单位概况</w:t>
      </w:r>
    </w:p>
    <w:p w14:paraId="48E97CB8">
      <w:pPr>
        <w:spacing w:line="640" w:lineRule="exact"/>
        <w:ind w:firstLine="640"/>
        <w:jc w:val="both"/>
        <w:outlineLvl w:val="2"/>
      </w:pPr>
      <w:r>
        <w:rPr>
          <w:rFonts w:ascii="黑体" w:hAnsi="黑体" w:eastAsia="黑体"/>
          <w:sz w:val="32"/>
        </w:rPr>
        <w:t>一、主要职能</w:t>
      </w:r>
    </w:p>
    <w:p w14:paraId="2D8C5B52">
      <w:pPr>
        <w:spacing w:line="580" w:lineRule="exact"/>
        <w:ind w:firstLine="640"/>
        <w:jc w:val="both"/>
      </w:pPr>
      <w:r>
        <w:rPr>
          <w:rFonts w:ascii="仿宋_GB2312" w:hAnsi="仿宋_GB2312" w:eastAsia="仿宋_GB2312"/>
          <w:sz w:val="32"/>
        </w:rPr>
        <w:t>（一）贯彻执行党和国家对外工作方针、政策和有关法律、法规以及自治区、自治州、县委、县人民政府有关外事、涉外工作的指示和决定。</w:t>
      </w:r>
    </w:p>
    <w:p w14:paraId="44408BE4">
      <w:pPr>
        <w:spacing w:line="580" w:lineRule="exact"/>
        <w:ind w:firstLine="640"/>
        <w:jc w:val="both"/>
      </w:pPr>
      <w:r>
        <w:rPr>
          <w:rFonts w:ascii="仿宋_GB2312" w:hAnsi="仿宋_GB2312" w:eastAsia="仿宋_GB2312"/>
          <w:sz w:val="32"/>
        </w:rPr>
        <w:t>（二）负责县委外事工作委员会办公室的日常工作，制定我县外事工作计划，指导、协调各部门、各单位外事工作，协调处理重要涉外事务。</w:t>
      </w:r>
    </w:p>
    <w:p w14:paraId="3B5A3BD1">
      <w:pPr>
        <w:spacing w:line="580" w:lineRule="exact"/>
        <w:ind w:firstLine="640"/>
        <w:jc w:val="both"/>
      </w:pPr>
      <w:r>
        <w:rPr>
          <w:rFonts w:ascii="仿宋_GB2312" w:hAnsi="仿宋_GB2312" w:eastAsia="仿宋_GB2312"/>
          <w:sz w:val="32"/>
        </w:rPr>
        <w:t>（三）组织和管理全县对外交流交往事宜。</w:t>
      </w:r>
    </w:p>
    <w:p w14:paraId="3698E647">
      <w:pPr>
        <w:spacing w:line="580" w:lineRule="exact"/>
        <w:ind w:firstLine="640"/>
        <w:jc w:val="both"/>
      </w:pPr>
      <w:r>
        <w:rPr>
          <w:rFonts w:ascii="仿宋_GB2312" w:hAnsi="仿宋_GB2312" w:eastAsia="仿宋_GB2312"/>
          <w:sz w:val="32"/>
        </w:rPr>
        <w:t>（四）负责上级有关部门安排的国（境）外人员、记者、学者来县参观、访问、考察、采访等服务工作。</w:t>
      </w:r>
    </w:p>
    <w:p w14:paraId="7BC97C14">
      <w:pPr>
        <w:spacing w:line="580" w:lineRule="exact"/>
        <w:ind w:firstLine="640"/>
        <w:jc w:val="both"/>
      </w:pPr>
      <w:r>
        <w:rPr>
          <w:rFonts w:ascii="仿宋_GB2312" w:hAnsi="仿宋_GB2312" w:eastAsia="仿宋_GB2312"/>
          <w:sz w:val="32"/>
        </w:rPr>
        <w:t>（五）指导、协调有关部门和群众正确处理对外交往问题。律、法规以及自治区、自治州、县委、县人民政府有关外事、涉外工作的指示和决定。</w:t>
      </w:r>
    </w:p>
    <w:p w14:paraId="2A0E0463">
      <w:pPr>
        <w:spacing w:line="580" w:lineRule="exact"/>
        <w:ind w:firstLine="640"/>
        <w:jc w:val="both"/>
      </w:pPr>
      <w:r>
        <w:rPr>
          <w:rFonts w:ascii="仿宋_GB2312" w:hAnsi="仿宋_GB2312" w:eastAsia="仿宋_GB2312"/>
          <w:sz w:val="32"/>
        </w:rPr>
        <w:t>（六）负责霍城县因公出国（境）管理工作；审核、申报出国（境）人员护照、赴港澳通行证等相关资料。</w:t>
      </w:r>
    </w:p>
    <w:p w14:paraId="762C260B">
      <w:pPr>
        <w:spacing w:line="580" w:lineRule="exact"/>
        <w:ind w:firstLine="640"/>
        <w:jc w:val="both"/>
      </w:pPr>
      <w:r>
        <w:rPr>
          <w:rFonts w:ascii="仿宋_GB2312" w:hAnsi="仿宋_GB2312" w:eastAsia="仿宋_GB2312"/>
          <w:sz w:val="32"/>
        </w:rPr>
        <w:t>（七）负责外事干部的培训和管理工作。</w:t>
      </w:r>
    </w:p>
    <w:p w14:paraId="11FC3D2F">
      <w:pPr>
        <w:spacing w:line="580" w:lineRule="exact"/>
        <w:ind w:firstLine="640"/>
        <w:jc w:val="both"/>
      </w:pPr>
      <w:r>
        <w:rPr>
          <w:rFonts w:ascii="仿宋_GB2312" w:hAnsi="仿宋_GB2312" w:eastAsia="仿宋_GB2312"/>
          <w:sz w:val="32"/>
        </w:rPr>
        <w:t>（八）按照自治区外事工作中长期规划的意见建议，参与“一带一路”对外经济和发展事宜。</w:t>
      </w:r>
    </w:p>
    <w:p w14:paraId="02B37FEB">
      <w:pPr>
        <w:spacing w:line="580" w:lineRule="exact"/>
        <w:ind w:firstLine="640"/>
        <w:jc w:val="both"/>
      </w:pPr>
      <w:r>
        <w:rPr>
          <w:rFonts w:ascii="仿宋_GB2312" w:hAnsi="仿宋_GB2312" w:eastAsia="仿宋_GB2312"/>
          <w:sz w:val="32"/>
        </w:rPr>
        <w:t>（九）完成县委、县人民政府交办的其他任务。</w:t>
      </w:r>
    </w:p>
    <w:p w14:paraId="558FD559">
      <w:pPr>
        <w:spacing w:line="640" w:lineRule="exact"/>
        <w:ind w:firstLine="640"/>
        <w:jc w:val="both"/>
        <w:outlineLvl w:val="2"/>
      </w:pPr>
      <w:r>
        <w:rPr>
          <w:rFonts w:ascii="黑体" w:hAnsi="黑体" w:eastAsia="黑体"/>
          <w:sz w:val="32"/>
        </w:rPr>
        <w:t>二、机构设置及人员情况</w:t>
      </w:r>
    </w:p>
    <w:p w14:paraId="18623173">
      <w:pPr>
        <w:spacing w:line="580" w:lineRule="exact"/>
        <w:ind w:firstLine="640"/>
        <w:jc w:val="both"/>
      </w:pPr>
      <w:r>
        <w:rPr>
          <w:rFonts w:ascii="仿宋_GB2312" w:hAnsi="仿宋_GB2312" w:eastAsia="仿宋_GB2312"/>
          <w:sz w:val="32"/>
        </w:rPr>
        <w:t>霍城县人民政府外事办公室2024年度，实有人数6人，其中：在职人员4人，增加0人；离休人员0人，增加0人；退休人员2人,增加0人。</w:t>
      </w:r>
    </w:p>
    <w:p w14:paraId="0194D2C6">
      <w:pPr>
        <w:spacing w:line="580" w:lineRule="exact"/>
        <w:ind w:firstLine="640"/>
        <w:jc w:val="both"/>
      </w:pPr>
      <w:r>
        <w:rPr>
          <w:rFonts w:ascii="仿宋_GB2312" w:hAnsi="仿宋_GB2312" w:eastAsia="仿宋_GB2312"/>
          <w:sz w:val="32"/>
        </w:rPr>
        <w:t>霍城县人民政府外事办公室无下属预算单位，下设1个科室，分别是：办公室。</w:t>
      </w:r>
    </w:p>
    <w:p w14:paraId="2B5E0658">
      <w:r>
        <w:br w:type="page"/>
      </w:r>
    </w:p>
    <w:p w14:paraId="7ED55F78">
      <w:pPr>
        <w:spacing w:line="240" w:lineRule="auto"/>
        <w:jc w:val="center"/>
        <w:outlineLvl w:val="1"/>
      </w:pPr>
      <w:r>
        <w:rPr>
          <w:rFonts w:ascii="黑体" w:hAnsi="黑体" w:eastAsia="黑体"/>
          <w:sz w:val="32"/>
        </w:rPr>
        <w:t>第二部分 部门决算情况说明</w:t>
      </w:r>
    </w:p>
    <w:p w14:paraId="57B6DD63">
      <w:pPr>
        <w:spacing w:line="640" w:lineRule="exact"/>
        <w:ind w:firstLine="640"/>
        <w:jc w:val="both"/>
        <w:outlineLvl w:val="2"/>
      </w:pPr>
      <w:r>
        <w:rPr>
          <w:rFonts w:ascii="黑体" w:hAnsi="黑体" w:eastAsia="黑体"/>
          <w:sz w:val="32"/>
        </w:rPr>
        <w:t>一、收入支出决算总体情况说明</w:t>
      </w:r>
    </w:p>
    <w:p w14:paraId="0D58AD6F">
      <w:pPr>
        <w:spacing w:line="580" w:lineRule="exact"/>
        <w:ind w:firstLine="640"/>
        <w:jc w:val="both"/>
      </w:pPr>
      <w:r>
        <w:rPr>
          <w:rFonts w:ascii="仿宋_GB2312" w:hAnsi="仿宋_GB2312" w:eastAsia="仿宋_GB2312"/>
          <w:b/>
          <w:sz w:val="32"/>
        </w:rPr>
        <w:t>2024年度收入总计87.85万元，</w:t>
      </w:r>
      <w:r>
        <w:rPr>
          <w:rFonts w:ascii="仿宋_GB2312" w:hAnsi="仿宋_GB2312" w:eastAsia="仿宋_GB2312"/>
          <w:b w:val="0"/>
          <w:sz w:val="32"/>
        </w:rPr>
        <w:t>其中：本年收入合计87.85万元，使用非财政拨款结余（含专用结余）0.00万元，年初结转和结余0.00万元。</w:t>
      </w:r>
    </w:p>
    <w:p w14:paraId="627C4D6A">
      <w:pPr>
        <w:spacing w:line="580" w:lineRule="exact"/>
        <w:ind w:firstLine="640"/>
        <w:jc w:val="both"/>
      </w:pPr>
      <w:r>
        <w:rPr>
          <w:rFonts w:ascii="仿宋_GB2312" w:hAnsi="仿宋_GB2312" w:eastAsia="仿宋_GB2312"/>
          <w:b/>
          <w:sz w:val="32"/>
        </w:rPr>
        <w:t>2024年度支出总计87.85万元，</w:t>
      </w:r>
      <w:r>
        <w:rPr>
          <w:rFonts w:ascii="仿宋_GB2312" w:hAnsi="仿宋_GB2312" w:eastAsia="仿宋_GB2312"/>
          <w:b w:val="0"/>
          <w:sz w:val="32"/>
        </w:rPr>
        <w:t>其中：本年支出合计87.85万元，结余分配0.00万元，年末结转和结余0.00万元。</w:t>
      </w:r>
      <w:bookmarkStart w:id="0" w:name="_GoBack"/>
      <w:bookmarkEnd w:id="0"/>
    </w:p>
    <w:p w14:paraId="7136F8A3">
      <w:pPr>
        <w:spacing w:line="580" w:lineRule="exact"/>
        <w:ind w:firstLine="640"/>
        <w:jc w:val="both"/>
      </w:pPr>
      <w:r>
        <w:rPr>
          <w:rFonts w:ascii="仿宋_GB2312" w:hAnsi="仿宋_GB2312" w:eastAsia="仿宋_GB2312"/>
          <w:b w:val="0"/>
          <w:sz w:val="32"/>
        </w:rPr>
        <w:t>收入支出总体与上年相比，增加4.61万元，增长5.54%，主要原因是：本年增加州外事办拨入边境调研经费和边界界碑日常维护经费。</w:t>
      </w:r>
    </w:p>
    <w:p w14:paraId="7305EA50">
      <w:pPr>
        <w:spacing w:line="640" w:lineRule="exact"/>
        <w:ind w:firstLine="640"/>
        <w:jc w:val="both"/>
        <w:outlineLvl w:val="2"/>
      </w:pPr>
      <w:r>
        <w:rPr>
          <w:rFonts w:ascii="黑体" w:hAnsi="黑体" w:eastAsia="黑体"/>
          <w:sz w:val="32"/>
        </w:rPr>
        <w:t>二、收入决算情况说明</w:t>
      </w:r>
    </w:p>
    <w:p w14:paraId="072409CD">
      <w:pPr>
        <w:spacing w:line="580" w:lineRule="exact"/>
        <w:ind w:firstLine="640"/>
        <w:jc w:val="both"/>
      </w:pPr>
      <w:r>
        <w:rPr>
          <w:rFonts w:ascii="仿宋_GB2312" w:hAnsi="仿宋_GB2312" w:eastAsia="仿宋_GB2312"/>
          <w:b/>
          <w:sz w:val="32"/>
        </w:rPr>
        <w:t>本年收入87.85万元，</w:t>
      </w:r>
      <w:r>
        <w:rPr>
          <w:rFonts w:ascii="仿宋_GB2312" w:hAnsi="仿宋_GB2312" w:eastAsia="仿宋_GB2312"/>
          <w:b w:val="0"/>
          <w:sz w:val="32"/>
        </w:rPr>
        <w:t>其中：财政拨款收入72.36万元，占82.37%；上级补助收入0.00万元，占0.00%；事业收入0.00万元，占0.00%；经营收入0.00万元，占0.00%；附属单位上缴收入0.00万元，占0.00%；其他收入15.48万元，占17.62%。</w:t>
      </w:r>
    </w:p>
    <w:p w14:paraId="0B8C2B5C">
      <w:pPr>
        <w:spacing w:line="640" w:lineRule="exact"/>
        <w:ind w:firstLine="640"/>
        <w:jc w:val="both"/>
        <w:outlineLvl w:val="2"/>
      </w:pPr>
      <w:r>
        <w:rPr>
          <w:rFonts w:ascii="黑体" w:hAnsi="黑体" w:eastAsia="黑体"/>
          <w:sz w:val="32"/>
        </w:rPr>
        <w:t>三、支出决算情况说明</w:t>
      </w:r>
    </w:p>
    <w:p w14:paraId="02E4EB2F">
      <w:pPr>
        <w:spacing w:line="580" w:lineRule="exact"/>
        <w:ind w:firstLine="640"/>
        <w:jc w:val="both"/>
      </w:pPr>
      <w:r>
        <w:rPr>
          <w:rFonts w:ascii="仿宋_GB2312" w:hAnsi="仿宋_GB2312" w:eastAsia="仿宋_GB2312"/>
          <w:b/>
          <w:sz w:val="32"/>
        </w:rPr>
        <w:t>本年支出87.85万元，</w:t>
      </w:r>
      <w:r>
        <w:rPr>
          <w:rFonts w:ascii="仿宋_GB2312" w:hAnsi="仿宋_GB2312" w:eastAsia="仿宋_GB2312"/>
          <w:b w:val="0"/>
          <w:sz w:val="32"/>
        </w:rPr>
        <w:t>其中：基本支出87.85万元，占100.00%；项目支出0.00万元，占0.00%；上缴上级支出0.00万元，占0.00%；经营支出0.00万元，占0.00%；对附属单位补助支出0.00万元，占0.00%。</w:t>
      </w:r>
    </w:p>
    <w:p w14:paraId="1D3021DF">
      <w:pPr>
        <w:spacing w:line="640" w:lineRule="exact"/>
        <w:ind w:firstLine="640"/>
        <w:jc w:val="both"/>
        <w:outlineLvl w:val="2"/>
      </w:pPr>
      <w:r>
        <w:rPr>
          <w:rFonts w:ascii="黑体" w:hAnsi="黑体" w:eastAsia="黑体"/>
          <w:sz w:val="32"/>
        </w:rPr>
        <w:t>四、财政拨款收入支出决算总体情况说明</w:t>
      </w:r>
    </w:p>
    <w:p w14:paraId="2CFE042E">
      <w:pPr>
        <w:spacing w:line="580" w:lineRule="exact"/>
        <w:ind w:firstLine="640"/>
        <w:jc w:val="both"/>
      </w:pPr>
      <w:r>
        <w:rPr>
          <w:rFonts w:ascii="仿宋_GB2312" w:hAnsi="仿宋_GB2312" w:eastAsia="仿宋_GB2312"/>
          <w:b/>
          <w:sz w:val="32"/>
        </w:rPr>
        <w:t>2024年度财政拨款收入总计72.36万元，</w:t>
      </w:r>
      <w:r>
        <w:rPr>
          <w:rFonts w:ascii="仿宋_GB2312" w:hAnsi="仿宋_GB2312" w:eastAsia="仿宋_GB2312"/>
          <w:b w:val="0"/>
          <w:sz w:val="32"/>
        </w:rPr>
        <w:t>其中：年初财政拨款结转和结余0.00万元，本年财政拨款收入72.36万元。</w:t>
      </w:r>
      <w:r>
        <w:rPr>
          <w:rFonts w:ascii="仿宋_GB2312" w:hAnsi="仿宋_GB2312" w:eastAsia="仿宋_GB2312"/>
          <w:b/>
          <w:sz w:val="32"/>
        </w:rPr>
        <w:t>财政拨款支出总计72.36万元，</w:t>
      </w:r>
      <w:r>
        <w:rPr>
          <w:rFonts w:ascii="仿宋_GB2312" w:hAnsi="仿宋_GB2312" w:eastAsia="仿宋_GB2312"/>
          <w:b w:val="0"/>
          <w:sz w:val="32"/>
        </w:rPr>
        <w:t>其中：年末财政拨款结转和结余0.00万元，本年财政拨款支出72.36万元。</w:t>
      </w:r>
    </w:p>
    <w:p w14:paraId="0F17DED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减少10.88万元，下降13.07%，主要原因是：本年在职人员调入调出，人员职级不同，缴费基数不同，相关人员经费减少。本年县委外事专班工作经费较上年减少。</w:t>
      </w:r>
      <w:r>
        <w:rPr>
          <w:rFonts w:ascii="仿宋_GB2312" w:hAnsi="仿宋_GB2312" w:eastAsia="仿宋_GB2312"/>
          <w:b/>
          <w:sz w:val="32"/>
        </w:rPr>
        <w:t>与年初预算相比，</w:t>
      </w:r>
      <w:r>
        <w:rPr>
          <w:rFonts w:ascii="仿宋_GB2312" w:hAnsi="仿宋_GB2312" w:eastAsia="仿宋_GB2312"/>
          <w:b w:val="0"/>
          <w:sz w:val="32"/>
        </w:rPr>
        <w:t>年初预算数70.88万元，决算数72.36万元，预决算差异率2.09%，主要原因是：年中追加人员工资、社保、公积金基数调增部分资金及外事工作经费。</w:t>
      </w:r>
    </w:p>
    <w:p w14:paraId="47481E99">
      <w:pPr>
        <w:spacing w:line="640" w:lineRule="exact"/>
        <w:ind w:firstLine="640"/>
        <w:jc w:val="both"/>
        <w:outlineLvl w:val="2"/>
      </w:pPr>
      <w:r>
        <w:rPr>
          <w:rFonts w:ascii="黑体" w:hAnsi="黑体" w:eastAsia="黑体"/>
          <w:sz w:val="32"/>
        </w:rPr>
        <w:t>五、一般公共预算财政拨款支出决算情况说明</w:t>
      </w:r>
    </w:p>
    <w:p w14:paraId="08A6D264">
      <w:pPr>
        <w:spacing w:line="640" w:lineRule="exact"/>
        <w:ind w:firstLine="640"/>
        <w:jc w:val="both"/>
        <w:outlineLvl w:val="3"/>
      </w:pPr>
      <w:r>
        <w:rPr>
          <w:rFonts w:ascii="楷体_GB2312" w:hAnsi="楷体_GB2312" w:eastAsia="楷体_GB2312"/>
          <w:b/>
          <w:sz w:val="32"/>
        </w:rPr>
        <w:t>（一）一般公共预算财政拨款支出决算总体情况</w:t>
      </w:r>
    </w:p>
    <w:p w14:paraId="02D2694B">
      <w:pPr>
        <w:spacing w:line="580" w:lineRule="exact"/>
        <w:ind w:firstLine="640"/>
        <w:jc w:val="both"/>
      </w:pPr>
      <w:r>
        <w:rPr>
          <w:rFonts w:ascii="仿宋_GB2312" w:hAnsi="仿宋_GB2312" w:eastAsia="仿宋_GB2312"/>
          <w:b/>
          <w:sz w:val="32"/>
        </w:rPr>
        <w:t>2024年度一般公共预算财政拨款支出72.36万元，</w:t>
      </w:r>
      <w:r>
        <w:rPr>
          <w:rFonts w:ascii="仿宋_GB2312" w:hAnsi="仿宋_GB2312" w:eastAsia="仿宋_GB2312"/>
          <w:b w:val="0"/>
          <w:sz w:val="32"/>
        </w:rPr>
        <w:t>占本年支出合计的82.37%。</w:t>
      </w:r>
      <w:r>
        <w:rPr>
          <w:rFonts w:ascii="仿宋_GB2312" w:hAnsi="仿宋_GB2312" w:eastAsia="仿宋_GB2312"/>
          <w:b/>
          <w:sz w:val="32"/>
        </w:rPr>
        <w:t>与上年相比，</w:t>
      </w:r>
      <w:r>
        <w:rPr>
          <w:rFonts w:ascii="仿宋_GB2312" w:hAnsi="仿宋_GB2312" w:eastAsia="仿宋_GB2312"/>
          <w:b w:val="0"/>
          <w:sz w:val="32"/>
        </w:rPr>
        <w:t>减少10.88万元，下降13.07%，主要原因是：本年在职人员调入调出，人员职级不同，缴费基数不同，相关人员经费减少。本年县委外事专班工作经费较上年减少。</w:t>
      </w:r>
      <w:r>
        <w:rPr>
          <w:rFonts w:ascii="仿宋_GB2312" w:hAnsi="仿宋_GB2312" w:eastAsia="仿宋_GB2312"/>
          <w:b/>
          <w:sz w:val="32"/>
        </w:rPr>
        <w:t>与年初预算相比,</w:t>
      </w:r>
      <w:r>
        <w:rPr>
          <w:rFonts w:ascii="仿宋_GB2312" w:hAnsi="仿宋_GB2312" w:eastAsia="仿宋_GB2312"/>
          <w:b w:val="0"/>
          <w:sz w:val="32"/>
        </w:rPr>
        <w:t>年初预算数70.88万元，决算数72.36万元，预决算差异率2.09%，主要原因是：年中追加人员工资、社保、公积金基数调增部分资金及外事工作经费。</w:t>
      </w:r>
    </w:p>
    <w:p w14:paraId="7E0211C4">
      <w:pPr>
        <w:spacing w:line="640" w:lineRule="exact"/>
        <w:ind w:firstLine="640"/>
        <w:jc w:val="both"/>
        <w:outlineLvl w:val="3"/>
      </w:pPr>
      <w:r>
        <w:rPr>
          <w:rFonts w:ascii="楷体_GB2312" w:hAnsi="楷体_GB2312" w:eastAsia="楷体_GB2312"/>
          <w:b/>
          <w:sz w:val="32"/>
        </w:rPr>
        <w:t>（二）一般公共预算财政拨款支出决算结构情况</w:t>
      </w:r>
    </w:p>
    <w:p w14:paraId="1991F06A">
      <w:pPr>
        <w:spacing w:line="580" w:lineRule="exact"/>
        <w:ind w:firstLine="640"/>
        <w:jc w:val="both"/>
      </w:pPr>
      <w:r>
        <w:rPr>
          <w:rFonts w:ascii="仿宋_GB2312" w:hAnsi="仿宋_GB2312" w:eastAsia="仿宋_GB2312"/>
          <w:b w:val="0"/>
          <w:sz w:val="32"/>
        </w:rPr>
        <w:t>1.一般公共服务支出(类)53.50万元,占73.94%。</w:t>
      </w:r>
    </w:p>
    <w:p w14:paraId="4CF638B1">
      <w:pPr>
        <w:spacing w:line="580" w:lineRule="exact"/>
        <w:ind w:firstLine="640"/>
        <w:jc w:val="both"/>
      </w:pPr>
      <w:r>
        <w:rPr>
          <w:rFonts w:ascii="仿宋_GB2312" w:hAnsi="仿宋_GB2312" w:eastAsia="仿宋_GB2312"/>
          <w:b w:val="0"/>
          <w:sz w:val="32"/>
        </w:rPr>
        <w:t>2.社会保障和就业支出(类)9.21万元,占12.73%。</w:t>
      </w:r>
    </w:p>
    <w:p w14:paraId="6FD83FBA">
      <w:pPr>
        <w:spacing w:line="580" w:lineRule="exact"/>
        <w:ind w:firstLine="640"/>
        <w:jc w:val="both"/>
      </w:pPr>
      <w:r>
        <w:rPr>
          <w:rFonts w:ascii="仿宋_GB2312" w:hAnsi="仿宋_GB2312" w:eastAsia="仿宋_GB2312"/>
          <w:b w:val="0"/>
          <w:sz w:val="32"/>
        </w:rPr>
        <w:t>3.卫生健康支出(类)3.76万元,占5.20%。</w:t>
      </w:r>
    </w:p>
    <w:p w14:paraId="5FFD8D63">
      <w:pPr>
        <w:spacing w:line="580" w:lineRule="exact"/>
        <w:ind w:firstLine="640"/>
        <w:jc w:val="both"/>
      </w:pPr>
      <w:r>
        <w:rPr>
          <w:rFonts w:ascii="仿宋_GB2312" w:hAnsi="仿宋_GB2312" w:eastAsia="仿宋_GB2312"/>
          <w:b w:val="0"/>
          <w:sz w:val="32"/>
        </w:rPr>
        <w:t>4.住房保障支出(类)5.89万元,占8.14%。</w:t>
      </w:r>
    </w:p>
    <w:p w14:paraId="46005BE6">
      <w:pPr>
        <w:spacing w:line="640" w:lineRule="exact"/>
        <w:ind w:firstLine="640"/>
        <w:jc w:val="both"/>
        <w:outlineLvl w:val="3"/>
      </w:pPr>
      <w:r>
        <w:rPr>
          <w:rFonts w:ascii="楷体_GB2312" w:hAnsi="楷体_GB2312" w:eastAsia="楷体_GB2312"/>
          <w:b/>
          <w:sz w:val="32"/>
        </w:rPr>
        <w:t>（三）一般公共预算财政拨款支出决算具体情况</w:t>
      </w:r>
    </w:p>
    <w:p w14:paraId="4CFAA3CB">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1.一般公共服务支出(类)政府办公厅（室）及相关机构事务(款)行政运行(项):支出决算数为53.50万元，比上年决算减少6.07万元，下降10.19%,主要原因是：本年县委外事专班工作经费较上年减少。</w:t>
      </w:r>
    </w:p>
    <w:p w14:paraId="60C80528">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1.92万元，比上年决算减少0.74万元，下降27.82%,主要原因是：因退休人员医疗保险制度改革，退休人员基本医疗不再由单位缴纳，导致经费较上年减少。</w:t>
      </w:r>
    </w:p>
    <w:p w14:paraId="444946A5">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7.29万元，比上年决算减少3.18万元，下降30.37%,主要原因是：本年在职人员调入调出，人员职级不同，缴费基数不同，导致养老保险缴费较上年减少。</w:t>
      </w:r>
    </w:p>
    <w:p w14:paraId="79CC08A0">
      <w:pPr>
        <w:spacing w:line="580" w:lineRule="exact"/>
        <w:ind w:firstLine="640"/>
        <w:jc w:val="both"/>
      </w:pPr>
      <w:r>
        <w:rPr>
          <w:rFonts w:ascii="仿宋_GB2312" w:hAnsi="仿宋_GB2312" w:eastAsia="仿宋_GB2312"/>
          <w:b w:val="0"/>
          <w:sz w:val="32"/>
        </w:rPr>
        <w:t>4.卫生健康支出(类)行政事业单位医疗(款)行政单位医疗(项):支出决算数为3.65万元，比上年决算减少0.10万元，下降2.67%,主要原因是：本年在职人员调入调出，人员职级不同，缴费基数不同，导致行政单位医疗较上年减少。</w:t>
      </w:r>
    </w:p>
    <w:p w14:paraId="5074B4BE">
      <w:pPr>
        <w:spacing w:line="580" w:lineRule="exact"/>
        <w:ind w:firstLine="640"/>
        <w:jc w:val="both"/>
      </w:pPr>
      <w:r>
        <w:rPr>
          <w:rFonts w:ascii="仿宋_GB2312" w:hAnsi="仿宋_GB2312" w:eastAsia="仿宋_GB2312"/>
          <w:b w:val="0"/>
          <w:sz w:val="32"/>
        </w:rPr>
        <w:t>5.卫生健康支出(类)行政事业单位医疗(款)公务员医疗补助(项):支出决算数为0.12万元，比上年决算减少1.00万元，下降89.29%,主要原因是：本年在职人员调入调出，人员职级不同，缴费基数不同，导致公务员医疗补助较上年减少。</w:t>
      </w:r>
    </w:p>
    <w:p w14:paraId="17C14E4C">
      <w:pPr>
        <w:spacing w:line="580" w:lineRule="exact"/>
        <w:ind w:firstLine="640"/>
        <w:jc w:val="both"/>
      </w:pPr>
      <w:r>
        <w:rPr>
          <w:rFonts w:ascii="仿宋_GB2312" w:hAnsi="仿宋_GB2312" w:eastAsia="仿宋_GB2312"/>
          <w:b w:val="0"/>
          <w:sz w:val="32"/>
        </w:rPr>
        <w:t>6.住房保障支出(类)住房改革支出(款)住房公积金(项):支出决算数为5.89万元，比上年决算增加0.22万元，增长3.88%,主要原因是：本年在职人员工资基数调增，公积金缴费基数上涨，相应支出增加。</w:t>
      </w:r>
    </w:p>
    <w:p w14:paraId="3EC2CF00">
      <w:pPr>
        <w:spacing w:line="640" w:lineRule="exact"/>
        <w:ind w:firstLine="640"/>
        <w:jc w:val="both"/>
        <w:outlineLvl w:val="2"/>
      </w:pPr>
      <w:r>
        <w:rPr>
          <w:rFonts w:ascii="黑体" w:hAnsi="黑体" w:eastAsia="黑体"/>
          <w:sz w:val="32"/>
        </w:rPr>
        <w:t>六、一般公共预算财政拨款基本支出决算情况说明</w:t>
      </w:r>
    </w:p>
    <w:p w14:paraId="7C5B839C">
      <w:pPr>
        <w:spacing w:line="580" w:lineRule="exact"/>
        <w:ind w:firstLine="640"/>
        <w:jc w:val="both"/>
      </w:pPr>
      <w:r>
        <w:rPr>
          <w:rFonts w:ascii="仿宋_GB2312" w:hAnsi="仿宋_GB2312" w:eastAsia="仿宋_GB2312"/>
          <w:b w:val="0"/>
          <w:sz w:val="32"/>
        </w:rPr>
        <w:t>2024年度一般公共预算财政拨款基本支出72.36万元，其中：</w:t>
      </w:r>
      <w:r>
        <w:rPr>
          <w:rFonts w:ascii="仿宋_GB2312" w:hAnsi="仿宋_GB2312" w:eastAsia="仿宋_GB2312"/>
          <w:b/>
          <w:sz w:val="32"/>
        </w:rPr>
        <w:t>人员经费70.80万元，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w:t>
      </w:r>
    </w:p>
    <w:p w14:paraId="22CDDC89">
      <w:pPr>
        <w:spacing w:line="580" w:lineRule="exact"/>
        <w:ind w:firstLine="640"/>
        <w:jc w:val="both"/>
      </w:pPr>
      <w:r>
        <w:rPr>
          <w:rFonts w:ascii="仿宋_GB2312" w:hAnsi="仿宋_GB2312" w:eastAsia="仿宋_GB2312"/>
          <w:b/>
          <w:sz w:val="32"/>
        </w:rPr>
        <w:t>公用经费1.57万元，</w:t>
      </w:r>
      <w:r>
        <w:rPr>
          <w:rFonts w:ascii="仿宋_GB2312" w:hAnsi="仿宋_GB2312" w:eastAsia="仿宋_GB2312"/>
          <w:b w:val="0"/>
          <w:sz w:val="32"/>
        </w:rPr>
        <w:t>包括：办公费、印刷费、邮电费、差旅费、维修（护）费、租赁费、培训费、工会经费、福利费。</w:t>
      </w:r>
    </w:p>
    <w:p w14:paraId="1E294F43">
      <w:pPr>
        <w:spacing w:line="640" w:lineRule="exact"/>
        <w:ind w:firstLine="640"/>
        <w:jc w:val="both"/>
        <w:outlineLvl w:val="2"/>
      </w:pPr>
      <w:r>
        <w:rPr>
          <w:rFonts w:ascii="黑体" w:hAnsi="黑体" w:eastAsia="黑体"/>
          <w:sz w:val="32"/>
        </w:rPr>
        <w:t>七、政府性基金预算财政拨款收入支出决算情况说明</w:t>
      </w:r>
    </w:p>
    <w:p w14:paraId="7363FD5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D8261A4">
      <w:pPr>
        <w:spacing w:line="640" w:lineRule="exact"/>
        <w:ind w:firstLine="640"/>
        <w:jc w:val="both"/>
        <w:outlineLvl w:val="2"/>
      </w:pPr>
      <w:r>
        <w:rPr>
          <w:rFonts w:ascii="黑体" w:hAnsi="黑体" w:eastAsia="黑体"/>
          <w:sz w:val="32"/>
        </w:rPr>
        <w:t>八、国有资本经营预算财政拨款收入支出决算情况说明</w:t>
      </w:r>
    </w:p>
    <w:p w14:paraId="31750C2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30B42FD">
      <w:pPr>
        <w:spacing w:line="640" w:lineRule="exact"/>
        <w:ind w:firstLine="640"/>
        <w:jc w:val="both"/>
        <w:outlineLvl w:val="2"/>
      </w:pPr>
      <w:r>
        <w:rPr>
          <w:rFonts w:ascii="黑体" w:hAnsi="黑体" w:eastAsia="黑体"/>
          <w:sz w:val="32"/>
        </w:rPr>
        <w:t>九、财政拨款“三公”经费支出决算情况说明</w:t>
      </w:r>
    </w:p>
    <w:p w14:paraId="12E52CC8">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B754E00">
      <w:pPr>
        <w:spacing w:line="580" w:lineRule="exact"/>
        <w:ind w:firstLine="640"/>
        <w:jc w:val="both"/>
      </w:pPr>
      <w:r>
        <w:rPr>
          <w:rFonts w:ascii="仿宋_GB2312" w:hAnsi="仿宋_GB2312" w:eastAsia="仿宋_GB2312"/>
          <w:b/>
          <w:sz w:val="32"/>
        </w:rPr>
        <w:t>具体情况如下：</w:t>
      </w:r>
    </w:p>
    <w:p w14:paraId="25ED9BE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306AA1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024386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8743D0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4F5B5B55">
      <w:pPr>
        <w:spacing w:line="640" w:lineRule="exact"/>
        <w:ind w:firstLine="640"/>
        <w:jc w:val="both"/>
        <w:outlineLvl w:val="2"/>
      </w:pPr>
      <w:r>
        <w:rPr>
          <w:rFonts w:ascii="黑体" w:hAnsi="黑体" w:eastAsia="黑体"/>
          <w:sz w:val="32"/>
        </w:rPr>
        <w:t>十、其他重要事项的情况说明</w:t>
      </w:r>
    </w:p>
    <w:p w14:paraId="527BBB26">
      <w:pPr>
        <w:spacing w:line="640" w:lineRule="exact"/>
        <w:ind w:firstLine="640"/>
        <w:jc w:val="both"/>
        <w:outlineLvl w:val="3"/>
      </w:pPr>
      <w:r>
        <w:rPr>
          <w:rFonts w:ascii="楷体_GB2312" w:hAnsi="楷体_GB2312" w:eastAsia="楷体_GB2312"/>
          <w:b/>
          <w:sz w:val="32"/>
        </w:rPr>
        <w:t>（一）机关运行经费及公用经费支出情况</w:t>
      </w:r>
    </w:p>
    <w:p w14:paraId="00AA19ED">
      <w:pPr>
        <w:spacing w:line="580" w:lineRule="exact"/>
        <w:ind w:firstLine="640"/>
        <w:jc w:val="both"/>
      </w:pPr>
      <w:r>
        <w:rPr>
          <w:rFonts w:ascii="仿宋_GB2312" w:hAnsi="仿宋_GB2312" w:eastAsia="仿宋_GB2312"/>
          <w:b w:val="0"/>
          <w:sz w:val="32"/>
        </w:rPr>
        <w:t>2024年度霍城县人民政府外事办公室（行政单位和参照公务员法管理事业单位）机关运行经费支出1.57万元，比上年减少3.02万元，下降65.80%，主要原因是：严格控制公用经费，合理节约办公用品，减少不必要开支。</w:t>
      </w:r>
    </w:p>
    <w:p w14:paraId="72410D04">
      <w:pPr>
        <w:spacing w:line="640" w:lineRule="exact"/>
        <w:ind w:firstLine="640"/>
        <w:jc w:val="both"/>
        <w:outlineLvl w:val="3"/>
      </w:pPr>
      <w:r>
        <w:rPr>
          <w:rFonts w:ascii="楷体_GB2312" w:hAnsi="楷体_GB2312" w:eastAsia="楷体_GB2312"/>
          <w:b/>
          <w:sz w:val="32"/>
        </w:rPr>
        <w:t>（二）政府采购情况</w:t>
      </w:r>
    </w:p>
    <w:p w14:paraId="14B0B7C9">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55BE2934">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6098FD19">
      <w:pPr>
        <w:spacing w:line="640" w:lineRule="exact"/>
        <w:ind w:firstLine="640"/>
        <w:jc w:val="both"/>
        <w:outlineLvl w:val="3"/>
      </w:pPr>
      <w:r>
        <w:rPr>
          <w:rFonts w:ascii="楷体_GB2312" w:hAnsi="楷体_GB2312" w:eastAsia="楷体_GB2312"/>
          <w:b/>
          <w:sz w:val="32"/>
        </w:rPr>
        <w:t>（三）国有资产占用情况说明</w:t>
      </w:r>
    </w:p>
    <w:p w14:paraId="74F8FAA0">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061EC9B">
      <w:pPr>
        <w:spacing w:line="640" w:lineRule="exact"/>
        <w:ind w:firstLine="640"/>
        <w:jc w:val="both"/>
        <w:outlineLvl w:val="2"/>
      </w:pPr>
      <w:r>
        <w:rPr>
          <w:rFonts w:ascii="黑体" w:hAnsi="黑体" w:eastAsia="黑体"/>
          <w:sz w:val="32"/>
        </w:rPr>
        <w:t>十一、预算绩效的情况说明</w:t>
      </w:r>
    </w:p>
    <w:p w14:paraId="5C7F348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87.84万元，实际执行总额87.84万元；预算绩效评价项目0个，全年预算数0.00万元，全年执行数0.00万元。预算绩效管理取得的成效：2024年</w:t>
      </w:r>
      <w:r>
        <w:rPr>
          <w:rFonts w:hint="eastAsia" w:ascii="仿宋_GB2312" w:hAnsi="仿宋_GB2312" w:eastAsia="仿宋_GB2312"/>
          <w:b w:val="0"/>
          <w:sz w:val="32"/>
          <w:lang w:eastAsia="zh-CN"/>
        </w:rPr>
        <w:t>本单位</w:t>
      </w:r>
      <w:r>
        <w:rPr>
          <w:rFonts w:ascii="仿宋_GB2312" w:hAnsi="仿宋_GB2312" w:eastAsia="仿宋_GB2312"/>
          <w:b w:val="0"/>
          <w:sz w:val="32"/>
        </w:rPr>
        <w:t>积极响应关于加强财政预算管理、提升资金使用效益的号召，深入实施预算绩效管理体系，通过一系列创新举措与实践探索，取得了令人瞩目的成效。首先，成本控制显著优化；实施预算绩效管理以来，</w:t>
      </w:r>
      <w:r>
        <w:rPr>
          <w:rFonts w:hint="eastAsia" w:ascii="仿宋_GB2312" w:hAnsi="仿宋_GB2312" w:eastAsia="仿宋_GB2312"/>
          <w:b w:val="0"/>
          <w:sz w:val="32"/>
          <w:lang w:eastAsia="zh-CN"/>
        </w:rPr>
        <w:t>本单位</w:t>
      </w:r>
      <w:r>
        <w:rPr>
          <w:rFonts w:ascii="仿宋_GB2312" w:hAnsi="仿宋_GB2312" w:eastAsia="仿宋_GB2312"/>
          <w:b w:val="0"/>
          <w:sz w:val="32"/>
        </w:rPr>
        <w:t>建立了严格的成本控制机制，通过精细化预算编制、项目可行性论证及执行过程中的动态监控，有效遏制了不必要的开支，实现了成本支出的合理压缩；其次，绩效目标达成度高，明确的绩效指标和严格的考核机制，使得各部门和个人都围绕既定目标展开工作，绩效目标达成度显著提升。通过定期评估与反馈，及时调整策略，确保目标不偏离，最终实现了多个重点项目的超额完成，为单位发展注入了强劲动力。发现的问题及原因：一是预算绩效管理认识不足：‌缺少对预算绩效管理制度的相关认识，‌没有意识到预算绩效管理对自身行业发展的重要意义，‌导致预算绩效管理意识依旧淡薄‌；二是缺乏专业人员：‌预算绩效管理的相关人员从业素质要求较高，‌由于</w:t>
      </w:r>
      <w:r>
        <w:rPr>
          <w:rFonts w:hint="eastAsia" w:ascii="仿宋_GB2312" w:hAnsi="仿宋_GB2312" w:eastAsia="仿宋_GB2312"/>
          <w:b w:val="0"/>
          <w:sz w:val="32"/>
          <w:lang w:eastAsia="zh-CN"/>
        </w:rPr>
        <w:t>本单位</w:t>
      </w:r>
      <w:r>
        <w:rPr>
          <w:rFonts w:ascii="仿宋_GB2312" w:hAnsi="仿宋_GB2312" w:eastAsia="仿宋_GB2312"/>
          <w:b w:val="0"/>
          <w:sz w:val="32"/>
        </w:rPr>
        <w:t>实行预算绩效管理制度较晚，‌相关人才培养不到位，‌导致预算部门（‌单位）‌</w:t>
      </w:r>
      <w:r>
        <w:rPr>
          <w:rFonts w:hint="eastAsia" w:ascii="仿宋_GB2312" w:hAnsi="仿宋_GB2312" w:eastAsia="仿宋_GB2312"/>
          <w:b w:val="0"/>
          <w:sz w:val="32"/>
          <w:lang w:eastAsia="zh-CN"/>
        </w:rPr>
        <w:t>普遍</w:t>
      </w:r>
      <w:r>
        <w:rPr>
          <w:rFonts w:ascii="仿宋_GB2312" w:hAnsi="仿宋_GB2312" w:eastAsia="仿宋_GB2312"/>
          <w:b w:val="0"/>
          <w:sz w:val="32"/>
        </w:rPr>
        <w:t>缺乏这方面的专业人才</w:t>
      </w:r>
      <w:r>
        <w:rPr>
          <w:rFonts w:hint="eastAsia" w:ascii="仿宋_GB2312" w:hAnsi="仿宋_GB2312" w:eastAsia="仿宋_GB2312"/>
          <w:b w:val="0"/>
          <w:sz w:val="32"/>
          <w:lang w:eastAsia="zh-CN"/>
        </w:rPr>
        <w:t>。</w:t>
      </w:r>
      <w:r>
        <w:rPr>
          <w:rFonts w:ascii="仿宋_GB2312" w:hAnsi="仿宋_GB2312" w:eastAsia="仿宋_GB2312"/>
          <w:b w:val="0"/>
          <w:sz w:val="32"/>
        </w:rPr>
        <w:t>下一步改进措施：一是加强制度建设，‌完善各项管理制度，‌确保财政资金的安全完整和预算执行结果的真实准确性；二是规范预算行为，‌强化监督管理，‌形成公开透明的运行机制，‌确保项目预算绩效管理水平稳步提升</w:t>
      </w:r>
      <w:r>
        <w:rPr>
          <w:rFonts w:hint="eastAsia" w:ascii="仿宋_GB2312" w:hAnsi="仿宋_GB2312" w:eastAsia="仿宋_GB2312"/>
          <w:b w:val="0"/>
          <w:sz w:val="32"/>
          <w:lang w:eastAsia="zh-CN"/>
        </w:rPr>
        <w:t>。</w:t>
      </w:r>
      <w:r>
        <w:rPr>
          <w:rFonts w:ascii="仿宋_GB2312" w:hAnsi="仿宋_GB2312" w:eastAsia="仿宋_GB2312"/>
          <w:b w:val="0"/>
          <w:sz w:val="32"/>
        </w:rPr>
        <w:t>具体附整体支出绩效自评表。</w:t>
      </w:r>
    </w:p>
    <w:p w14:paraId="072CAEB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A1BD0DD">
        <w:tblPrEx>
          <w:tblCellMar>
            <w:top w:w="0" w:type="dxa"/>
            <w:left w:w="108" w:type="dxa"/>
            <w:bottom w:w="0" w:type="dxa"/>
            <w:right w:w="108" w:type="dxa"/>
          </w:tblCellMar>
        </w:tblPrEx>
        <w:tc>
          <w:tcPr>
            <w:tcW w:w="8840" w:type="dxa"/>
            <w:gridSpan w:val="8"/>
            <w:vAlign w:val="center"/>
          </w:tcPr>
          <w:p w14:paraId="54411230">
            <w:pPr>
              <w:jc w:val="center"/>
            </w:pPr>
            <w:r>
              <w:rPr>
                <w:rFonts w:ascii="宋体" w:hAnsi="宋体" w:eastAsia="宋体"/>
                <w:sz w:val="24"/>
              </w:rPr>
              <w:t>单位整体支出绩效自评表</w:t>
            </w:r>
          </w:p>
        </w:tc>
      </w:tr>
      <w:tr w14:paraId="22EAEEC4">
        <w:tblPrEx>
          <w:tblCellMar>
            <w:top w:w="0" w:type="dxa"/>
            <w:left w:w="108" w:type="dxa"/>
            <w:bottom w:w="0" w:type="dxa"/>
            <w:right w:w="108" w:type="dxa"/>
          </w:tblCellMar>
        </w:tblPrEx>
        <w:tc>
          <w:tcPr>
            <w:tcW w:w="8840" w:type="dxa"/>
            <w:gridSpan w:val="8"/>
            <w:vAlign w:val="center"/>
          </w:tcPr>
          <w:p w14:paraId="27EB3269">
            <w:pPr>
              <w:jc w:val="center"/>
            </w:pPr>
            <w:r>
              <w:rPr>
                <w:rFonts w:ascii="宋体" w:hAnsi="宋体" w:eastAsia="宋体"/>
                <w:sz w:val="24"/>
              </w:rPr>
              <w:t>（2024年度）</w:t>
            </w:r>
          </w:p>
        </w:tc>
      </w:tr>
      <w:tr w14:paraId="7B4442BF">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C455D3">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313801">
            <w:pPr>
              <w:jc w:val="center"/>
            </w:pPr>
            <w:r>
              <w:rPr>
                <w:rFonts w:ascii="宋体" w:hAnsi="宋体" w:eastAsia="宋体"/>
                <w:sz w:val="16"/>
              </w:rPr>
              <w:t>霍城县人民政府外事办公室</w:t>
            </w:r>
          </w:p>
        </w:tc>
      </w:tr>
      <w:tr w14:paraId="5EC5535E">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88312">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D528A">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3FBA1B">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0CF34A">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2FF3E">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073F7">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741DB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094D8C">
            <w:pPr>
              <w:jc w:val="center"/>
            </w:pPr>
            <w:r>
              <w:rPr>
                <w:rFonts w:ascii="宋体" w:hAnsi="宋体" w:eastAsia="宋体"/>
                <w:sz w:val="16"/>
              </w:rPr>
              <w:t>得分</w:t>
            </w:r>
          </w:p>
        </w:tc>
      </w:tr>
      <w:tr w14:paraId="2F4AF0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B014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5247D3">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FB83B9">
            <w:pPr>
              <w:jc w:val="center"/>
            </w:pPr>
            <w:r>
              <w:rPr>
                <w:rFonts w:ascii="宋体" w:hAnsi="宋体" w:eastAsia="宋体"/>
                <w:sz w:val="16"/>
              </w:rPr>
              <w:t>70.87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EE9CB">
            <w:pPr>
              <w:jc w:val="center"/>
            </w:pPr>
            <w:r>
              <w:rPr>
                <w:rFonts w:ascii="宋体" w:hAnsi="宋体" w:eastAsia="宋体"/>
                <w:sz w:val="16"/>
              </w:rPr>
              <w:t>87.84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D9049">
            <w:pPr>
              <w:jc w:val="center"/>
            </w:pPr>
            <w:r>
              <w:rPr>
                <w:rFonts w:ascii="宋体" w:hAnsi="宋体" w:eastAsia="宋体"/>
                <w:sz w:val="16"/>
              </w:rPr>
              <w:t>87.84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13FB0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75794F">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FE6DD1">
            <w:pPr>
              <w:jc w:val="center"/>
            </w:pPr>
            <w:r>
              <w:rPr>
                <w:rFonts w:ascii="宋体" w:hAnsi="宋体" w:eastAsia="宋体"/>
                <w:sz w:val="16"/>
              </w:rPr>
              <w:t>10</w:t>
            </w:r>
          </w:p>
        </w:tc>
      </w:tr>
      <w:tr w14:paraId="54CB87C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7FE37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0CEF76">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C1662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E2A71">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6BC2A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0972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572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471EA2">
            <w:pPr>
              <w:jc w:val="center"/>
            </w:pPr>
            <w:r>
              <w:rPr>
                <w:rFonts w:ascii="宋体" w:hAnsi="宋体" w:eastAsia="宋体"/>
                <w:sz w:val="16"/>
              </w:rPr>
              <w:t>-</w:t>
            </w:r>
          </w:p>
        </w:tc>
      </w:tr>
      <w:tr w14:paraId="528BB44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9185D2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902557">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09708F">
            <w:pPr>
              <w:jc w:val="center"/>
            </w:pPr>
            <w:r>
              <w:rPr>
                <w:rFonts w:ascii="宋体" w:hAnsi="宋体" w:eastAsia="宋体"/>
                <w:sz w:val="16"/>
              </w:rPr>
              <w:t>70.87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E50653">
            <w:pPr>
              <w:jc w:val="center"/>
            </w:pPr>
            <w:r>
              <w:rPr>
                <w:rFonts w:ascii="宋体" w:hAnsi="宋体" w:eastAsia="宋体"/>
                <w:sz w:val="16"/>
              </w:rPr>
              <w:t>74.31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EB629">
            <w:pPr>
              <w:jc w:val="center"/>
            </w:pPr>
            <w:r>
              <w:rPr>
                <w:rFonts w:ascii="宋体" w:hAnsi="宋体" w:eastAsia="宋体"/>
                <w:sz w:val="16"/>
              </w:rPr>
              <w:t>74.31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5E97E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5F566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34A72">
            <w:pPr>
              <w:jc w:val="center"/>
            </w:pPr>
            <w:r>
              <w:rPr>
                <w:rFonts w:ascii="宋体" w:hAnsi="宋体" w:eastAsia="宋体"/>
                <w:sz w:val="16"/>
              </w:rPr>
              <w:t>-</w:t>
            </w:r>
          </w:p>
        </w:tc>
      </w:tr>
      <w:tr w14:paraId="33C8B16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0350C7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F396CD">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718D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1BF83">
            <w:pPr>
              <w:jc w:val="center"/>
            </w:pPr>
            <w:r>
              <w:rPr>
                <w:rFonts w:ascii="宋体" w:hAnsi="宋体" w:eastAsia="宋体"/>
                <w:sz w:val="16"/>
              </w:rPr>
              <w:t>13.53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84EE4B">
            <w:pPr>
              <w:jc w:val="center"/>
            </w:pPr>
            <w:r>
              <w:rPr>
                <w:rFonts w:ascii="宋体" w:hAnsi="宋体" w:eastAsia="宋体"/>
                <w:sz w:val="16"/>
              </w:rPr>
              <w:t>13.53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31FD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A9AA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65D676">
            <w:pPr>
              <w:jc w:val="center"/>
            </w:pPr>
            <w:r>
              <w:rPr>
                <w:rFonts w:ascii="宋体" w:hAnsi="宋体" w:eastAsia="宋体"/>
                <w:sz w:val="16"/>
              </w:rPr>
              <w:t>-</w:t>
            </w:r>
          </w:p>
        </w:tc>
      </w:tr>
      <w:tr w14:paraId="027E273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71449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39146F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F1122ED">
            <w:pPr>
              <w:jc w:val="center"/>
            </w:pPr>
            <w:r>
              <w:rPr>
                <w:rFonts w:ascii="宋体" w:hAnsi="宋体" w:eastAsia="宋体"/>
                <w:sz w:val="16"/>
              </w:rPr>
              <w:t>实际完成情况</w:t>
            </w:r>
          </w:p>
        </w:tc>
      </w:tr>
      <w:tr w14:paraId="0990E34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E8376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0DB2D6B">
            <w:pPr>
              <w:jc w:val="both"/>
            </w:pPr>
            <w:r>
              <w:rPr>
                <w:rFonts w:ascii="宋体" w:hAnsi="宋体" w:eastAsia="宋体"/>
                <w:sz w:val="16"/>
              </w:rPr>
              <w:t>负责县委办外事工作委员,制定我县工作计划，指导、协调各部门、各单位外事培训，协调处理重要涉外事务。负责上级有关部门安排的境外人员、记者、学者来县参观、访问、考察、采访等服务工作。指导、协调有关部门和群众正确处理对外交往问题。</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5265C71">
            <w:pPr>
              <w:jc w:val="both"/>
            </w:pPr>
            <w:r>
              <w:rPr>
                <w:rFonts w:ascii="宋体" w:hAnsi="宋体" w:eastAsia="宋体"/>
                <w:sz w:val="16"/>
              </w:rPr>
              <w:t>以</w:t>
            </w:r>
            <w:r>
              <w:rPr>
                <w:rFonts w:hint="eastAsia" w:ascii="宋体" w:hAnsi="宋体"/>
                <w:sz w:val="16"/>
                <w:lang w:eastAsia="zh-CN"/>
              </w:rPr>
              <w:t>习近平新时代中国特色社会主义思想和</w:t>
            </w:r>
            <w:r>
              <w:rPr>
                <w:rFonts w:ascii="宋体" w:hAnsi="宋体" w:eastAsia="宋体"/>
                <w:sz w:val="16"/>
              </w:rPr>
              <w:t>外交思想为指导，紧紧围绕社会稳定和长治久安总目标，统筹安全与发展，按照自治区、自治州党委外事工作部署，持续打好涉疆对外斗争主动仗，持续加大对外合作交流，营造助推霍城经济高质量发展和高水平安全的外部环境，为“两优一高”新霍城建设贡献外事力量。</w:t>
            </w:r>
          </w:p>
        </w:tc>
      </w:tr>
      <w:tr w14:paraId="5253B75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7786F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ACD24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7EF61">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7FEB23">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29A2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9F26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E9765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D1695C">
            <w:pPr>
              <w:jc w:val="center"/>
            </w:pPr>
            <w:r>
              <w:rPr>
                <w:rFonts w:ascii="宋体" w:hAnsi="宋体" w:eastAsia="宋体"/>
                <w:sz w:val="16"/>
              </w:rPr>
              <w:t>得分</w:t>
            </w:r>
          </w:p>
        </w:tc>
      </w:tr>
      <w:tr w14:paraId="749FD81C">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E2B5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84548">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3EF332">
            <w:pPr>
              <w:jc w:val="center"/>
            </w:pPr>
            <w:r>
              <w:rPr>
                <w:rFonts w:ascii="宋体" w:hAnsi="宋体" w:eastAsia="宋体"/>
                <w:sz w:val="16"/>
              </w:rPr>
              <w:t>外事日常业务培训次数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4FCF18">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B9609C">
            <w:pPr>
              <w:jc w:val="center"/>
            </w:pPr>
            <w:r>
              <w:rPr>
                <w:rFonts w:ascii="宋体" w:hAnsi="宋体" w:eastAsia="宋体"/>
                <w:sz w:val="16"/>
              </w:rPr>
              <w:t>霍城县人民政府外事办公室工作计划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6D0C21">
            <w:pPr>
              <w:jc w:val="center"/>
            </w:pPr>
            <w:r>
              <w:rPr>
                <w:rFonts w:ascii="宋体" w:hAnsi="宋体" w:eastAsia="宋体"/>
                <w:sz w:val="16"/>
              </w:rPr>
              <w:t>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52A75">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0A0BF">
            <w:pPr>
              <w:jc w:val="center"/>
            </w:pPr>
            <w:r>
              <w:rPr>
                <w:rFonts w:ascii="宋体" w:hAnsi="宋体" w:eastAsia="宋体"/>
                <w:sz w:val="16"/>
              </w:rPr>
              <w:t>22</w:t>
            </w:r>
          </w:p>
        </w:tc>
      </w:tr>
      <w:tr w14:paraId="14D3414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F1E94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63163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2309F6">
            <w:pPr>
              <w:jc w:val="center"/>
            </w:pPr>
            <w:r>
              <w:rPr>
                <w:rFonts w:ascii="宋体" w:hAnsi="宋体" w:eastAsia="宋体"/>
                <w:sz w:val="16"/>
              </w:rPr>
              <w:t>边境巡逻监管次数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0D533">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E328A0">
            <w:pPr>
              <w:jc w:val="center"/>
            </w:pPr>
            <w:r>
              <w:rPr>
                <w:rFonts w:ascii="宋体" w:hAnsi="宋体" w:eastAsia="宋体"/>
                <w:sz w:val="16"/>
              </w:rPr>
              <w:t>或称县人民政府外事办公室工作计划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DCBE0">
            <w:pPr>
              <w:jc w:val="center"/>
            </w:pPr>
            <w:r>
              <w:rPr>
                <w:rFonts w:ascii="宋体" w:hAnsi="宋体" w:eastAsia="宋体"/>
                <w:sz w:val="16"/>
              </w:rPr>
              <w:t>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A17E22">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22851F">
            <w:pPr>
              <w:jc w:val="center"/>
            </w:pPr>
            <w:r>
              <w:rPr>
                <w:rFonts w:ascii="宋体" w:hAnsi="宋体" w:eastAsia="宋体"/>
                <w:sz w:val="16"/>
              </w:rPr>
              <w:t>22</w:t>
            </w:r>
          </w:p>
        </w:tc>
      </w:tr>
      <w:tr w14:paraId="5B49890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A4E41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9DA0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0BFC3">
            <w:pPr>
              <w:jc w:val="center"/>
            </w:pPr>
            <w:r>
              <w:rPr>
                <w:rFonts w:ascii="宋体" w:hAnsi="宋体" w:eastAsia="宋体"/>
                <w:sz w:val="16"/>
              </w:rPr>
              <w:t>境外人员核查次数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0A91F3">
            <w:pPr>
              <w:jc w:val="center"/>
            </w:pPr>
            <w:r>
              <w:rPr>
                <w:rFonts w:ascii="宋体" w:hAnsi="宋体" w:eastAsia="宋体"/>
                <w:sz w:val="16"/>
              </w:rPr>
              <w:t>=5次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DA38C3">
            <w:pPr>
              <w:jc w:val="center"/>
            </w:pPr>
            <w:r>
              <w:rPr>
                <w:rFonts w:ascii="宋体" w:hAnsi="宋体" w:eastAsia="宋体"/>
                <w:sz w:val="16"/>
              </w:rPr>
              <w:t>霍城县人民政府外事办公室工作计划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29BCD4">
            <w:pPr>
              <w:jc w:val="center"/>
            </w:pPr>
            <w:r>
              <w:rPr>
                <w:rFonts w:ascii="宋体" w:hAnsi="宋体" w:eastAsia="宋体"/>
                <w:sz w:val="16"/>
              </w:rPr>
              <w:t>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427C11">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F6B4E">
            <w:pPr>
              <w:jc w:val="center"/>
            </w:pPr>
            <w:r>
              <w:rPr>
                <w:rFonts w:ascii="宋体" w:hAnsi="宋体" w:eastAsia="宋体"/>
                <w:sz w:val="16"/>
              </w:rPr>
              <w:t>23</w:t>
            </w:r>
          </w:p>
        </w:tc>
      </w:tr>
      <w:tr w14:paraId="60A7167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45BA94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9E76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7EB40F">
            <w:pPr>
              <w:jc w:val="center"/>
            </w:pPr>
            <w:r>
              <w:rPr>
                <w:rFonts w:ascii="宋体" w:hAnsi="宋体" w:eastAsia="宋体"/>
                <w:sz w:val="16"/>
              </w:rPr>
              <w:t>涉边法律政策培训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2AF3F">
            <w:pPr>
              <w:jc w:val="center"/>
            </w:pPr>
            <w:r>
              <w:rPr>
                <w:rFonts w:ascii="宋体" w:hAnsi="宋体" w:eastAsia="宋体"/>
                <w:sz w:val="16"/>
              </w:rPr>
              <w:t>&gt;=4次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DA1E6B">
            <w:pPr>
              <w:jc w:val="center"/>
            </w:pPr>
            <w:r>
              <w:rPr>
                <w:rFonts w:ascii="宋体" w:hAnsi="宋体" w:eastAsia="宋体"/>
                <w:sz w:val="16"/>
              </w:rPr>
              <w:t>霍城县人民政府外事办公室工作计划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AD5E34">
            <w:pPr>
              <w:jc w:val="center"/>
            </w:pPr>
            <w:r>
              <w:rPr>
                <w:rFonts w:ascii="宋体" w:hAnsi="宋体" w:eastAsia="宋体"/>
                <w:sz w:val="16"/>
              </w:rPr>
              <w:t>23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964CCB">
            <w:pPr>
              <w:jc w:val="center"/>
            </w:pPr>
            <w:r>
              <w:rPr>
                <w:rFonts w:ascii="宋体" w:hAnsi="宋体" w:eastAsia="宋体"/>
                <w:sz w:val="16"/>
              </w:rPr>
              <w:t>15次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C2526C">
            <w:pPr>
              <w:jc w:val="center"/>
            </w:pPr>
            <w:r>
              <w:rPr>
                <w:rFonts w:ascii="宋体" w:hAnsi="宋体" w:eastAsia="宋体"/>
                <w:sz w:val="16"/>
              </w:rPr>
              <w:t>23</w:t>
            </w:r>
          </w:p>
        </w:tc>
      </w:tr>
    </w:tbl>
    <w:p w14:paraId="17C69AA9">
      <w:r>
        <w:br w:type="page"/>
      </w:r>
    </w:p>
    <w:p w14:paraId="23DA5E02">
      <w:pPr>
        <w:spacing w:line="640" w:lineRule="exact"/>
        <w:ind w:firstLine="640"/>
        <w:jc w:val="both"/>
        <w:outlineLvl w:val="2"/>
      </w:pPr>
      <w:r>
        <w:rPr>
          <w:rFonts w:ascii="黑体" w:hAnsi="黑体" w:eastAsia="黑体"/>
          <w:sz w:val="32"/>
        </w:rPr>
        <w:t>十二、其他需说明的事项</w:t>
      </w:r>
    </w:p>
    <w:p w14:paraId="41EB145C">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5F5673AE">
      <w:r>
        <w:br w:type="page"/>
      </w:r>
    </w:p>
    <w:p w14:paraId="0D293E2E">
      <w:pPr>
        <w:spacing w:line="240" w:lineRule="auto"/>
        <w:jc w:val="center"/>
        <w:outlineLvl w:val="1"/>
      </w:pPr>
      <w:r>
        <w:rPr>
          <w:rFonts w:ascii="黑体" w:hAnsi="黑体" w:eastAsia="黑体"/>
          <w:sz w:val="32"/>
        </w:rPr>
        <w:t>第三部分 专业名词解释</w:t>
      </w:r>
    </w:p>
    <w:p w14:paraId="4866EFB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AD130C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644C35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2BA160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199C85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7A9A0E">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DFE1A57">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32CEA5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16BCFF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B75531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595109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70950F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505201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27D489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B56A313">
      <w:r>
        <w:br w:type="page"/>
      </w:r>
    </w:p>
    <w:p w14:paraId="6F2F7664">
      <w:pPr>
        <w:spacing w:line="240" w:lineRule="auto"/>
        <w:jc w:val="center"/>
        <w:outlineLvl w:val="1"/>
      </w:pPr>
      <w:r>
        <w:rPr>
          <w:rFonts w:ascii="黑体" w:hAnsi="黑体" w:eastAsia="黑体"/>
          <w:sz w:val="32"/>
        </w:rPr>
        <w:t>第四部分 部门决算报表（见附表）</w:t>
      </w:r>
    </w:p>
    <w:p w14:paraId="0D34A22E">
      <w:pPr>
        <w:spacing w:line="240" w:lineRule="auto"/>
        <w:ind w:firstLine="640"/>
        <w:jc w:val="both"/>
      </w:pPr>
      <w:r>
        <w:rPr>
          <w:rFonts w:ascii="仿宋_GB2312" w:hAnsi="仿宋_GB2312" w:eastAsia="仿宋_GB2312"/>
          <w:b w:val="0"/>
          <w:sz w:val="32"/>
        </w:rPr>
        <w:t>一、《收入支出决算总表》</w:t>
      </w:r>
    </w:p>
    <w:p w14:paraId="31725EAE">
      <w:pPr>
        <w:spacing w:line="240" w:lineRule="auto"/>
        <w:ind w:firstLine="640"/>
        <w:jc w:val="both"/>
      </w:pPr>
      <w:r>
        <w:rPr>
          <w:rFonts w:ascii="仿宋_GB2312" w:hAnsi="仿宋_GB2312" w:eastAsia="仿宋_GB2312"/>
          <w:b w:val="0"/>
          <w:sz w:val="32"/>
        </w:rPr>
        <w:t>二、《收入决算表》</w:t>
      </w:r>
    </w:p>
    <w:p w14:paraId="107D2232">
      <w:pPr>
        <w:spacing w:line="240" w:lineRule="auto"/>
        <w:ind w:firstLine="640"/>
        <w:jc w:val="both"/>
      </w:pPr>
      <w:r>
        <w:rPr>
          <w:rFonts w:ascii="仿宋_GB2312" w:hAnsi="仿宋_GB2312" w:eastAsia="仿宋_GB2312"/>
          <w:b w:val="0"/>
          <w:sz w:val="32"/>
        </w:rPr>
        <w:t>三、《支出决算表》</w:t>
      </w:r>
    </w:p>
    <w:p w14:paraId="2E9A5267">
      <w:pPr>
        <w:spacing w:line="240" w:lineRule="auto"/>
        <w:ind w:firstLine="640"/>
        <w:jc w:val="both"/>
      </w:pPr>
      <w:r>
        <w:rPr>
          <w:rFonts w:ascii="仿宋_GB2312" w:hAnsi="仿宋_GB2312" w:eastAsia="仿宋_GB2312"/>
          <w:b w:val="0"/>
          <w:sz w:val="32"/>
        </w:rPr>
        <w:t>四、《财政拨款收入支出决算总表》</w:t>
      </w:r>
    </w:p>
    <w:p w14:paraId="42CE3A2D">
      <w:pPr>
        <w:spacing w:line="240" w:lineRule="auto"/>
        <w:ind w:firstLine="640"/>
        <w:jc w:val="both"/>
      </w:pPr>
      <w:r>
        <w:rPr>
          <w:rFonts w:ascii="仿宋_GB2312" w:hAnsi="仿宋_GB2312" w:eastAsia="仿宋_GB2312"/>
          <w:b w:val="0"/>
          <w:sz w:val="32"/>
        </w:rPr>
        <w:t>五、《一般公共预算财政拨款支出决算表》</w:t>
      </w:r>
    </w:p>
    <w:p w14:paraId="1EC95D8D">
      <w:pPr>
        <w:spacing w:line="240" w:lineRule="auto"/>
        <w:ind w:firstLine="640"/>
        <w:jc w:val="both"/>
      </w:pPr>
      <w:r>
        <w:rPr>
          <w:rFonts w:ascii="仿宋_GB2312" w:hAnsi="仿宋_GB2312" w:eastAsia="仿宋_GB2312"/>
          <w:b w:val="0"/>
          <w:sz w:val="32"/>
        </w:rPr>
        <w:t>六、《一般公共预算财政拨款基本支出决算表》</w:t>
      </w:r>
    </w:p>
    <w:p w14:paraId="5CB959D4">
      <w:pPr>
        <w:spacing w:line="240" w:lineRule="auto"/>
        <w:ind w:firstLine="640"/>
        <w:jc w:val="both"/>
      </w:pPr>
      <w:r>
        <w:rPr>
          <w:rFonts w:ascii="仿宋_GB2312" w:hAnsi="仿宋_GB2312" w:eastAsia="仿宋_GB2312"/>
          <w:b w:val="0"/>
          <w:sz w:val="32"/>
        </w:rPr>
        <w:t>七、《政府性基金预算财政拨款收入支出决算表》</w:t>
      </w:r>
    </w:p>
    <w:p w14:paraId="64570D54">
      <w:pPr>
        <w:spacing w:line="240" w:lineRule="auto"/>
        <w:ind w:firstLine="640"/>
        <w:jc w:val="both"/>
      </w:pPr>
      <w:r>
        <w:rPr>
          <w:rFonts w:ascii="仿宋_GB2312" w:hAnsi="仿宋_GB2312" w:eastAsia="仿宋_GB2312"/>
          <w:b w:val="0"/>
          <w:sz w:val="32"/>
        </w:rPr>
        <w:t>八、《国有资本经营预算财政拨款收入支出决算表》</w:t>
      </w:r>
    </w:p>
    <w:p w14:paraId="54691B66">
      <w:pPr>
        <w:spacing w:line="240" w:lineRule="auto"/>
        <w:ind w:firstLine="640"/>
        <w:jc w:val="both"/>
      </w:pPr>
      <w:r>
        <w:rPr>
          <w:rFonts w:ascii="仿宋_GB2312" w:hAnsi="仿宋_GB2312" w:eastAsia="仿宋_GB2312"/>
          <w:b w:val="0"/>
          <w:sz w:val="32"/>
        </w:rPr>
        <w:t>九、《财政拨款“三公”经费支出决算表》</w:t>
      </w:r>
    </w:p>
    <w:p w14:paraId="352FCB2F">
      <w:pPr>
        <w:spacing w:line="240" w:lineRule="auto"/>
        <w:ind w:firstLine="640"/>
        <w:jc w:val="both"/>
      </w:pPr>
    </w:p>
    <w:p w14:paraId="4F2E8386">
      <w:pPr>
        <w:spacing w:line="240" w:lineRule="auto"/>
        <w:ind w:firstLine="640"/>
        <w:jc w:val="both"/>
      </w:pPr>
    </w:p>
    <w:p w14:paraId="318F3CB0">
      <w:pPr>
        <w:spacing w:line="240" w:lineRule="auto"/>
        <w:ind w:firstLine="640"/>
        <w:jc w:val="both"/>
      </w:pPr>
    </w:p>
    <w:p w14:paraId="591AB9A5">
      <w:pPr>
        <w:spacing w:line="240" w:lineRule="auto"/>
        <w:ind w:firstLine="640"/>
        <w:jc w:val="both"/>
      </w:pPr>
    </w:p>
    <w:p w14:paraId="7D2B809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8D59E1"/>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6FCD4881"/>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6329</Words>
  <Characters>6980</Characters>
  <Lines>0</Lines>
  <Paragraphs>0</Paragraphs>
  <TotalTime>5</TotalTime>
  <ScaleCrop>false</ScaleCrop>
  <LinksUpToDate>false</LinksUpToDate>
  <CharactersWithSpaces>6990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2025-09-25T04:16:46Z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