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1F5CAB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霍城县人民代表大会常务委员会办公室</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2244DF3">
      <w:r>
        <w:br w:type="page"/>
      </w:r>
    </w:p>
    <w:p w14:paraId="0B98C324">
      <w:pPr>
        <w:spacing w:line="640" w:lineRule="exact"/>
        <w:jc w:val="center"/>
        <w:outlineLvl w:val="1"/>
      </w:pPr>
      <w:r>
        <w:rPr>
          <w:rFonts w:ascii="黑体" w:hAnsi="黑体" w:eastAsia="黑体"/>
          <w:sz w:val="32"/>
        </w:rPr>
        <w:t>第一部分 单位概况</w:t>
      </w:r>
    </w:p>
    <w:p w14:paraId="39193748">
      <w:pPr>
        <w:spacing w:line="640" w:lineRule="exact"/>
        <w:ind w:firstLine="640"/>
        <w:jc w:val="both"/>
        <w:outlineLvl w:val="2"/>
      </w:pPr>
      <w:r>
        <w:rPr>
          <w:rFonts w:ascii="黑体" w:hAnsi="黑体" w:eastAsia="黑体"/>
          <w:sz w:val="32"/>
        </w:rPr>
        <w:t>一、主要职能</w:t>
      </w:r>
    </w:p>
    <w:p w14:paraId="4E7196BF">
      <w:pPr>
        <w:spacing w:line="580" w:lineRule="exact"/>
        <w:ind w:firstLine="640"/>
        <w:jc w:val="both"/>
      </w:pPr>
      <w:r>
        <w:rPr>
          <w:rFonts w:ascii="仿宋_GB2312" w:hAnsi="仿宋_GB2312" w:eastAsia="仿宋_GB2312"/>
          <w:sz w:val="32"/>
        </w:rPr>
        <w:t>县人大常委会是县人民代表大会的常设机关，对县人民代表大会负责并报告工作。县人大常委会行使下列职权。</w:t>
      </w:r>
    </w:p>
    <w:p w14:paraId="4D97B233">
      <w:pPr>
        <w:spacing w:line="580" w:lineRule="exact"/>
        <w:ind w:firstLine="640"/>
        <w:jc w:val="both"/>
      </w:pPr>
      <w:r>
        <w:rPr>
          <w:rFonts w:ascii="仿宋_GB2312" w:hAnsi="仿宋_GB2312" w:eastAsia="仿宋_GB2312"/>
          <w:sz w:val="32"/>
        </w:rPr>
        <w:t>（1）在本行政区域内，保证宪法、法律、行政法规和上级人民代表大会及其常委会决议的遵守和执行。</w:t>
      </w:r>
    </w:p>
    <w:p w14:paraId="6E38B67B">
      <w:pPr>
        <w:spacing w:line="580" w:lineRule="exact"/>
        <w:ind w:firstLine="640"/>
        <w:jc w:val="both"/>
      </w:pPr>
      <w:r>
        <w:rPr>
          <w:rFonts w:ascii="仿宋_GB2312" w:hAnsi="仿宋_GB2312" w:eastAsia="仿宋_GB2312"/>
          <w:sz w:val="32"/>
        </w:rPr>
        <w:t>（2）领导、主持县人民代表大会代表的选举。</w:t>
      </w:r>
    </w:p>
    <w:p w14:paraId="3F033C80">
      <w:pPr>
        <w:spacing w:line="580" w:lineRule="exact"/>
        <w:ind w:firstLine="640"/>
        <w:jc w:val="both"/>
      </w:pPr>
      <w:r>
        <w:rPr>
          <w:rFonts w:ascii="仿宋_GB2312" w:hAnsi="仿宋_GB2312" w:eastAsia="仿宋_GB2312"/>
          <w:sz w:val="32"/>
        </w:rPr>
        <w:t>（3）召集县人民代表大会会议；讨论、决定本县内的政治、经济、教育、科学、文化、卫生、环境和资源保护、民政、民族等工作的重大事项；根据县人民政府的建议，决定对本县内的国民经济和社会发展计划、预算的部分变更。</w:t>
      </w:r>
    </w:p>
    <w:p w14:paraId="18352D1E">
      <w:pPr>
        <w:spacing w:line="580" w:lineRule="exact"/>
        <w:ind w:firstLine="640"/>
        <w:jc w:val="both"/>
      </w:pPr>
      <w:r>
        <w:rPr>
          <w:rFonts w:ascii="仿宋_GB2312" w:hAnsi="仿宋_GB2312" w:eastAsia="仿宋_GB2312"/>
          <w:sz w:val="32"/>
        </w:rPr>
        <w:t>（4）监督县人民政府、人民法院和人民检察院的工作，联系县人民代表大会代表，受理人民群众对上述机关和国家工作人员的申诉和意见;撤销乡镇人民代表大会及人大主席团的不适当的决议；撤销县人民政府的不适当的决议和命令。</w:t>
      </w:r>
    </w:p>
    <w:p w14:paraId="7E325396">
      <w:pPr>
        <w:spacing w:line="580" w:lineRule="exact"/>
        <w:ind w:firstLine="640"/>
        <w:jc w:val="both"/>
      </w:pPr>
      <w:r>
        <w:rPr>
          <w:rFonts w:ascii="仿宋_GB2312" w:hAnsi="仿宋_GB2312" w:eastAsia="仿宋_GB2312"/>
          <w:sz w:val="32"/>
        </w:rPr>
        <w:t>（5）在县人民代表大会闭会期间，决定副县长的个别任免。</w:t>
      </w:r>
    </w:p>
    <w:p w14:paraId="59E05120">
      <w:pPr>
        <w:spacing w:line="580" w:lineRule="exact"/>
        <w:ind w:firstLine="640"/>
        <w:jc w:val="both"/>
      </w:pPr>
      <w:r>
        <w:rPr>
          <w:rFonts w:ascii="仿宋_GB2312" w:hAnsi="仿宋_GB2312" w:eastAsia="仿宋_GB2312"/>
          <w:sz w:val="32"/>
        </w:rPr>
        <w:t>在县长和人民法院院长、人民检察院检察长因故不能担任职务的时候，从县人民政府、人民法院、人民检察院副职领导人员中决定代理的人选。决定代理检察长，须报市人民检察院</w:t>
      </w:r>
      <w:r>
        <w:rPr>
          <w:rFonts w:hint="eastAsia" w:ascii="仿宋_GB2312" w:hAnsi="仿宋_GB2312" w:eastAsia="仿宋_GB2312"/>
          <w:sz w:val="32"/>
          <w:lang w:eastAsia="zh-CN"/>
        </w:rPr>
        <w:t>和市</w:t>
      </w:r>
      <w:r>
        <w:rPr>
          <w:rFonts w:ascii="仿宋_GB2312" w:hAnsi="仿宋_GB2312" w:eastAsia="仿宋_GB2312"/>
          <w:sz w:val="32"/>
        </w:rPr>
        <w:t>人大常委会备案。</w:t>
      </w:r>
    </w:p>
    <w:p w14:paraId="756F6AB9">
      <w:pPr>
        <w:spacing w:line="580" w:lineRule="exact"/>
        <w:ind w:firstLine="640"/>
        <w:jc w:val="both"/>
      </w:pPr>
      <w:r>
        <w:rPr>
          <w:rFonts w:ascii="仿宋_GB2312" w:hAnsi="仿宋_GB2312" w:eastAsia="仿宋_GB2312"/>
          <w:sz w:val="32"/>
        </w:rPr>
        <w:t>（6）根据县长的提名，决定县人民政府办公室主任、各序列局局长的任免；按照人民法院组织法和人民检察院组织法的规定，任免人民法院副院长、庭长、副庭长、审判委员会委员、审判员，任免人民检察院副检察长、检察委员会委员、检察员。</w:t>
      </w:r>
    </w:p>
    <w:p w14:paraId="7266CC9F">
      <w:pPr>
        <w:spacing w:line="580" w:lineRule="exact"/>
        <w:ind w:firstLine="640"/>
        <w:jc w:val="both"/>
      </w:pPr>
      <w:r>
        <w:rPr>
          <w:rFonts w:ascii="仿宋_GB2312" w:hAnsi="仿宋_GB2312" w:eastAsia="仿宋_GB2312"/>
          <w:sz w:val="32"/>
        </w:rPr>
        <w:t>（7）在县人民代表大会闭会期间，决定撤销个别副县长；决定撤销由它任命的县人民政府其他组成人员和人民法院副院长、庭长、副庭长、审判委员会委员、审判员，人民检察院副检察长、检察委员会委员、检察员。</w:t>
      </w:r>
    </w:p>
    <w:p w14:paraId="67714613">
      <w:pPr>
        <w:spacing w:line="580" w:lineRule="exact"/>
        <w:ind w:firstLine="640"/>
        <w:jc w:val="both"/>
      </w:pPr>
      <w:r>
        <w:rPr>
          <w:rFonts w:ascii="仿宋_GB2312" w:hAnsi="仿宋_GB2312" w:eastAsia="仿宋_GB2312"/>
          <w:sz w:val="32"/>
        </w:rPr>
        <w:t>（8）在县人民代表大会闭会期间，补选州人民代表大会出缺的代表和罢免个别代表。</w:t>
      </w:r>
    </w:p>
    <w:p w14:paraId="65A8F950">
      <w:pPr>
        <w:spacing w:line="640" w:lineRule="exact"/>
        <w:ind w:firstLine="640"/>
        <w:jc w:val="both"/>
        <w:outlineLvl w:val="2"/>
      </w:pPr>
      <w:r>
        <w:rPr>
          <w:rFonts w:ascii="黑体" w:hAnsi="黑体" w:eastAsia="黑体"/>
          <w:sz w:val="32"/>
        </w:rPr>
        <w:t>二、机构设置及人员情况</w:t>
      </w:r>
    </w:p>
    <w:p w14:paraId="3664313D">
      <w:pPr>
        <w:spacing w:line="580" w:lineRule="exact"/>
        <w:ind w:firstLine="640"/>
        <w:jc w:val="both"/>
      </w:pPr>
      <w:r>
        <w:rPr>
          <w:rFonts w:ascii="仿宋_GB2312" w:hAnsi="仿宋_GB2312" w:eastAsia="仿宋_GB2312"/>
          <w:sz w:val="32"/>
        </w:rPr>
        <w:t>霍城县人民代表大会常务委员会办公室2024年度，实有人数61人，其中：在职人员21人，增加1人；离休人员0人，增加0人；退休人员40人,增加2人。</w:t>
      </w:r>
    </w:p>
    <w:p w14:paraId="3F0192CF">
      <w:pPr>
        <w:spacing w:line="580" w:lineRule="exact"/>
        <w:ind w:firstLine="640"/>
        <w:jc w:val="both"/>
      </w:pPr>
      <w:r>
        <w:rPr>
          <w:rFonts w:ascii="仿宋_GB2312" w:hAnsi="仿宋_GB2312" w:eastAsia="仿宋_GB2312"/>
          <w:sz w:val="32"/>
        </w:rPr>
        <w:t>霍城县人民代表大会常务委员会办公室无下属预算单位，下设5个科室，分别是：代表工作委员会、社会建设工作委员会、法制工作委员会、预算工作委员会、办公室。</w:t>
      </w:r>
    </w:p>
    <w:p w14:paraId="3B621360">
      <w:r>
        <w:br w:type="page"/>
      </w:r>
    </w:p>
    <w:p w14:paraId="18742CF3">
      <w:pPr>
        <w:spacing w:line="240" w:lineRule="auto"/>
        <w:jc w:val="center"/>
        <w:outlineLvl w:val="1"/>
      </w:pPr>
      <w:r>
        <w:rPr>
          <w:rFonts w:ascii="黑体" w:hAnsi="黑体" w:eastAsia="黑体"/>
          <w:sz w:val="32"/>
        </w:rPr>
        <w:t>第二部分 部门决算情况说明</w:t>
      </w:r>
    </w:p>
    <w:p w14:paraId="71CDD5FE">
      <w:pPr>
        <w:spacing w:line="640" w:lineRule="exact"/>
        <w:ind w:firstLine="640"/>
        <w:jc w:val="both"/>
        <w:outlineLvl w:val="2"/>
      </w:pPr>
      <w:r>
        <w:rPr>
          <w:rFonts w:ascii="黑体" w:hAnsi="黑体" w:eastAsia="黑体"/>
          <w:sz w:val="32"/>
        </w:rPr>
        <w:t>一、收入支出决算总体情况说明</w:t>
      </w:r>
    </w:p>
    <w:p w14:paraId="3F826281">
      <w:pPr>
        <w:spacing w:line="580" w:lineRule="exact"/>
        <w:ind w:firstLine="640"/>
        <w:jc w:val="both"/>
      </w:pPr>
      <w:r>
        <w:rPr>
          <w:rFonts w:ascii="仿宋_GB2312" w:hAnsi="仿宋_GB2312" w:eastAsia="仿宋_GB2312"/>
          <w:b/>
          <w:sz w:val="32"/>
        </w:rPr>
        <w:t>2024年度收入总计525.53万元，</w:t>
      </w:r>
      <w:r>
        <w:rPr>
          <w:rFonts w:ascii="仿宋_GB2312" w:hAnsi="仿宋_GB2312" w:eastAsia="仿宋_GB2312"/>
          <w:b w:val="0"/>
          <w:sz w:val="32"/>
        </w:rPr>
        <w:t>其中：本年收入合计525.53万元，使用非财政拨款结余（含专用结余）0.00万元，年初结转和结余0.00万元。</w:t>
      </w:r>
    </w:p>
    <w:p w14:paraId="5AEE5E3E">
      <w:pPr>
        <w:spacing w:line="580" w:lineRule="exact"/>
        <w:ind w:firstLine="640"/>
        <w:jc w:val="both"/>
      </w:pPr>
      <w:r>
        <w:rPr>
          <w:rFonts w:ascii="仿宋_GB2312" w:hAnsi="仿宋_GB2312" w:eastAsia="仿宋_GB2312"/>
          <w:b/>
          <w:sz w:val="32"/>
        </w:rPr>
        <w:t>2024年度支出总计525.53万元，</w:t>
      </w:r>
      <w:r>
        <w:rPr>
          <w:rFonts w:ascii="仿宋_GB2312" w:hAnsi="仿宋_GB2312" w:eastAsia="仿宋_GB2312"/>
          <w:b w:val="0"/>
          <w:sz w:val="32"/>
        </w:rPr>
        <w:t>其中：本年支出合计524.81万元，结余分配0.00万元，年末结转和结余0.72万元。</w:t>
      </w:r>
    </w:p>
    <w:p w14:paraId="415CF765">
      <w:pPr>
        <w:spacing w:line="580" w:lineRule="exact"/>
        <w:ind w:firstLine="640"/>
        <w:jc w:val="both"/>
      </w:pPr>
      <w:r>
        <w:rPr>
          <w:rFonts w:ascii="仿宋_GB2312" w:hAnsi="仿宋_GB2312" w:eastAsia="仿宋_GB2312"/>
          <w:b w:val="0"/>
          <w:sz w:val="32"/>
        </w:rPr>
        <w:t>收入支出总体与上年相比，减少46.08万元，下降8.06%，主要原因是：本年度会议费、人大代表工作室支出减少；因退休人员医疗保险制度改革，退休人员基本医疗不再由单位缴纳，导致经费较上年减少；上级拨付2024年基层人大代表工作经费较上年减少。</w:t>
      </w:r>
    </w:p>
    <w:p w14:paraId="31F38DD7">
      <w:pPr>
        <w:spacing w:line="640" w:lineRule="exact"/>
        <w:ind w:firstLine="640"/>
        <w:jc w:val="both"/>
        <w:outlineLvl w:val="2"/>
      </w:pPr>
      <w:r>
        <w:rPr>
          <w:rFonts w:ascii="黑体" w:hAnsi="黑体" w:eastAsia="黑体"/>
          <w:sz w:val="32"/>
        </w:rPr>
        <w:t>二、收入决算情况说明</w:t>
      </w:r>
    </w:p>
    <w:p w14:paraId="1A5D5F04">
      <w:pPr>
        <w:spacing w:line="580" w:lineRule="exact"/>
        <w:ind w:firstLine="640"/>
        <w:jc w:val="both"/>
      </w:pPr>
      <w:r>
        <w:rPr>
          <w:rFonts w:ascii="仿宋_GB2312" w:hAnsi="仿宋_GB2312" w:eastAsia="仿宋_GB2312"/>
          <w:b/>
          <w:sz w:val="32"/>
        </w:rPr>
        <w:t>本年收入525.53万元，</w:t>
      </w:r>
      <w:r>
        <w:rPr>
          <w:rFonts w:ascii="仿宋_GB2312" w:hAnsi="仿宋_GB2312" w:eastAsia="仿宋_GB2312"/>
          <w:b w:val="0"/>
          <w:sz w:val="32"/>
        </w:rPr>
        <w:t>其中：财政拨款收入515.45万元，占98.08%；上级补助收入0.00万元，占0.00%；事业收入0.00万元，占0.00%；经营收入0.00万元，占0.00%；附属单位上缴收入0.00万元，占0.00%；其他收入10.08万元，占1.92%。</w:t>
      </w:r>
    </w:p>
    <w:p w14:paraId="791A8AD1">
      <w:pPr>
        <w:spacing w:line="640" w:lineRule="exact"/>
        <w:ind w:firstLine="640"/>
        <w:jc w:val="both"/>
        <w:outlineLvl w:val="2"/>
      </w:pPr>
      <w:r>
        <w:rPr>
          <w:rFonts w:ascii="黑体" w:hAnsi="黑体" w:eastAsia="黑体"/>
          <w:sz w:val="32"/>
        </w:rPr>
        <w:t>三、支出决算情况说明</w:t>
      </w:r>
    </w:p>
    <w:p w14:paraId="60E78FBC">
      <w:pPr>
        <w:spacing w:line="580" w:lineRule="exact"/>
        <w:ind w:firstLine="640"/>
        <w:jc w:val="both"/>
      </w:pPr>
      <w:r>
        <w:rPr>
          <w:rFonts w:ascii="仿宋_GB2312" w:hAnsi="仿宋_GB2312" w:eastAsia="仿宋_GB2312"/>
          <w:b/>
          <w:sz w:val="32"/>
        </w:rPr>
        <w:t>本年支出524.81万元，</w:t>
      </w:r>
      <w:r>
        <w:rPr>
          <w:rFonts w:ascii="仿宋_GB2312" w:hAnsi="仿宋_GB2312" w:eastAsia="仿宋_GB2312"/>
          <w:b w:val="0"/>
          <w:sz w:val="32"/>
        </w:rPr>
        <w:t>其中：基本支出524.81万元，占100.00%；项目支出0.00万元，占0.00%；上缴上级支出0.00万元，占0.00%；经营支出0.00万元，占0.00%；对附属单位补助支出0.00万元，占0.00%。</w:t>
      </w:r>
    </w:p>
    <w:p w14:paraId="1C55DE48">
      <w:pPr>
        <w:spacing w:line="640" w:lineRule="exact"/>
        <w:ind w:firstLine="640"/>
        <w:jc w:val="both"/>
        <w:outlineLvl w:val="2"/>
      </w:pPr>
      <w:r>
        <w:rPr>
          <w:rFonts w:ascii="黑体" w:hAnsi="黑体" w:eastAsia="黑体"/>
          <w:sz w:val="32"/>
        </w:rPr>
        <w:t>四、财政拨款收入支出决算总体情况说明</w:t>
      </w:r>
    </w:p>
    <w:p w14:paraId="445AF065">
      <w:pPr>
        <w:spacing w:line="580" w:lineRule="exact"/>
        <w:ind w:firstLine="640"/>
        <w:jc w:val="both"/>
      </w:pPr>
      <w:r>
        <w:rPr>
          <w:rFonts w:ascii="仿宋_GB2312" w:hAnsi="仿宋_GB2312" w:eastAsia="仿宋_GB2312"/>
          <w:b/>
          <w:sz w:val="32"/>
        </w:rPr>
        <w:t>2024年度财政拨款收入总计515.45万元，</w:t>
      </w:r>
      <w:r>
        <w:rPr>
          <w:rFonts w:ascii="仿宋_GB2312" w:hAnsi="仿宋_GB2312" w:eastAsia="仿宋_GB2312"/>
          <w:b w:val="0"/>
          <w:sz w:val="32"/>
        </w:rPr>
        <w:t>其中：年初财政拨款结转和结余0.00万元，本年财政拨款收入515.45万元。</w:t>
      </w:r>
      <w:r>
        <w:rPr>
          <w:rFonts w:ascii="仿宋_GB2312" w:hAnsi="仿宋_GB2312" w:eastAsia="仿宋_GB2312"/>
          <w:b/>
          <w:sz w:val="32"/>
        </w:rPr>
        <w:t>财政拨款支出总计515.45万元，</w:t>
      </w:r>
      <w:r>
        <w:rPr>
          <w:rFonts w:ascii="仿宋_GB2312" w:hAnsi="仿宋_GB2312" w:eastAsia="仿宋_GB2312"/>
          <w:b w:val="0"/>
          <w:sz w:val="32"/>
        </w:rPr>
        <w:t>其中：年末财政拨款结转和结余0.00万元，本年财政拨款支出515.45万元。</w:t>
      </w:r>
    </w:p>
    <w:p w14:paraId="5514E24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45.44万元，下降8.10%，主要原因是：本年度会议费、人大代表工作室支出减少；因退休人员医疗保险制度改革，退休人员基本医疗不再由单位缴纳，导致经费较上年减少；上级拨付2024年基层人大代表工作经费较上年减少。</w:t>
      </w:r>
      <w:r>
        <w:rPr>
          <w:rFonts w:ascii="仿宋_GB2312" w:hAnsi="仿宋_GB2312" w:eastAsia="仿宋_GB2312"/>
          <w:b/>
          <w:sz w:val="32"/>
        </w:rPr>
        <w:t>与年初预算相比，</w:t>
      </w:r>
      <w:r>
        <w:rPr>
          <w:rFonts w:ascii="仿宋_GB2312" w:hAnsi="仿宋_GB2312" w:eastAsia="仿宋_GB2312"/>
          <w:b w:val="0"/>
          <w:sz w:val="32"/>
        </w:rPr>
        <w:t>年初预算数466.24万元，决算数515.45万元，预决算差异率10.55%，主要原因是：本年在职人员增加，年中追加人员工资、社保、公积金基数调增部分资金，年中追加退休人员职业年金缴费，导致预决算存在差异。</w:t>
      </w:r>
    </w:p>
    <w:p w14:paraId="562C9450">
      <w:pPr>
        <w:spacing w:line="640" w:lineRule="exact"/>
        <w:ind w:firstLine="640"/>
        <w:jc w:val="both"/>
        <w:outlineLvl w:val="2"/>
      </w:pPr>
      <w:r>
        <w:rPr>
          <w:rFonts w:ascii="黑体" w:hAnsi="黑体" w:eastAsia="黑体"/>
          <w:sz w:val="32"/>
        </w:rPr>
        <w:t>五、一般公共预算财政拨款支出决算情况说明</w:t>
      </w:r>
    </w:p>
    <w:p w14:paraId="5F734F30">
      <w:pPr>
        <w:spacing w:line="640" w:lineRule="exact"/>
        <w:ind w:firstLine="640"/>
        <w:jc w:val="both"/>
        <w:outlineLvl w:val="3"/>
      </w:pPr>
      <w:r>
        <w:rPr>
          <w:rFonts w:ascii="楷体_GB2312" w:hAnsi="楷体_GB2312" w:eastAsia="楷体_GB2312"/>
          <w:b/>
          <w:sz w:val="32"/>
        </w:rPr>
        <w:t>（一）一般公共预算财政拨款支出决算总体情况</w:t>
      </w:r>
    </w:p>
    <w:p w14:paraId="77BE43D4">
      <w:pPr>
        <w:spacing w:line="580" w:lineRule="exact"/>
        <w:ind w:firstLine="640"/>
        <w:jc w:val="both"/>
      </w:pPr>
      <w:r>
        <w:rPr>
          <w:rFonts w:ascii="仿宋_GB2312" w:hAnsi="仿宋_GB2312" w:eastAsia="仿宋_GB2312"/>
          <w:b/>
          <w:sz w:val="32"/>
        </w:rPr>
        <w:t>2024年度一般公共预算财政拨款支出515.45万元，</w:t>
      </w:r>
      <w:r>
        <w:rPr>
          <w:rFonts w:ascii="仿宋_GB2312" w:hAnsi="仿宋_GB2312" w:eastAsia="仿宋_GB2312"/>
          <w:b w:val="0"/>
          <w:sz w:val="32"/>
        </w:rPr>
        <w:t>占本年支出合计的98.22%。</w:t>
      </w:r>
      <w:r>
        <w:rPr>
          <w:rFonts w:ascii="仿宋_GB2312" w:hAnsi="仿宋_GB2312" w:eastAsia="仿宋_GB2312"/>
          <w:b/>
          <w:sz w:val="32"/>
        </w:rPr>
        <w:t>与上年相比，</w:t>
      </w:r>
      <w:r>
        <w:rPr>
          <w:rFonts w:ascii="仿宋_GB2312" w:hAnsi="仿宋_GB2312" w:eastAsia="仿宋_GB2312"/>
          <w:b w:val="0"/>
          <w:sz w:val="32"/>
        </w:rPr>
        <w:t>减少45.44万元，下降8.10%，主要原因是：本年度会议费、人大代表工作室支出减少；因退休人员医疗保险制度改革，退休人员基本医疗不再由单位缴纳，导致经费较上年减少；上级拨付2024年基层人大代表工作经费较上年减少。</w:t>
      </w:r>
      <w:r>
        <w:rPr>
          <w:rFonts w:ascii="仿宋_GB2312" w:hAnsi="仿宋_GB2312" w:eastAsia="仿宋_GB2312"/>
          <w:b/>
          <w:sz w:val="32"/>
        </w:rPr>
        <w:t>与年初预算相比,</w:t>
      </w:r>
      <w:r>
        <w:rPr>
          <w:rFonts w:ascii="仿宋_GB2312" w:hAnsi="仿宋_GB2312" w:eastAsia="仿宋_GB2312"/>
          <w:b w:val="0"/>
          <w:sz w:val="32"/>
        </w:rPr>
        <w:t>年初预算数466.24万元，决算数515.45万元，预决算差异率10.55%，主要原因是：本年在职人员增加，年中追加人员工资、社保、公积金基数调增部分资金，年中追加退休人员职业年金缴费，导致预决算存在差异。</w:t>
      </w:r>
    </w:p>
    <w:p w14:paraId="0E863D9F">
      <w:pPr>
        <w:spacing w:line="640" w:lineRule="exact"/>
        <w:ind w:firstLine="640"/>
        <w:jc w:val="both"/>
        <w:outlineLvl w:val="3"/>
      </w:pPr>
      <w:r>
        <w:rPr>
          <w:rFonts w:ascii="楷体_GB2312" w:hAnsi="楷体_GB2312" w:eastAsia="楷体_GB2312"/>
          <w:b/>
          <w:sz w:val="32"/>
        </w:rPr>
        <w:t>（二）一般公共预算财政拨款支出决算结构情况</w:t>
      </w:r>
    </w:p>
    <w:p w14:paraId="32A99BAC">
      <w:pPr>
        <w:spacing w:line="580" w:lineRule="exact"/>
        <w:ind w:firstLine="640"/>
        <w:jc w:val="both"/>
      </w:pPr>
      <w:r>
        <w:rPr>
          <w:rFonts w:ascii="仿宋_GB2312" w:hAnsi="仿宋_GB2312" w:eastAsia="仿宋_GB2312"/>
          <w:b w:val="0"/>
          <w:sz w:val="32"/>
        </w:rPr>
        <w:t>1.一般公共服务支出(类)353.44万元,占68.57%。</w:t>
      </w:r>
    </w:p>
    <w:p w14:paraId="49956717">
      <w:pPr>
        <w:spacing w:line="580" w:lineRule="exact"/>
        <w:ind w:firstLine="640"/>
        <w:jc w:val="both"/>
      </w:pPr>
      <w:r>
        <w:rPr>
          <w:rFonts w:ascii="仿宋_GB2312" w:hAnsi="仿宋_GB2312" w:eastAsia="仿宋_GB2312"/>
          <w:b w:val="0"/>
          <w:sz w:val="32"/>
        </w:rPr>
        <w:t>2.社会保障和就业支出(类)109.63万元,占21.27%。</w:t>
      </w:r>
    </w:p>
    <w:p w14:paraId="0F5E1DA6">
      <w:pPr>
        <w:spacing w:line="580" w:lineRule="exact"/>
        <w:ind w:firstLine="640"/>
        <w:jc w:val="both"/>
      </w:pPr>
      <w:r>
        <w:rPr>
          <w:rFonts w:ascii="仿宋_GB2312" w:hAnsi="仿宋_GB2312" w:eastAsia="仿宋_GB2312"/>
          <w:b w:val="0"/>
          <w:sz w:val="32"/>
        </w:rPr>
        <w:t>3.卫生健康支出(类)20.31万元,占3.94%。</w:t>
      </w:r>
    </w:p>
    <w:p w14:paraId="7BF5CE01">
      <w:pPr>
        <w:spacing w:line="580" w:lineRule="exact"/>
        <w:ind w:firstLine="640"/>
        <w:jc w:val="both"/>
      </w:pPr>
      <w:r>
        <w:rPr>
          <w:rFonts w:ascii="仿宋_GB2312" w:hAnsi="仿宋_GB2312" w:eastAsia="仿宋_GB2312"/>
          <w:b w:val="0"/>
          <w:sz w:val="32"/>
        </w:rPr>
        <w:t>4.住房保障支出(类)32.07万元,占6.22%。</w:t>
      </w:r>
    </w:p>
    <w:p w14:paraId="5200DC55">
      <w:pPr>
        <w:spacing w:line="640" w:lineRule="exact"/>
        <w:ind w:firstLine="640"/>
        <w:jc w:val="both"/>
        <w:outlineLvl w:val="3"/>
      </w:pPr>
      <w:r>
        <w:rPr>
          <w:rFonts w:ascii="楷体_GB2312" w:hAnsi="楷体_GB2312" w:eastAsia="楷体_GB2312"/>
          <w:b/>
          <w:sz w:val="32"/>
        </w:rPr>
        <w:t>（三）一般公共预算财政拨款支出决算具体情况</w:t>
      </w:r>
    </w:p>
    <w:p w14:paraId="5468323F">
      <w:pPr>
        <w:spacing w:line="580" w:lineRule="exact"/>
        <w:ind w:firstLine="640"/>
        <w:jc w:val="both"/>
      </w:pPr>
      <w:r>
        <w:rPr>
          <w:rFonts w:ascii="仿宋_GB2312" w:hAnsi="仿宋_GB2312" w:eastAsia="仿宋_GB2312"/>
          <w:b w:val="0"/>
          <w:sz w:val="32"/>
        </w:rPr>
        <w:t>1.一般公共服务支出(类)人大事务(款)行政运行(项):支出决算数为275.83万元，比上年决算减少10.37万元，下降3.62%,主要原因是：本年在职人员调入调出、退休，人员职级不同，工资基数不同，导致人员经费较上年减少。</w:t>
      </w:r>
    </w:p>
    <w:p w14:paraId="77D0DDAF">
      <w:pPr>
        <w:spacing w:line="580" w:lineRule="exact"/>
        <w:ind w:firstLine="640"/>
        <w:jc w:val="both"/>
      </w:pPr>
      <w:r>
        <w:rPr>
          <w:rFonts w:ascii="仿宋_GB2312" w:hAnsi="仿宋_GB2312" w:eastAsia="仿宋_GB2312"/>
          <w:b w:val="0"/>
          <w:sz w:val="32"/>
        </w:rPr>
        <w:t>2.一般公共服务支出(类)人大事务(款)人大会议(项):支出决算数为20.00万元，比上年决算减少8.00万元，下降28.57%,主要原因是：本年度会议费支出上年减少。</w:t>
      </w:r>
    </w:p>
    <w:p w14:paraId="6421F875">
      <w:pPr>
        <w:spacing w:line="580" w:lineRule="exact"/>
        <w:ind w:firstLine="640"/>
        <w:jc w:val="both"/>
      </w:pPr>
      <w:r>
        <w:rPr>
          <w:rFonts w:ascii="仿宋_GB2312" w:hAnsi="仿宋_GB2312" w:eastAsia="仿宋_GB2312"/>
          <w:b w:val="0"/>
          <w:sz w:val="32"/>
        </w:rPr>
        <w:t>3.一般公共服务支出(类)人大事务(款)代表工作(项):支出决算数为17.97万元，比上年决算减少6.83万元，下降27.54%,主要原因是：本年度人大代表工作室支出减少。</w:t>
      </w:r>
    </w:p>
    <w:p w14:paraId="4B68D500">
      <w:pPr>
        <w:spacing w:line="580" w:lineRule="exact"/>
        <w:ind w:firstLine="640"/>
        <w:jc w:val="both"/>
      </w:pPr>
      <w:r>
        <w:rPr>
          <w:rFonts w:ascii="仿宋_GB2312" w:hAnsi="仿宋_GB2312" w:eastAsia="仿宋_GB2312"/>
          <w:b w:val="0"/>
          <w:sz w:val="32"/>
        </w:rPr>
        <w:t>4.一般公共服务支出(类)人大事务(款)事业运行(项):支出决算数为30.87万元，比上年决算增加8.74万元，增长39.49%,主要原因是：本年新增在职人员，在职人员工资调增，导致相关人员经费较上年有所增加。</w:t>
      </w:r>
    </w:p>
    <w:p w14:paraId="0E2ADF5B">
      <w:pPr>
        <w:spacing w:line="580" w:lineRule="exact"/>
        <w:ind w:firstLine="640"/>
        <w:jc w:val="both"/>
      </w:pPr>
      <w:r>
        <w:rPr>
          <w:rFonts w:ascii="仿宋_GB2312" w:hAnsi="仿宋_GB2312" w:eastAsia="仿宋_GB2312"/>
          <w:b w:val="0"/>
          <w:sz w:val="32"/>
        </w:rPr>
        <w:t>5.一般公共服务支出(类)人大事务(款)其他人大事务支出(项):支出决算数为8.78万元，比上年决算减少3.22万元，下降26.83%,主要原因是：上级拨付2024年基层人大代表工作经费较上年减少。</w:t>
      </w:r>
    </w:p>
    <w:p w14:paraId="1B921C1C">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30.12万元，比上年决算增加22.13万元，增长276.97%,主要原因是：本年退休人员增加，增加退休人员基础绩效奖，退休费支出增加。</w:t>
      </w:r>
    </w:p>
    <w:p w14:paraId="65857F6F">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39.69万元，比上年决算增加4.02万元，增长11.27%,主要原因是：本年在职人员增加，在职人员工资基数调增，养老缴费基数上涨，相应支出增加。</w:t>
      </w:r>
    </w:p>
    <w:p w14:paraId="5B9C9181">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14.94万元，比上年决算减少6.75万元，下降31.12%,主要原因是：本年新增退休人员较上年减少，职业年金缴费较上年减少。</w:t>
      </w:r>
    </w:p>
    <w:p w14:paraId="4B792DCE">
      <w:pPr>
        <w:spacing w:line="580" w:lineRule="exact"/>
        <w:ind w:firstLine="640"/>
        <w:jc w:val="both"/>
      </w:pPr>
      <w:r>
        <w:rPr>
          <w:rFonts w:ascii="仿宋_GB2312" w:hAnsi="仿宋_GB2312" w:eastAsia="仿宋_GB2312"/>
          <w:b w:val="0"/>
          <w:sz w:val="32"/>
        </w:rPr>
        <w:t>9.社会保障和就业支出(类)就业补助(款)其他就业补助支出(项):支出决算数为0.00万元，比上年决算减少1.00万元，下降100.00%,主要原因是：本年科目调整，临聘人员工资社会保障和就业支出上年度在此科目列支，本年调整至其他人大事务支出科目列支，导致经费较上年减少。</w:t>
      </w:r>
    </w:p>
    <w:p w14:paraId="53D40D7C">
      <w:pPr>
        <w:spacing w:line="580" w:lineRule="exact"/>
        <w:ind w:firstLine="640"/>
        <w:jc w:val="both"/>
      </w:pPr>
      <w:r>
        <w:rPr>
          <w:rFonts w:ascii="仿宋_GB2312" w:hAnsi="仿宋_GB2312" w:eastAsia="仿宋_GB2312"/>
          <w:b w:val="0"/>
          <w:sz w:val="32"/>
        </w:rPr>
        <w:t>10.社会保障和就业支出(类)抚恤(款)死亡抚恤(项):支出决算数为24.87万元，比上年决算减少23.54万元，下降48.63%,主要原因是：本年新增死亡人员较上年减少，死亡抚恤支出较上年减少。</w:t>
      </w:r>
    </w:p>
    <w:p w14:paraId="62FD3FDD">
      <w:pPr>
        <w:spacing w:line="580" w:lineRule="exact"/>
        <w:ind w:firstLine="640"/>
        <w:jc w:val="both"/>
      </w:pPr>
      <w:r>
        <w:rPr>
          <w:rFonts w:ascii="仿宋_GB2312" w:hAnsi="仿宋_GB2312" w:eastAsia="仿宋_GB2312"/>
          <w:b w:val="0"/>
          <w:sz w:val="32"/>
        </w:rPr>
        <w:t>11.卫生健康支出(类)卫生健康管理事务(款)行政运行(项):支出决算数为0.00万元，比上年决算减少1.61万元，下降100.00%,主要原因是：本年科目调整，基本医疗保险金上年度在此科目列支，本年调整至公务员医疗补助科目列支，导致经费较上年减少。</w:t>
      </w:r>
    </w:p>
    <w:p w14:paraId="77D66F8D">
      <w:pPr>
        <w:spacing w:line="580" w:lineRule="exact"/>
        <w:ind w:firstLine="640"/>
        <w:jc w:val="both"/>
      </w:pPr>
      <w:r>
        <w:rPr>
          <w:rFonts w:ascii="仿宋_GB2312" w:hAnsi="仿宋_GB2312" w:eastAsia="仿宋_GB2312"/>
          <w:b w:val="0"/>
          <w:sz w:val="32"/>
        </w:rPr>
        <w:t>12.卫生健康支出(类)行政事业单位医疗(款)行政单位医疗(项):支出决算数为17.82万元，比上年决算减少20.68万元，下降53.71%,主要原因是：因退休人员医疗保险制度改革，退休人员基本医疗不再由单位缴纳，导致经费较上年减少。</w:t>
      </w:r>
    </w:p>
    <w:p w14:paraId="0F370439">
      <w:pPr>
        <w:spacing w:line="580" w:lineRule="exact"/>
        <w:ind w:firstLine="640"/>
        <w:jc w:val="both"/>
      </w:pPr>
      <w:r>
        <w:rPr>
          <w:rFonts w:ascii="仿宋_GB2312" w:hAnsi="仿宋_GB2312" w:eastAsia="仿宋_GB2312"/>
          <w:b w:val="0"/>
          <w:sz w:val="32"/>
        </w:rPr>
        <w:t>13.卫生健康支出(类)行政事业单位医疗(款)事业单位医疗(项):支出决算数为2.07万元，比上年决算增加0.74万元，增长55.64%,主要原因是：本年在职人员增加，人员工资基数调增，医疗缴费基数上涨，相应支出增加。</w:t>
      </w:r>
    </w:p>
    <w:p w14:paraId="0CB1E587">
      <w:pPr>
        <w:spacing w:line="580" w:lineRule="exact"/>
        <w:ind w:firstLine="640"/>
        <w:jc w:val="both"/>
      </w:pPr>
      <w:r>
        <w:rPr>
          <w:rFonts w:ascii="仿宋_GB2312" w:hAnsi="仿宋_GB2312" w:eastAsia="仿宋_GB2312"/>
          <w:b w:val="0"/>
          <w:sz w:val="32"/>
        </w:rPr>
        <w:t>14.卫生健康支出(类)行政事业单位医疗(款)公务员医疗补助(项):支出决算数为0.42万元，比上年决算减少2.56万元，下降85.91%,主要原因是：本年在职人员调入调出、退休，人员职级不同，缴费基数不同，导致公务员医疗补助较上年减少。</w:t>
      </w:r>
    </w:p>
    <w:p w14:paraId="48FAA4AA">
      <w:pPr>
        <w:spacing w:line="580" w:lineRule="exact"/>
        <w:ind w:firstLine="640"/>
        <w:jc w:val="both"/>
      </w:pPr>
      <w:r>
        <w:rPr>
          <w:rFonts w:ascii="仿宋_GB2312" w:hAnsi="仿宋_GB2312" w:eastAsia="仿宋_GB2312"/>
          <w:b w:val="0"/>
          <w:sz w:val="32"/>
        </w:rPr>
        <w:t>15.住房保障支出(类)住房改革支出(款)住房公积金(项):支出决算数为32.07万元，比上年决算增加3.48万元，增长12.17%,主要原因是：本年在职人员增加，人员工资基数调增，公积金缴费基数上涨，相应支出增加。</w:t>
      </w:r>
    </w:p>
    <w:p w14:paraId="64F55CAF">
      <w:pPr>
        <w:spacing w:line="640" w:lineRule="exact"/>
        <w:ind w:firstLine="640"/>
        <w:jc w:val="both"/>
        <w:outlineLvl w:val="2"/>
      </w:pPr>
      <w:r>
        <w:rPr>
          <w:rFonts w:ascii="黑体" w:hAnsi="黑体" w:eastAsia="黑体"/>
          <w:sz w:val="32"/>
        </w:rPr>
        <w:t>六、一般公共预算财政拨款基本支出决算情况说明</w:t>
      </w:r>
    </w:p>
    <w:p w14:paraId="6BF7542C">
      <w:pPr>
        <w:spacing w:line="580" w:lineRule="exact"/>
        <w:ind w:firstLine="640"/>
        <w:jc w:val="both"/>
      </w:pPr>
      <w:r>
        <w:rPr>
          <w:rFonts w:ascii="仿宋_GB2312" w:hAnsi="仿宋_GB2312" w:eastAsia="仿宋_GB2312"/>
          <w:b w:val="0"/>
          <w:sz w:val="32"/>
        </w:rPr>
        <w:t>2024年度一般公共预算财政拨款基本支出515.45万元，其中：</w:t>
      </w:r>
      <w:r>
        <w:rPr>
          <w:rFonts w:ascii="仿宋_GB2312" w:hAnsi="仿宋_GB2312" w:eastAsia="仿宋_GB2312"/>
          <w:b/>
          <w:sz w:val="32"/>
        </w:rPr>
        <w:t>人员经费456.82万元，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5B658D5C">
      <w:pPr>
        <w:spacing w:line="580" w:lineRule="exact"/>
        <w:ind w:firstLine="640"/>
        <w:jc w:val="both"/>
      </w:pPr>
      <w:r>
        <w:rPr>
          <w:rFonts w:ascii="仿宋_GB2312" w:hAnsi="仿宋_GB2312" w:eastAsia="仿宋_GB2312"/>
          <w:b/>
          <w:sz w:val="32"/>
        </w:rPr>
        <w:t>公用经费58.63万元，</w:t>
      </w:r>
      <w:r>
        <w:rPr>
          <w:rFonts w:ascii="仿宋_GB2312" w:hAnsi="仿宋_GB2312" w:eastAsia="仿宋_GB2312"/>
          <w:b w:val="0"/>
          <w:sz w:val="32"/>
        </w:rPr>
        <w:t>包括：办公费、邮电费、差旅费、会议费、培训费、劳务费、工会经费、福利费、公务用车运行维护费、其他商品和服务支出、办公设备购置、信息网络及软件购置更新。</w:t>
      </w:r>
    </w:p>
    <w:p w14:paraId="7B9077F8">
      <w:pPr>
        <w:spacing w:line="640" w:lineRule="exact"/>
        <w:ind w:firstLine="640"/>
        <w:jc w:val="both"/>
        <w:outlineLvl w:val="2"/>
      </w:pPr>
      <w:r>
        <w:rPr>
          <w:rFonts w:ascii="黑体" w:hAnsi="黑体" w:eastAsia="黑体"/>
          <w:sz w:val="32"/>
        </w:rPr>
        <w:t>七、政府性基金预算财政拨款收入支出决算情况说明</w:t>
      </w:r>
    </w:p>
    <w:p w14:paraId="761B67B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42696FF">
      <w:pPr>
        <w:spacing w:line="640" w:lineRule="exact"/>
        <w:ind w:firstLine="640"/>
        <w:jc w:val="both"/>
        <w:outlineLvl w:val="2"/>
      </w:pPr>
      <w:r>
        <w:rPr>
          <w:rFonts w:ascii="黑体" w:hAnsi="黑体" w:eastAsia="黑体"/>
          <w:sz w:val="32"/>
        </w:rPr>
        <w:t>八、国有资本经营预算财政拨款收入支出决算情况说明</w:t>
      </w:r>
    </w:p>
    <w:p w14:paraId="3496F7C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60C13F8">
      <w:pPr>
        <w:spacing w:line="640" w:lineRule="exact"/>
        <w:ind w:firstLine="640"/>
        <w:jc w:val="both"/>
        <w:outlineLvl w:val="2"/>
      </w:pPr>
      <w:r>
        <w:rPr>
          <w:rFonts w:ascii="黑体" w:hAnsi="黑体" w:eastAsia="黑体"/>
          <w:sz w:val="32"/>
        </w:rPr>
        <w:t>九、财政拨款“三公”经费支出决算情况说明</w:t>
      </w:r>
    </w:p>
    <w:p w14:paraId="6A37002C">
      <w:pPr>
        <w:spacing w:line="580" w:lineRule="exact"/>
        <w:ind w:firstLine="640"/>
        <w:jc w:val="both"/>
      </w:pPr>
      <w:r>
        <w:rPr>
          <w:rFonts w:ascii="仿宋_GB2312" w:hAnsi="仿宋_GB2312" w:eastAsia="仿宋_GB2312"/>
          <w:b/>
          <w:sz w:val="32"/>
        </w:rPr>
        <w:t>2024年度财政拨款“三公”经费支出12.13万元，</w:t>
      </w:r>
      <w:r>
        <w:rPr>
          <w:rFonts w:ascii="仿宋_GB2312" w:hAnsi="仿宋_GB2312" w:eastAsia="仿宋_GB2312"/>
          <w:b w:val="0"/>
          <w:sz w:val="32"/>
        </w:rPr>
        <w:t>比上年增加0.22万元，增长1.85%，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12.13万元，占100.00%，比上年增加0.43万元，增长3.68%，主要原因是：本年因业务需求，用车次数增加，燃油费增加，导致公务用车运行维护费较上年增加。公务接待费支出0.00万元，占0.00%，比上年减少0.21万元，下降100.00%，主要原因是：本年未安排公务接待工作，导致公务接待费较上年减少。</w:t>
      </w:r>
    </w:p>
    <w:p w14:paraId="7222718F">
      <w:pPr>
        <w:spacing w:line="580" w:lineRule="exact"/>
        <w:ind w:firstLine="640"/>
        <w:jc w:val="both"/>
      </w:pPr>
      <w:r>
        <w:rPr>
          <w:rFonts w:ascii="仿宋_GB2312" w:hAnsi="仿宋_GB2312" w:eastAsia="仿宋_GB2312"/>
          <w:b/>
          <w:sz w:val="32"/>
        </w:rPr>
        <w:t>具体情况如下：</w:t>
      </w:r>
    </w:p>
    <w:p w14:paraId="0C3BB30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5FE0869">
      <w:pPr>
        <w:spacing w:line="580" w:lineRule="exact"/>
        <w:ind w:firstLine="640"/>
        <w:jc w:val="both"/>
      </w:pPr>
      <w:r>
        <w:rPr>
          <w:rFonts w:ascii="仿宋_GB2312" w:hAnsi="仿宋_GB2312" w:eastAsia="仿宋_GB2312"/>
          <w:b w:val="0"/>
          <w:sz w:val="32"/>
        </w:rPr>
        <w:t>公务用车购置及运行维护费12.13万元，其中：公务用车购置费0.00万元，公务用车运行维护费12.13万元。公务用车运行维护费开支内容包括车辆加油费、维修费、保险费、审车费、过路费。公务用车购置数0辆，公务用车保有量7辆。国有资产占用情况中固定资产车辆7辆，与公务用车保有量差异原因是：本单位固定资产车辆与公务用车保有量一致无差异。</w:t>
      </w:r>
    </w:p>
    <w:p w14:paraId="44544CE3">
      <w:pPr>
        <w:spacing w:line="580" w:lineRule="exact"/>
        <w:ind w:firstLine="640"/>
        <w:jc w:val="both"/>
      </w:pPr>
      <w:r>
        <w:rPr>
          <w:rFonts w:ascii="仿宋_GB2312" w:hAnsi="仿宋_GB2312" w:eastAsia="仿宋_GB2312"/>
          <w:b w:val="0"/>
          <w:sz w:val="32"/>
        </w:rPr>
        <w:t>公务接待费0.00万元，开支内容包括本单位无公务接待费支出。单位全年安排的国内公务接待0批次，0人次。</w:t>
      </w:r>
    </w:p>
    <w:p w14:paraId="68FD209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12.13万元，决算数12.13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12.13万元，决算数12.13万元，预决算差异率0.00%，主要原因是：严格按照预算执行，预决算无差异。公务接待费全年预算数0.00万元，决算数0.00万元，预决算差异率0.00%，主要原因是：本单位无公务接待费。</w:t>
      </w:r>
    </w:p>
    <w:p w14:paraId="4AF3C090">
      <w:pPr>
        <w:spacing w:line="640" w:lineRule="exact"/>
        <w:ind w:firstLine="640"/>
        <w:jc w:val="both"/>
        <w:outlineLvl w:val="2"/>
      </w:pPr>
      <w:r>
        <w:rPr>
          <w:rFonts w:ascii="黑体" w:hAnsi="黑体" w:eastAsia="黑体"/>
          <w:sz w:val="32"/>
        </w:rPr>
        <w:t>十、其他重要事项的情况说明</w:t>
      </w:r>
    </w:p>
    <w:p w14:paraId="0C3EEC71">
      <w:pPr>
        <w:spacing w:line="640" w:lineRule="exact"/>
        <w:ind w:firstLine="640"/>
        <w:jc w:val="both"/>
        <w:outlineLvl w:val="3"/>
      </w:pPr>
      <w:r>
        <w:rPr>
          <w:rFonts w:ascii="楷体_GB2312" w:hAnsi="楷体_GB2312" w:eastAsia="楷体_GB2312"/>
          <w:b/>
          <w:sz w:val="32"/>
        </w:rPr>
        <w:t>（一）机关运行经费及公用经费支出情况</w:t>
      </w:r>
    </w:p>
    <w:p w14:paraId="6C60985C">
      <w:pPr>
        <w:spacing w:line="580" w:lineRule="exact"/>
        <w:ind w:firstLine="640"/>
        <w:jc w:val="both"/>
      </w:pPr>
      <w:r>
        <w:rPr>
          <w:rFonts w:ascii="仿宋_GB2312" w:hAnsi="仿宋_GB2312" w:eastAsia="仿宋_GB2312"/>
          <w:b w:val="0"/>
          <w:sz w:val="32"/>
        </w:rPr>
        <w:t>2024年度霍城县人民代表大会常务委员会办公室（行政单位和参照公务员法管理事业单位）机关运行经费支出58.63万元，比上年减少19.25万元，下降24.72%，主要原因是：本年度减少人大代表工作室运行经费，相应机关运行经费减少。</w:t>
      </w:r>
    </w:p>
    <w:p w14:paraId="4AFA3355">
      <w:pPr>
        <w:spacing w:line="640" w:lineRule="exact"/>
        <w:ind w:firstLine="640"/>
        <w:jc w:val="both"/>
        <w:outlineLvl w:val="3"/>
      </w:pPr>
      <w:r>
        <w:rPr>
          <w:rFonts w:ascii="楷体_GB2312" w:hAnsi="楷体_GB2312" w:eastAsia="楷体_GB2312"/>
          <w:b/>
          <w:sz w:val="32"/>
        </w:rPr>
        <w:t>（二）政府采购情况</w:t>
      </w:r>
    </w:p>
    <w:p w14:paraId="46E47506">
      <w:pPr>
        <w:spacing w:line="580" w:lineRule="exact"/>
        <w:ind w:firstLine="640"/>
        <w:jc w:val="both"/>
      </w:pPr>
      <w:r>
        <w:rPr>
          <w:rFonts w:ascii="仿宋_GB2312" w:hAnsi="仿宋_GB2312" w:eastAsia="仿宋_GB2312"/>
          <w:b w:val="0"/>
          <w:sz w:val="32"/>
        </w:rPr>
        <w:t>2024年度政府采购支出总额15.44万元，其中：政府采购货物支出2.54万元、政府采购工程支出0.00万元、政府采购服务支出12.90万元。</w:t>
      </w:r>
    </w:p>
    <w:p w14:paraId="5B2677BF">
      <w:pPr>
        <w:spacing w:line="580" w:lineRule="exact"/>
        <w:ind w:firstLine="640"/>
        <w:jc w:val="both"/>
      </w:pPr>
      <w:r>
        <w:rPr>
          <w:rFonts w:ascii="仿宋_GB2312" w:hAnsi="仿宋_GB2312" w:eastAsia="仿宋_GB2312"/>
          <w:b w:val="0"/>
          <w:sz w:val="32"/>
        </w:rPr>
        <w:t>授予中小企业合同金额15.44万元，占政府采购支出总额的100.00%，其中：授予小微企业合同金额15.44万元，占政府采购支出总额的100.00%。</w:t>
      </w:r>
    </w:p>
    <w:p w14:paraId="54400996">
      <w:pPr>
        <w:spacing w:line="640" w:lineRule="exact"/>
        <w:ind w:firstLine="640"/>
        <w:jc w:val="both"/>
        <w:outlineLvl w:val="3"/>
      </w:pPr>
      <w:r>
        <w:rPr>
          <w:rFonts w:ascii="楷体_GB2312" w:hAnsi="楷体_GB2312" w:eastAsia="楷体_GB2312"/>
          <w:b/>
          <w:sz w:val="32"/>
        </w:rPr>
        <w:t>（三）国有资产占用情况说明</w:t>
      </w:r>
    </w:p>
    <w:p w14:paraId="6C4C8F20">
      <w:pPr>
        <w:spacing w:line="580" w:lineRule="exact"/>
        <w:ind w:firstLine="640"/>
        <w:jc w:val="both"/>
      </w:pPr>
      <w:r>
        <w:rPr>
          <w:rFonts w:ascii="仿宋_GB2312" w:hAnsi="仿宋_GB2312" w:eastAsia="仿宋_GB2312"/>
          <w:b w:val="0"/>
          <w:sz w:val="32"/>
        </w:rPr>
        <w:t>截至2024年12月31日，房屋0.00平方米，价值0.00万元。车辆7辆，价值115.19万元，其中：副部（省）级及以上领导用车0辆、主要负责人用车0辆、机要通信用车0辆、应急保障用车0辆、执法执勤用车0辆、特种专业技术用车0辆、离退休干部服务用车0辆、其他用车7辆，其他用车主要是：一般公务用车。单价100万元（含）以上设备（不含车辆）0台（套）。</w:t>
      </w:r>
    </w:p>
    <w:p w14:paraId="40A5E186">
      <w:pPr>
        <w:spacing w:line="640" w:lineRule="exact"/>
        <w:ind w:firstLine="640"/>
        <w:jc w:val="both"/>
        <w:outlineLvl w:val="2"/>
      </w:pPr>
      <w:r>
        <w:rPr>
          <w:rFonts w:ascii="黑体" w:hAnsi="黑体" w:eastAsia="黑体"/>
          <w:sz w:val="32"/>
        </w:rPr>
        <w:t>十一、预算绩效的情况说明</w:t>
      </w:r>
    </w:p>
    <w:p w14:paraId="788E19A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525.53万元，实际执行总额524.81万元；预算绩效评价项目3个，全年预算数49.83万元，全年执行数49.83万元。预算绩效管理取得的成效：一是本部门为加强预算管理，规范财务行为，已制定《霍城县人大预算绩效管理工作实施办法》《霍城县人大收支业务管理制度》《霍城县人大财务管理制度》等健全完整的各项管理制度，有效保障了我部门</w:t>
      </w:r>
      <w:r>
        <w:rPr>
          <w:rFonts w:hint="eastAsia" w:ascii="仿宋_GB2312" w:hAnsi="仿宋_GB2312" w:eastAsia="仿宋_GB2312"/>
          <w:b w:val="0"/>
          <w:sz w:val="32"/>
          <w:lang w:eastAsia="zh-CN"/>
        </w:rPr>
        <w:t>高效地</w:t>
      </w:r>
      <w:r>
        <w:rPr>
          <w:rFonts w:ascii="仿宋_GB2312" w:hAnsi="仿宋_GB2312" w:eastAsia="仿宋_GB2312"/>
          <w:b w:val="0"/>
          <w:sz w:val="32"/>
        </w:rPr>
        <w:t>履行工作职能，较</w:t>
      </w:r>
      <w:r>
        <w:rPr>
          <w:rFonts w:hint="eastAsia" w:ascii="仿宋_GB2312" w:hAnsi="仿宋_GB2312" w:eastAsia="仿宋_GB2312"/>
          <w:b w:val="0"/>
          <w:sz w:val="32"/>
          <w:lang w:eastAsia="zh-CN"/>
        </w:rPr>
        <w:t>好地</w:t>
      </w:r>
      <w:r>
        <w:rPr>
          <w:rFonts w:ascii="仿宋_GB2312" w:hAnsi="仿宋_GB2312" w:eastAsia="仿宋_GB2312"/>
          <w:b w:val="0"/>
          <w:sz w:val="32"/>
        </w:rPr>
        <w:t>促进事业发展；二是部门预算资金使用符合国家法规和财务管理制度；预算资金拨付有完整的审批程序和手续，符合项目预算批复或合同规定的用途；不存在截留、挤占、挪用、虚列支出等情况，确保我部门预算资金规范运行；三是部门预算资金使用符合国家法规和财务管理制度；预算资金拨付有完整的审批程序和手续，符合项目预算批复或合同规定的用途；不存在截留、挤占、挪用、虚列支出等情况，确保我部门预算资金规范运行。发现的问题及原因：一是相关绩效管理方面专业知识的系统性学习有待加强。各项指标的设置要进一步优化、完善，主要在细化、量化上改进。在绩效自评过程中，部分人员缺乏相关绩效管理专业知识，自评价工作还存在自我审定的局限性，影响评价质量。二是财政支出绩效管理工作还有待进一步提高。下一步改进措施：一是加强单位绩效管理，并明确各个负责人在绩效管理中的责任和要求，建立有效的相互制衡、激励奖惩的机制，充分调动整个绩效管理队伍的积极性，形成单位绩效管理人人参与、人人有责的良好氛围；二是提高财务人员素质是纠正绩效偏离的根本。单位绩效管理的成败根本因素在于单位成员素质的高低度，尤其是财会人员，提高财务人员素质的有效手段，通过培训使行政事业单位的会计人员政策法律意识不断增强，知识不断更新，技能不断提高，会计职业道德不断提升。有“能”才有“力”，只有财务人员素质提高了，其执行单位绩效的实际工作中，执行力和监督力才能不断增强。具体附整体支出绩效自评表，项目支出绩效自评表和评价报告。</w:t>
      </w:r>
    </w:p>
    <w:p w14:paraId="3424ECC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855"/>
        <w:gridCol w:w="1355"/>
        <w:gridCol w:w="1105"/>
        <w:gridCol w:w="1105"/>
        <w:gridCol w:w="1105"/>
        <w:gridCol w:w="1105"/>
      </w:tblGrid>
      <w:tr w14:paraId="0046AF37">
        <w:tblPrEx>
          <w:tblCellMar>
            <w:top w:w="0" w:type="dxa"/>
            <w:left w:w="108" w:type="dxa"/>
            <w:bottom w:w="0" w:type="dxa"/>
            <w:right w:w="108" w:type="dxa"/>
          </w:tblCellMar>
        </w:tblPrEx>
        <w:tc>
          <w:tcPr>
            <w:tcW w:w="8840" w:type="dxa"/>
            <w:gridSpan w:val="8"/>
            <w:vAlign w:val="center"/>
          </w:tcPr>
          <w:p w14:paraId="628AC2C3">
            <w:pPr>
              <w:jc w:val="center"/>
            </w:pPr>
            <w:r>
              <w:rPr>
                <w:rFonts w:ascii="宋体" w:hAnsi="宋体" w:eastAsia="宋体"/>
                <w:sz w:val="24"/>
              </w:rPr>
              <w:t>单位整体支出绩效自评表</w:t>
            </w:r>
          </w:p>
        </w:tc>
      </w:tr>
      <w:tr w14:paraId="23C5B14F">
        <w:tblPrEx>
          <w:tblCellMar>
            <w:top w:w="0" w:type="dxa"/>
            <w:left w:w="108" w:type="dxa"/>
            <w:bottom w:w="0" w:type="dxa"/>
            <w:right w:w="108" w:type="dxa"/>
          </w:tblCellMar>
        </w:tblPrEx>
        <w:tc>
          <w:tcPr>
            <w:tcW w:w="8840" w:type="dxa"/>
            <w:gridSpan w:val="8"/>
            <w:vAlign w:val="center"/>
          </w:tcPr>
          <w:p w14:paraId="1115CD01">
            <w:pPr>
              <w:jc w:val="center"/>
            </w:pPr>
            <w:r>
              <w:rPr>
                <w:rFonts w:ascii="宋体" w:hAnsi="宋体" w:eastAsia="宋体"/>
                <w:sz w:val="24"/>
              </w:rPr>
              <w:t>（2024年度）</w:t>
            </w:r>
          </w:p>
        </w:tc>
      </w:tr>
      <w:tr w14:paraId="570D46A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27D8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C80B63">
            <w:pPr>
              <w:jc w:val="center"/>
            </w:pPr>
            <w:r>
              <w:rPr>
                <w:rFonts w:ascii="宋体" w:hAnsi="宋体" w:eastAsia="宋体"/>
                <w:sz w:val="16"/>
              </w:rPr>
              <w:t>霍城县人民代表大会常务委员会办公室</w:t>
            </w:r>
          </w:p>
        </w:tc>
      </w:tr>
      <w:tr w14:paraId="4818A3D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0A20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E09372">
            <w:pPr>
              <w:jc w:val="center"/>
            </w:pPr>
            <w:r>
              <w:rPr>
                <w:rFonts w:ascii="宋体" w:hAnsi="宋体" w:eastAsia="宋体"/>
                <w:sz w:val="16"/>
              </w:rPr>
              <w:t>资金来源</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431C2047">
            <w:pPr>
              <w:jc w:val="center"/>
            </w:pPr>
            <w:r>
              <w:rPr>
                <w:rFonts w:ascii="宋体" w:hAnsi="宋体" w:eastAsia="宋体"/>
                <w:sz w:val="16"/>
              </w:rPr>
              <w:t>年初预算数</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252E33EB">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00029">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51A5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1AE05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3C36D5">
            <w:pPr>
              <w:jc w:val="center"/>
            </w:pPr>
            <w:r>
              <w:rPr>
                <w:rFonts w:ascii="宋体" w:hAnsi="宋体" w:eastAsia="宋体"/>
                <w:sz w:val="16"/>
              </w:rPr>
              <w:t>得分</w:t>
            </w:r>
          </w:p>
        </w:tc>
      </w:tr>
      <w:tr w14:paraId="4CFF7A3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8425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2349F">
            <w:pPr>
              <w:jc w:val="center"/>
            </w:pPr>
            <w:r>
              <w:rPr>
                <w:rFonts w:ascii="宋体" w:hAnsi="宋体" w:eastAsia="宋体"/>
                <w:sz w:val="16"/>
              </w:rPr>
              <w:t>年度总资金</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4059F458">
            <w:pPr>
              <w:jc w:val="center"/>
            </w:pPr>
            <w:r>
              <w:rPr>
                <w:rFonts w:ascii="宋体" w:hAnsi="宋体" w:eastAsia="宋体"/>
                <w:sz w:val="16"/>
              </w:rPr>
              <w:t>466.24</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131C8553">
            <w:pPr>
              <w:jc w:val="center"/>
            </w:pPr>
            <w:r>
              <w:rPr>
                <w:rFonts w:ascii="宋体" w:hAnsi="宋体" w:eastAsia="宋体"/>
                <w:sz w:val="16"/>
              </w:rPr>
              <w:t>525.53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69691">
            <w:pPr>
              <w:jc w:val="center"/>
            </w:pPr>
            <w:r>
              <w:rPr>
                <w:rFonts w:ascii="宋体" w:hAnsi="宋体" w:eastAsia="宋体"/>
                <w:sz w:val="16"/>
              </w:rPr>
              <w:t>524.81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1289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88446F">
            <w:pPr>
              <w:jc w:val="center"/>
            </w:pPr>
            <w:r>
              <w:rPr>
                <w:rFonts w:ascii="宋体" w:hAnsi="宋体" w:eastAsia="宋体"/>
                <w:sz w:val="16"/>
              </w:rPr>
              <w:t>99.86%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A5A72">
            <w:pPr>
              <w:jc w:val="center"/>
            </w:pPr>
            <w:r>
              <w:rPr>
                <w:rFonts w:ascii="宋体" w:hAnsi="宋体" w:eastAsia="宋体"/>
                <w:sz w:val="16"/>
              </w:rPr>
              <w:t>9.99</w:t>
            </w:r>
          </w:p>
        </w:tc>
      </w:tr>
      <w:tr w14:paraId="7AD751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044B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ADBA36">
            <w:pPr>
              <w:jc w:val="center"/>
            </w:pPr>
            <w:r>
              <w:rPr>
                <w:rFonts w:ascii="宋体" w:hAnsi="宋体" w:eastAsia="宋体"/>
                <w:sz w:val="16"/>
              </w:rPr>
              <w:t>上级资金：</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47FC942D">
            <w:pPr>
              <w:jc w:val="center"/>
            </w:pPr>
            <w:r>
              <w:rPr>
                <w:rFonts w:ascii="宋体" w:hAnsi="宋体" w:eastAsia="宋体"/>
                <w:sz w:val="16"/>
              </w:rPr>
              <w:t>9.00</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0E9E5795">
            <w:pPr>
              <w:jc w:val="center"/>
            </w:pPr>
            <w:r>
              <w:rPr>
                <w:rFonts w:ascii="宋体" w:hAnsi="宋体" w:eastAsia="宋体"/>
                <w:sz w:val="16"/>
              </w:rPr>
              <w:t>8.78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AB840">
            <w:pPr>
              <w:jc w:val="center"/>
            </w:pPr>
            <w:r>
              <w:rPr>
                <w:rFonts w:ascii="宋体" w:hAnsi="宋体" w:eastAsia="宋体"/>
                <w:sz w:val="16"/>
              </w:rPr>
              <w:t>8.78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678A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7C0A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19CE4">
            <w:pPr>
              <w:jc w:val="center"/>
            </w:pPr>
            <w:r>
              <w:rPr>
                <w:rFonts w:ascii="宋体" w:hAnsi="宋体" w:eastAsia="宋体"/>
                <w:sz w:val="16"/>
              </w:rPr>
              <w:t>-</w:t>
            </w:r>
          </w:p>
        </w:tc>
      </w:tr>
      <w:tr w14:paraId="74860D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1483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EBE2E">
            <w:pPr>
              <w:jc w:val="center"/>
            </w:pPr>
            <w:r>
              <w:rPr>
                <w:rFonts w:ascii="宋体" w:hAnsi="宋体" w:eastAsia="宋体"/>
                <w:sz w:val="16"/>
              </w:rPr>
              <w:t>本级资金：</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236D0B36">
            <w:pPr>
              <w:jc w:val="center"/>
            </w:pPr>
            <w:r>
              <w:rPr>
                <w:rFonts w:ascii="宋体" w:hAnsi="宋体" w:eastAsia="宋体"/>
                <w:sz w:val="16"/>
              </w:rPr>
              <w:t>457.24</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6457E339">
            <w:pPr>
              <w:jc w:val="center"/>
            </w:pPr>
            <w:r>
              <w:rPr>
                <w:rFonts w:ascii="宋体" w:hAnsi="宋体" w:eastAsia="宋体"/>
                <w:sz w:val="16"/>
              </w:rPr>
              <w:t>506.67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BE22DA">
            <w:pPr>
              <w:jc w:val="center"/>
            </w:pPr>
            <w:r>
              <w:rPr>
                <w:rFonts w:ascii="宋体" w:hAnsi="宋体" w:eastAsia="宋体"/>
                <w:sz w:val="16"/>
              </w:rPr>
              <w:t>506.67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982C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41B8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70E19">
            <w:pPr>
              <w:jc w:val="center"/>
            </w:pPr>
            <w:r>
              <w:rPr>
                <w:rFonts w:ascii="宋体" w:hAnsi="宋体" w:eastAsia="宋体"/>
                <w:sz w:val="16"/>
              </w:rPr>
              <w:t>-</w:t>
            </w:r>
          </w:p>
        </w:tc>
      </w:tr>
      <w:tr w14:paraId="68CE71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340F4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69827">
            <w:pPr>
              <w:jc w:val="center"/>
            </w:pPr>
            <w:r>
              <w:rPr>
                <w:rFonts w:ascii="宋体" w:hAnsi="宋体" w:eastAsia="宋体"/>
                <w:sz w:val="16"/>
              </w:rPr>
              <w:t>其他资金：</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67C8FFD4">
            <w:pPr>
              <w:jc w:val="center"/>
            </w:pPr>
            <w:r>
              <w:rPr>
                <w:rFonts w:ascii="宋体" w:hAnsi="宋体" w:eastAsia="宋体"/>
                <w:sz w:val="16"/>
              </w:rPr>
              <w:t>0.00</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0734D764">
            <w:pPr>
              <w:jc w:val="center"/>
            </w:pPr>
            <w:r>
              <w:rPr>
                <w:rFonts w:ascii="宋体" w:hAnsi="宋体" w:eastAsia="宋体"/>
                <w:sz w:val="16"/>
              </w:rPr>
              <w:t>10.08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DC4FA">
            <w:pPr>
              <w:jc w:val="center"/>
            </w:pPr>
            <w:r>
              <w:rPr>
                <w:rFonts w:ascii="宋体" w:hAnsi="宋体" w:eastAsia="宋体"/>
                <w:sz w:val="16"/>
              </w:rPr>
              <w:t>9.36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E347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11B5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FC333">
            <w:pPr>
              <w:jc w:val="center"/>
            </w:pPr>
            <w:r>
              <w:rPr>
                <w:rFonts w:ascii="宋体" w:hAnsi="宋体" w:eastAsia="宋体"/>
                <w:sz w:val="16"/>
              </w:rPr>
              <w:t>-</w:t>
            </w:r>
          </w:p>
        </w:tc>
      </w:tr>
      <w:tr w14:paraId="5ED1A6F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6CEC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C55E8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C46FEC">
            <w:pPr>
              <w:jc w:val="center"/>
            </w:pPr>
            <w:r>
              <w:rPr>
                <w:rFonts w:ascii="宋体" w:hAnsi="宋体" w:eastAsia="宋体"/>
                <w:sz w:val="16"/>
              </w:rPr>
              <w:t>实际完成情况</w:t>
            </w:r>
          </w:p>
        </w:tc>
      </w:tr>
      <w:tr w14:paraId="242E2B8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CDD15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EDB111">
            <w:pPr>
              <w:jc w:val="both"/>
            </w:pPr>
            <w:r>
              <w:rPr>
                <w:rFonts w:ascii="宋体" w:hAnsi="宋体" w:eastAsia="宋体"/>
                <w:sz w:val="16"/>
              </w:rPr>
              <w:t>贯彻落实以习近平同志为核心的党中央治疆方略，实现社会稳定和长治久安总目标，坚定坚决地把自治区党委聚焦总目标。人大工作是党和国家工作的重要组成部分。霍城县人大常委会机关及其常委会作为地方国家权力机关，承担着立法、监督、决定、任免等重要职责。要坚持党的领导、人民当家作主、依法治国有机统一，认真落实以习近平同志为核心的党中央决策部署、自治区党委工作安排，讲政治、顾大局、勇担当、善作为，充分发挥人大在实现社会稳定和长治久安总目标中的职能和功效。以新思想引领新时代地方立法工作，进一步加强党对立法工作的领导，充分发挥人大在立法中的主导作用，深入推进科学立法、民主立法、依法立法，加强重点领域立法，健全规范性文件备案审查工作机制。</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274E0F">
            <w:pPr>
              <w:jc w:val="both"/>
            </w:pPr>
            <w:r>
              <w:rPr>
                <w:rFonts w:ascii="宋体" w:hAnsi="宋体" w:eastAsia="宋体"/>
                <w:sz w:val="16"/>
              </w:rPr>
              <w:t>充分发挥人大在推进全县改革发展稳定中的助力作用、在增进人民群众福祉和提升社会治理能力中的促进作用，依法听取和审议报告28项，开展执法检查调研5次，专题询问2次，召开人大常委会6次，持续通过多种途径和方式对</w:t>
            </w:r>
            <w:r>
              <w:rPr>
                <w:rFonts w:hint="eastAsia" w:ascii="宋体" w:hAnsi="宋体"/>
                <w:sz w:val="16"/>
                <w:lang w:eastAsia="zh-CN"/>
              </w:rPr>
              <w:t>常委会会议审议</w:t>
            </w:r>
            <w:r>
              <w:rPr>
                <w:rFonts w:ascii="宋体" w:hAnsi="宋体" w:eastAsia="宋体"/>
                <w:sz w:val="16"/>
              </w:rPr>
              <w:t>意见、代表提出意见建议开展跟踪监督，确保议而有决、决而有行、行而有果，做实监督“后半篇文章”</w:t>
            </w:r>
            <w:r>
              <w:rPr>
                <w:rFonts w:hint="eastAsia" w:ascii="宋体" w:hAnsi="宋体"/>
                <w:sz w:val="16"/>
                <w:lang w:eastAsia="zh-CN"/>
              </w:rPr>
              <w:t>。</w:t>
            </w:r>
            <w:r>
              <w:rPr>
                <w:rFonts w:ascii="宋体" w:hAnsi="宋体" w:eastAsia="宋体"/>
                <w:sz w:val="16"/>
              </w:rPr>
              <w:t>全面落实人大常委会班子联系乡镇、联系代表、人大代表联系群众制度，开展人大代表联络站提升活动，积极引导代表进站活动。</w:t>
            </w:r>
          </w:p>
        </w:tc>
      </w:tr>
      <w:tr w14:paraId="6EBC1D9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25C4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B328D">
            <w:pPr>
              <w:jc w:val="center"/>
            </w:pPr>
            <w:r>
              <w:rPr>
                <w:rFonts w:ascii="宋体" w:hAnsi="宋体" w:eastAsia="宋体"/>
                <w:sz w:val="16"/>
              </w:rPr>
              <w:t>二级指标</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03067A0D">
            <w:pPr>
              <w:jc w:val="center"/>
            </w:pPr>
            <w:r>
              <w:rPr>
                <w:rFonts w:ascii="宋体" w:hAnsi="宋体" w:eastAsia="宋体"/>
                <w:sz w:val="16"/>
              </w:rPr>
              <w:t>三级指标</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4EE426FF">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BF30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5196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34613">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DC629">
            <w:pPr>
              <w:jc w:val="center"/>
            </w:pPr>
            <w:r>
              <w:rPr>
                <w:rFonts w:ascii="宋体" w:hAnsi="宋体" w:eastAsia="宋体"/>
                <w:sz w:val="16"/>
              </w:rPr>
              <w:t>得分</w:t>
            </w:r>
          </w:p>
        </w:tc>
      </w:tr>
      <w:tr w14:paraId="0166A3F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E955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29D89">
            <w:pPr>
              <w:jc w:val="center"/>
            </w:pPr>
            <w:r>
              <w:rPr>
                <w:rFonts w:ascii="宋体" w:hAnsi="宋体" w:eastAsia="宋体"/>
                <w:sz w:val="16"/>
              </w:rPr>
              <w:t>数量指标</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2AEF9574">
            <w:pPr>
              <w:jc w:val="center"/>
            </w:pPr>
            <w:r>
              <w:rPr>
                <w:rFonts w:ascii="宋体" w:hAnsi="宋体" w:eastAsia="宋体"/>
                <w:sz w:val="16"/>
              </w:rPr>
              <w:t>组织代表开展视察、调研、执法检查</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1E395356">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C1E23">
            <w:pPr>
              <w:jc w:val="center"/>
            </w:pPr>
            <w:r>
              <w:rPr>
                <w:rFonts w:ascii="宋体" w:hAnsi="宋体" w:eastAsia="宋体"/>
                <w:sz w:val="16"/>
              </w:rPr>
              <w:t>霍城县人大常委会2024年工作要点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ED3611">
            <w:pPr>
              <w:jc w:val="center"/>
            </w:pPr>
            <w:r>
              <w:rPr>
                <w:rFonts w:ascii="宋体" w:hAnsi="宋体" w:eastAsia="宋体"/>
                <w:sz w:val="16"/>
              </w:rPr>
              <w:t>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75127">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F6CF0">
            <w:pPr>
              <w:jc w:val="center"/>
            </w:pPr>
            <w:r>
              <w:rPr>
                <w:rFonts w:ascii="宋体" w:hAnsi="宋体" w:eastAsia="宋体"/>
                <w:sz w:val="16"/>
              </w:rPr>
              <w:t>35</w:t>
            </w:r>
          </w:p>
        </w:tc>
      </w:tr>
      <w:tr w14:paraId="4E765DB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ABC26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15E807"/>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36FA85A0">
            <w:pPr>
              <w:jc w:val="center"/>
            </w:pPr>
            <w:r>
              <w:rPr>
                <w:rFonts w:ascii="宋体" w:hAnsi="宋体" w:eastAsia="宋体"/>
                <w:sz w:val="16"/>
              </w:rPr>
              <w:t>开展专题询问次数</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48FFD72D">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D60E9">
            <w:pPr>
              <w:jc w:val="center"/>
            </w:pPr>
            <w:r>
              <w:rPr>
                <w:rFonts w:ascii="宋体" w:hAnsi="宋体" w:eastAsia="宋体"/>
                <w:sz w:val="16"/>
              </w:rPr>
              <w:t>霍城县人大常委会2024年工作要点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C582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4C246">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1C4D6">
            <w:pPr>
              <w:jc w:val="center"/>
            </w:pPr>
            <w:r>
              <w:rPr>
                <w:rFonts w:ascii="宋体" w:hAnsi="宋体" w:eastAsia="宋体"/>
                <w:sz w:val="16"/>
              </w:rPr>
              <w:t>10</w:t>
            </w:r>
          </w:p>
        </w:tc>
      </w:tr>
      <w:tr w14:paraId="78C673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A17D8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C11530"/>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332079DB">
            <w:pPr>
              <w:jc w:val="center"/>
            </w:pPr>
            <w:r>
              <w:rPr>
                <w:rFonts w:ascii="宋体" w:hAnsi="宋体" w:eastAsia="宋体"/>
                <w:sz w:val="16"/>
              </w:rPr>
              <w:t>召开霍城县人大</w:t>
            </w:r>
            <w:r>
              <w:rPr>
                <w:rFonts w:hint="eastAsia" w:ascii="宋体" w:hAnsi="宋体"/>
                <w:sz w:val="16"/>
                <w:lang w:eastAsia="zh-CN"/>
              </w:rPr>
              <w:t>常委会会议</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1B6731A6">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3EC04">
            <w:pPr>
              <w:jc w:val="center"/>
            </w:pPr>
            <w:r>
              <w:rPr>
                <w:rFonts w:ascii="宋体" w:hAnsi="宋体" w:eastAsia="宋体"/>
                <w:sz w:val="16"/>
              </w:rPr>
              <w:t>霍城县人大常委会2024年工作要点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5D435">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C90AA">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E354D">
            <w:pPr>
              <w:jc w:val="center"/>
            </w:pPr>
            <w:r>
              <w:rPr>
                <w:rFonts w:ascii="宋体" w:hAnsi="宋体" w:eastAsia="宋体"/>
                <w:sz w:val="16"/>
              </w:rPr>
              <w:t>25</w:t>
            </w:r>
          </w:p>
        </w:tc>
      </w:tr>
      <w:tr w14:paraId="01ECCD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C0FAA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FEB733"/>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6409ED57">
            <w:pPr>
              <w:jc w:val="center"/>
            </w:pPr>
            <w:r>
              <w:rPr>
                <w:rFonts w:ascii="宋体" w:hAnsi="宋体" w:eastAsia="宋体"/>
                <w:sz w:val="16"/>
              </w:rPr>
              <w:t>听取和审议“一府一委两院”专项工作报告</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7E9B5BA1">
            <w:pPr>
              <w:jc w:val="center"/>
            </w:pPr>
            <w:r>
              <w:rPr>
                <w:rFonts w:ascii="宋体" w:hAnsi="宋体" w:eastAsia="宋体"/>
                <w:sz w:val="16"/>
              </w:rPr>
              <w:t>&gt;=28项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5D0D5">
            <w:pPr>
              <w:jc w:val="center"/>
            </w:pPr>
            <w:r>
              <w:rPr>
                <w:rFonts w:ascii="宋体" w:hAnsi="宋体" w:eastAsia="宋体"/>
                <w:sz w:val="16"/>
              </w:rPr>
              <w:t>霍城县人大常委会2024年工作要点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B2037">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3AE4E">
            <w:pPr>
              <w:jc w:val="center"/>
            </w:pPr>
            <w:r>
              <w:rPr>
                <w:rFonts w:ascii="宋体" w:hAnsi="宋体" w:eastAsia="宋体"/>
                <w:sz w:val="16"/>
              </w:rPr>
              <w:t>=28项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54AFE">
            <w:pPr>
              <w:jc w:val="center"/>
            </w:pPr>
            <w:r>
              <w:rPr>
                <w:rFonts w:ascii="宋体" w:hAnsi="宋体" w:eastAsia="宋体"/>
                <w:sz w:val="16"/>
              </w:rPr>
              <w:t>20</w:t>
            </w:r>
          </w:p>
        </w:tc>
      </w:tr>
    </w:tbl>
    <w:p w14:paraId="4023C40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7C12C194">
        <w:tblPrEx>
          <w:tblCellMar>
            <w:top w:w="0" w:type="dxa"/>
            <w:left w:w="108" w:type="dxa"/>
            <w:bottom w:w="0" w:type="dxa"/>
            <w:right w:w="108" w:type="dxa"/>
          </w:tblCellMar>
        </w:tblPrEx>
        <w:tc>
          <w:tcPr>
            <w:tcW w:w="8848" w:type="dxa"/>
            <w:gridSpan w:val="14"/>
            <w:vAlign w:val="center"/>
          </w:tcPr>
          <w:p w14:paraId="78CD9959">
            <w:pPr>
              <w:jc w:val="center"/>
            </w:pPr>
            <w:r>
              <w:rPr>
                <w:rFonts w:ascii="宋体" w:hAnsi="宋体" w:eastAsia="宋体"/>
                <w:sz w:val="24"/>
              </w:rPr>
              <w:t>项目支出绩效自评表</w:t>
            </w:r>
          </w:p>
        </w:tc>
      </w:tr>
      <w:tr w14:paraId="2023E961">
        <w:tblPrEx>
          <w:tblCellMar>
            <w:top w:w="0" w:type="dxa"/>
            <w:left w:w="108" w:type="dxa"/>
            <w:bottom w:w="0" w:type="dxa"/>
            <w:right w:w="108" w:type="dxa"/>
          </w:tblCellMar>
        </w:tblPrEx>
        <w:tc>
          <w:tcPr>
            <w:tcW w:w="8848" w:type="dxa"/>
            <w:gridSpan w:val="14"/>
            <w:vAlign w:val="center"/>
          </w:tcPr>
          <w:p w14:paraId="44E1BD8B">
            <w:pPr>
              <w:jc w:val="center"/>
            </w:pPr>
            <w:r>
              <w:rPr>
                <w:rFonts w:ascii="宋体" w:hAnsi="宋体" w:eastAsia="宋体"/>
                <w:sz w:val="24"/>
              </w:rPr>
              <w:t>(2024年度)</w:t>
            </w:r>
          </w:p>
        </w:tc>
      </w:tr>
      <w:tr w14:paraId="60516E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2D9D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2C906F">
            <w:pPr>
              <w:jc w:val="center"/>
            </w:pPr>
            <w:r>
              <w:rPr>
                <w:rFonts w:ascii="宋体" w:hAnsi="宋体" w:eastAsia="宋体"/>
                <w:sz w:val="16"/>
              </w:rPr>
              <w:t>2024年基层人大补助项目</w:t>
            </w:r>
          </w:p>
        </w:tc>
      </w:tr>
      <w:tr w14:paraId="3B9BA3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842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964538">
            <w:pPr>
              <w:jc w:val="center"/>
            </w:pPr>
            <w:r>
              <w:rPr>
                <w:rFonts w:ascii="宋体" w:hAnsi="宋体" w:eastAsia="宋体"/>
                <w:sz w:val="16"/>
              </w:rPr>
              <w:t>霍城县人民代表大会常务委员会办公室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A74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4E4A47">
            <w:pPr>
              <w:jc w:val="center"/>
            </w:pPr>
            <w:r>
              <w:rPr>
                <w:rFonts w:ascii="宋体" w:hAnsi="宋体" w:eastAsia="宋体"/>
                <w:sz w:val="16"/>
              </w:rPr>
              <w:t>霍城县人民代表大会常务委员会办公室</w:t>
            </w:r>
          </w:p>
        </w:tc>
      </w:tr>
      <w:tr w14:paraId="78D791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CD59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C887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CE80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4DA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46FE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6A7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0F5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1DCD">
            <w:pPr>
              <w:jc w:val="center"/>
            </w:pPr>
            <w:r>
              <w:rPr>
                <w:rFonts w:ascii="宋体" w:hAnsi="宋体" w:eastAsia="宋体"/>
                <w:sz w:val="16"/>
              </w:rPr>
              <w:t>得分</w:t>
            </w:r>
          </w:p>
        </w:tc>
      </w:tr>
      <w:tr w14:paraId="4E3C8F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E78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925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414DA">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594A4">
            <w:pPr>
              <w:jc w:val="center"/>
            </w:pPr>
            <w:r>
              <w:rPr>
                <w:rFonts w:ascii="宋体" w:hAnsi="宋体" w:eastAsia="宋体"/>
                <w:sz w:val="16"/>
              </w:rPr>
              <w:t>26.75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2FD6B">
            <w:pPr>
              <w:jc w:val="center"/>
            </w:pPr>
            <w:r>
              <w:rPr>
                <w:rFonts w:ascii="宋体" w:hAnsi="宋体" w:eastAsia="宋体"/>
                <w:sz w:val="16"/>
              </w:rPr>
              <w:t>26.75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00D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3FE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435E8">
            <w:pPr>
              <w:jc w:val="center"/>
            </w:pPr>
            <w:r>
              <w:rPr>
                <w:rFonts w:ascii="宋体" w:hAnsi="宋体" w:eastAsia="宋体"/>
                <w:sz w:val="16"/>
              </w:rPr>
              <w:t>10.00</w:t>
            </w:r>
          </w:p>
        </w:tc>
      </w:tr>
      <w:tr w14:paraId="09C90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9A9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FC1A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BFDA6">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FC4E1">
            <w:pPr>
              <w:jc w:val="center"/>
            </w:pPr>
            <w:r>
              <w:rPr>
                <w:rFonts w:ascii="宋体" w:hAnsi="宋体" w:eastAsia="宋体"/>
                <w:sz w:val="16"/>
              </w:rPr>
              <w:t>26.75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7F2EB">
            <w:pPr>
              <w:jc w:val="center"/>
            </w:pPr>
            <w:r>
              <w:rPr>
                <w:rFonts w:ascii="宋体" w:hAnsi="宋体" w:eastAsia="宋体"/>
                <w:sz w:val="16"/>
              </w:rPr>
              <w:t>26.75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F59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1FC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C251">
            <w:pPr>
              <w:jc w:val="center"/>
            </w:pPr>
            <w:r>
              <w:rPr>
                <w:rFonts w:ascii="宋体" w:hAnsi="宋体" w:eastAsia="宋体"/>
                <w:sz w:val="16"/>
              </w:rPr>
              <w:t>—</w:t>
            </w:r>
          </w:p>
        </w:tc>
      </w:tr>
      <w:tr w14:paraId="195E34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257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5D6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950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669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D87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FC5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161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83C7">
            <w:pPr>
              <w:jc w:val="center"/>
            </w:pPr>
            <w:r>
              <w:rPr>
                <w:rFonts w:ascii="宋体" w:hAnsi="宋体" w:eastAsia="宋体"/>
                <w:sz w:val="16"/>
              </w:rPr>
              <w:t>—</w:t>
            </w:r>
          </w:p>
        </w:tc>
      </w:tr>
      <w:tr w14:paraId="580B87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1744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BCD4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245C85">
            <w:pPr>
              <w:jc w:val="center"/>
            </w:pPr>
            <w:r>
              <w:rPr>
                <w:rFonts w:ascii="宋体" w:hAnsi="宋体" w:eastAsia="宋体"/>
                <w:sz w:val="16"/>
              </w:rPr>
              <w:t>实际完成情况</w:t>
            </w:r>
          </w:p>
        </w:tc>
      </w:tr>
      <w:tr w14:paraId="0196DA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A440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9158A4">
            <w:pPr>
              <w:jc w:val="both"/>
            </w:pPr>
            <w:r>
              <w:rPr>
                <w:rFonts w:ascii="宋体" w:hAnsi="宋体" w:eastAsia="宋体"/>
                <w:sz w:val="16"/>
              </w:rPr>
              <w:t>贯彻落实中央人大工作会议精神和自治区党委实施意见，体现自治区党委对基层人大工作的重视和关心，通过自治区给予经费补助，弥补基层人大建设中经费不足，全面加强基层人大建设，保障基层人大建设代表“家室站”建设，开展立法监督等工作，改善办公条件等，更好支持基层国家权力机关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8D11C7">
            <w:pPr>
              <w:jc w:val="both"/>
            </w:pPr>
            <w:r>
              <w:rPr>
                <w:rFonts w:ascii="宋体" w:hAnsi="宋体" w:eastAsia="宋体"/>
                <w:sz w:val="16"/>
              </w:rPr>
              <w:br w:type="textWrapping"/>
            </w:r>
            <w:r>
              <w:rPr>
                <w:rFonts w:ascii="宋体" w:hAnsi="宋体" w:eastAsia="宋体"/>
                <w:sz w:val="16"/>
              </w:rPr>
              <w:t>2024年人大工作经费保障县级人大代表205人，不断提高霍城县各基层人大代表履职能力；人大常委会会议召开6次，持续关注了群众关注热点问题，保障基层人大代表“家室站”建设，全面完成预期目标。</w:t>
            </w:r>
          </w:p>
        </w:tc>
      </w:tr>
      <w:tr w14:paraId="3ECD66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6EF1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738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4B3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F1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F06D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04C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F5F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A55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11C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AC6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6B6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823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B0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8B01A">
            <w:pPr>
              <w:jc w:val="center"/>
            </w:pPr>
            <w:r>
              <w:rPr>
                <w:rFonts w:ascii="宋体" w:hAnsi="宋体" w:eastAsia="宋体"/>
                <w:sz w:val="16"/>
              </w:rPr>
              <w:t>偏差原因分析及改进措施</w:t>
            </w:r>
          </w:p>
        </w:tc>
      </w:tr>
      <w:tr w14:paraId="4517EA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BB2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5572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EC0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22483">
            <w:pPr>
              <w:jc w:val="center"/>
            </w:pPr>
            <w:r>
              <w:rPr>
                <w:rFonts w:ascii="宋体" w:hAnsi="宋体" w:eastAsia="宋体"/>
                <w:sz w:val="16"/>
              </w:rPr>
              <w:t>人大常委会会议召开场次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A8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7757">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D94F0">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37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DB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732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957A">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CE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87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21EB">
            <w:pPr>
              <w:jc w:val="center"/>
            </w:pPr>
          </w:p>
        </w:tc>
      </w:tr>
      <w:tr w14:paraId="32F3D5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329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9A4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4BE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4EAE">
            <w:pPr>
              <w:jc w:val="center"/>
            </w:pPr>
            <w:r>
              <w:rPr>
                <w:rFonts w:ascii="宋体" w:hAnsi="宋体" w:eastAsia="宋体"/>
                <w:sz w:val="16"/>
              </w:rPr>
              <w:t>参加人大常委会人数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F6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B875">
            <w:pPr>
              <w:jc w:val="center"/>
            </w:pPr>
            <w:r>
              <w:rPr>
                <w:rFonts w:ascii="宋体" w:hAnsi="宋体" w:eastAsia="宋体"/>
                <w:sz w:val="16"/>
              </w:rPr>
              <w:t>&gt;=17人/次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975E">
            <w:pPr>
              <w:jc w:val="center"/>
            </w:pPr>
            <w:r>
              <w:rPr>
                <w:rFonts w:ascii="宋体" w:hAnsi="宋体" w:eastAsia="宋体"/>
                <w:sz w:val="16"/>
              </w:rPr>
              <w:t>17人/次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E5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CA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BF6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AFCC">
            <w:pPr>
              <w:jc w:val="center"/>
            </w:pPr>
            <w:r>
              <w:rPr>
                <w:rFonts w:ascii="宋体" w:hAnsi="宋体" w:eastAsia="宋体"/>
                <w:sz w:val="16"/>
              </w:rPr>
              <w:t>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71F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F7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098A">
            <w:pPr>
              <w:jc w:val="center"/>
            </w:pPr>
          </w:p>
        </w:tc>
      </w:tr>
      <w:tr w14:paraId="532FE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AFC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941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4A4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C2B51">
            <w:pPr>
              <w:jc w:val="center"/>
            </w:pPr>
            <w:r>
              <w:rPr>
                <w:rFonts w:ascii="宋体" w:hAnsi="宋体" w:eastAsia="宋体"/>
                <w:sz w:val="16"/>
              </w:rPr>
              <w:t>组织代表开展视察、调研、执法检查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3C2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F90BE">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37EE">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294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159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CB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E94C3">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64C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B4E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3D445">
            <w:pPr>
              <w:jc w:val="center"/>
            </w:pPr>
          </w:p>
        </w:tc>
      </w:tr>
      <w:tr w14:paraId="3BE6FE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835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2C8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4F7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9700">
            <w:pPr>
              <w:jc w:val="center"/>
            </w:pPr>
            <w:r>
              <w:rPr>
                <w:rFonts w:ascii="宋体" w:hAnsi="宋体" w:eastAsia="宋体"/>
                <w:sz w:val="16"/>
              </w:rPr>
              <w:t>提升办公效率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63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F373E">
            <w:pPr>
              <w:jc w:val="center"/>
            </w:pPr>
            <w:r>
              <w:rPr>
                <w:rFonts w:ascii="宋体" w:hAnsi="宋体" w:eastAsia="宋体"/>
                <w:sz w:val="16"/>
              </w:rPr>
              <w:t>&gt;=10%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27D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C4A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4B3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F85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57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A7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BFE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11A2">
            <w:pPr>
              <w:jc w:val="center"/>
            </w:pPr>
          </w:p>
        </w:tc>
      </w:tr>
      <w:tr w14:paraId="57E795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628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DC3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3FD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B0A2">
            <w:pPr>
              <w:jc w:val="center"/>
            </w:pPr>
            <w:r>
              <w:rPr>
                <w:rFonts w:ascii="宋体" w:hAnsi="宋体" w:eastAsia="宋体"/>
                <w:sz w:val="16"/>
              </w:rPr>
              <w:t>人大常委会按期召开完成率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375F">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252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54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B8D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6C2B">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EAA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41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90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CC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0CB2">
            <w:pPr>
              <w:jc w:val="center"/>
            </w:pPr>
          </w:p>
        </w:tc>
      </w:tr>
      <w:tr w14:paraId="5BD2FD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ACB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702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B69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4728">
            <w:pPr>
              <w:jc w:val="center"/>
            </w:pPr>
            <w:r>
              <w:rPr>
                <w:rFonts w:ascii="宋体" w:hAnsi="宋体" w:eastAsia="宋体"/>
                <w:sz w:val="16"/>
              </w:rPr>
              <w:t>补助经费支付完成率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DA67">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C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D60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56D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1A24">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349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2C8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401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B1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B722E">
            <w:pPr>
              <w:jc w:val="center"/>
            </w:pPr>
          </w:p>
        </w:tc>
      </w:tr>
      <w:tr w14:paraId="3D8AEA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4B4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3D8F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729F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5961">
            <w:pPr>
              <w:jc w:val="center"/>
            </w:pPr>
            <w:r>
              <w:rPr>
                <w:rFonts w:ascii="宋体" w:hAnsi="宋体" w:eastAsia="宋体"/>
                <w:sz w:val="16"/>
              </w:rPr>
              <w:t>家室站建设费用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E42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C536">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C5FA">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61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1F0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24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E8E1">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09B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BA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7DF35">
            <w:pPr>
              <w:jc w:val="center"/>
            </w:pPr>
            <w:r>
              <w:rPr>
                <w:rFonts w:ascii="宋体" w:hAnsi="宋体" w:eastAsia="宋体"/>
                <w:sz w:val="16"/>
              </w:rPr>
              <w:t>达到预期目标。</w:t>
            </w:r>
          </w:p>
        </w:tc>
      </w:tr>
      <w:tr w14:paraId="1B5732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145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DDA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1B3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2B3F">
            <w:pPr>
              <w:jc w:val="center"/>
            </w:pPr>
            <w:r>
              <w:rPr>
                <w:rFonts w:ascii="宋体" w:hAnsi="宋体" w:eastAsia="宋体"/>
                <w:sz w:val="16"/>
              </w:rPr>
              <w:t>弥补办公经费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9E8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63B4">
            <w:pPr>
              <w:jc w:val="center"/>
            </w:pPr>
            <w:r>
              <w:rPr>
                <w:rFonts w:ascii="宋体" w:hAnsi="宋体" w:eastAsia="宋体"/>
                <w:sz w:val="16"/>
              </w:rPr>
              <w:t>&lt;=24.75万元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44E4">
            <w:pPr>
              <w:jc w:val="center"/>
            </w:pPr>
            <w:r>
              <w:rPr>
                <w:rFonts w:ascii="宋体" w:hAnsi="宋体" w:eastAsia="宋体"/>
                <w:sz w:val="16"/>
              </w:rPr>
              <w:t>24.75万元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C15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2F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DDF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B7872">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E6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2B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8CEC9">
            <w:pPr>
              <w:jc w:val="center"/>
            </w:pPr>
          </w:p>
        </w:tc>
      </w:tr>
      <w:tr w14:paraId="5DD3B6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EAE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3AEB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E99A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EA0EB">
            <w:pPr>
              <w:jc w:val="center"/>
            </w:pPr>
            <w:r>
              <w:rPr>
                <w:rFonts w:hint="eastAsia" w:ascii="宋体" w:hAnsi="宋体"/>
                <w:sz w:val="16"/>
                <w:lang w:eastAsia="zh-CN"/>
              </w:rPr>
              <w:t>提高</w:t>
            </w:r>
            <w:r>
              <w:rPr>
                <w:rFonts w:ascii="宋体" w:hAnsi="宋体" w:eastAsia="宋体"/>
                <w:sz w:val="16"/>
              </w:rPr>
              <w:t>基层人大代表履职能力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9A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691B">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0524">
            <w:pPr>
              <w:jc w:val="center"/>
            </w:pPr>
            <w:r>
              <w:rPr>
                <w:rFonts w:ascii="宋体" w:hAnsi="宋体" w:eastAsia="宋体"/>
                <w:sz w:val="16"/>
              </w:rPr>
              <w:t>显著改善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60B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B61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B7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0E80">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371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EED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2461B">
            <w:pPr>
              <w:jc w:val="center"/>
            </w:pPr>
          </w:p>
        </w:tc>
      </w:tr>
      <w:tr w14:paraId="6DFEA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003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A4F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15C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44A9">
            <w:pPr>
              <w:jc w:val="center"/>
            </w:pPr>
            <w:r>
              <w:rPr>
                <w:rFonts w:ascii="宋体" w:hAnsi="宋体" w:eastAsia="宋体"/>
                <w:sz w:val="16"/>
              </w:rPr>
              <w:t>改善人大办公环境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57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53B2">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50B5">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0C8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43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4B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D59BE">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E9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8D1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34593">
            <w:pPr>
              <w:jc w:val="center"/>
            </w:pPr>
          </w:p>
        </w:tc>
      </w:tr>
      <w:tr w14:paraId="1F6A9F1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AC80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0F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1FC2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7158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E967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8B82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0726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1FE7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799E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F38B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62F7EB"/>
        </w:tc>
      </w:tr>
    </w:tbl>
    <w:p w14:paraId="24D0F97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776"/>
        <w:gridCol w:w="632"/>
        <w:gridCol w:w="632"/>
        <w:gridCol w:w="632"/>
        <w:gridCol w:w="632"/>
        <w:gridCol w:w="632"/>
        <w:gridCol w:w="632"/>
      </w:tblGrid>
      <w:tr w14:paraId="2E9A1717">
        <w:tblPrEx>
          <w:tblCellMar>
            <w:top w:w="0" w:type="dxa"/>
            <w:left w:w="108" w:type="dxa"/>
            <w:bottom w:w="0" w:type="dxa"/>
            <w:right w:w="108" w:type="dxa"/>
          </w:tblCellMar>
        </w:tblPrEx>
        <w:tc>
          <w:tcPr>
            <w:tcW w:w="8848" w:type="dxa"/>
            <w:gridSpan w:val="14"/>
            <w:vAlign w:val="center"/>
          </w:tcPr>
          <w:p w14:paraId="2F2D25F0">
            <w:pPr>
              <w:jc w:val="center"/>
            </w:pPr>
            <w:r>
              <w:rPr>
                <w:rFonts w:ascii="宋体" w:hAnsi="宋体" w:eastAsia="宋体"/>
                <w:sz w:val="24"/>
              </w:rPr>
              <w:t>项目支出绩效自评表</w:t>
            </w:r>
          </w:p>
        </w:tc>
      </w:tr>
      <w:tr w14:paraId="15BCB52E">
        <w:tblPrEx>
          <w:tblCellMar>
            <w:top w:w="0" w:type="dxa"/>
            <w:left w:w="108" w:type="dxa"/>
            <w:bottom w:w="0" w:type="dxa"/>
            <w:right w:w="108" w:type="dxa"/>
          </w:tblCellMar>
        </w:tblPrEx>
        <w:tc>
          <w:tcPr>
            <w:tcW w:w="8848" w:type="dxa"/>
            <w:gridSpan w:val="14"/>
            <w:vAlign w:val="center"/>
          </w:tcPr>
          <w:p w14:paraId="3D8DB989">
            <w:pPr>
              <w:jc w:val="center"/>
            </w:pPr>
            <w:r>
              <w:rPr>
                <w:rFonts w:ascii="宋体" w:hAnsi="宋体" w:eastAsia="宋体"/>
                <w:sz w:val="24"/>
              </w:rPr>
              <w:t>(2024年度)</w:t>
            </w:r>
          </w:p>
        </w:tc>
      </w:tr>
      <w:tr w14:paraId="266209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58B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FB9CC9">
            <w:pPr>
              <w:jc w:val="center"/>
            </w:pPr>
            <w:bookmarkStart w:id="0" w:name="_GoBack"/>
            <w:r>
              <w:rPr>
                <w:rFonts w:ascii="宋体" w:hAnsi="宋体" w:eastAsia="宋体"/>
                <w:sz w:val="16"/>
              </w:rPr>
              <w:t>人代会</w:t>
            </w:r>
            <w:bookmarkEnd w:id="0"/>
            <w:r>
              <w:rPr>
                <w:rFonts w:ascii="宋体" w:hAnsi="宋体" w:eastAsia="宋体"/>
                <w:sz w:val="16"/>
              </w:rPr>
              <w:t>会议经费</w:t>
            </w:r>
          </w:p>
        </w:tc>
      </w:tr>
      <w:tr w14:paraId="53595F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4D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5D937F">
            <w:pPr>
              <w:jc w:val="center"/>
            </w:pPr>
            <w:r>
              <w:rPr>
                <w:rFonts w:ascii="宋体" w:hAnsi="宋体" w:eastAsia="宋体"/>
                <w:sz w:val="16"/>
              </w:rPr>
              <w:t>霍城县人民代表大会常务委员会办公室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FF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E611DB">
            <w:pPr>
              <w:jc w:val="center"/>
            </w:pPr>
            <w:r>
              <w:rPr>
                <w:rFonts w:ascii="宋体" w:hAnsi="宋体" w:eastAsia="宋体"/>
                <w:sz w:val="16"/>
              </w:rPr>
              <w:t>霍城县人民代表大会常务委员会办公室</w:t>
            </w:r>
          </w:p>
        </w:tc>
      </w:tr>
      <w:tr w14:paraId="3273E7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6A9AE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BA7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93A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C8C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141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40A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CC7F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1C1E7">
            <w:pPr>
              <w:jc w:val="center"/>
            </w:pPr>
            <w:r>
              <w:rPr>
                <w:rFonts w:ascii="宋体" w:hAnsi="宋体" w:eastAsia="宋体"/>
                <w:sz w:val="16"/>
              </w:rPr>
              <w:t>得分</w:t>
            </w:r>
          </w:p>
        </w:tc>
      </w:tr>
      <w:tr w14:paraId="38AA0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36E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D3F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29E2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A1CE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7C72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9CD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BD02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85BAB">
            <w:pPr>
              <w:jc w:val="center"/>
            </w:pPr>
            <w:r>
              <w:rPr>
                <w:rFonts w:ascii="宋体" w:hAnsi="宋体" w:eastAsia="宋体"/>
                <w:sz w:val="16"/>
              </w:rPr>
              <w:t>10.00</w:t>
            </w:r>
          </w:p>
        </w:tc>
      </w:tr>
      <w:tr w14:paraId="5373A2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3D9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3B3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3CA7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B369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BDF1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637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673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FAC87">
            <w:pPr>
              <w:jc w:val="center"/>
            </w:pPr>
            <w:r>
              <w:rPr>
                <w:rFonts w:ascii="宋体" w:hAnsi="宋体" w:eastAsia="宋体"/>
                <w:sz w:val="16"/>
              </w:rPr>
              <w:t>—</w:t>
            </w:r>
          </w:p>
        </w:tc>
      </w:tr>
      <w:tr w14:paraId="16961A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8FE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F86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172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0F6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A07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E03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3E0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CAC3">
            <w:pPr>
              <w:jc w:val="center"/>
            </w:pPr>
            <w:r>
              <w:rPr>
                <w:rFonts w:ascii="宋体" w:hAnsi="宋体" w:eastAsia="宋体"/>
                <w:sz w:val="16"/>
              </w:rPr>
              <w:t>—</w:t>
            </w:r>
          </w:p>
        </w:tc>
      </w:tr>
      <w:tr w14:paraId="0761C9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7F27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802D0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CCE32F">
            <w:pPr>
              <w:jc w:val="center"/>
            </w:pPr>
            <w:r>
              <w:rPr>
                <w:rFonts w:ascii="宋体" w:hAnsi="宋体" w:eastAsia="宋体"/>
                <w:sz w:val="16"/>
              </w:rPr>
              <w:t>实际完成情况</w:t>
            </w:r>
          </w:p>
        </w:tc>
      </w:tr>
      <w:tr w14:paraId="3F14A1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E29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BBFC6B">
            <w:pPr>
              <w:jc w:val="both"/>
            </w:pPr>
            <w:r>
              <w:rPr>
                <w:rFonts w:ascii="宋体" w:hAnsi="宋体" w:eastAsia="宋体"/>
                <w:sz w:val="16"/>
              </w:rPr>
              <w:t>高质量召开十八届人代会第四次会议；规范机关管理，提高机关的工作效能；抓好全年的代表培训、代表参会及知情权的安排工作；组织好人大代表全年的调研、视察、执法检查工作。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4CDDC8">
            <w:pPr>
              <w:jc w:val="both"/>
            </w:pPr>
            <w:r>
              <w:rPr>
                <w:rFonts w:ascii="宋体" w:hAnsi="宋体" w:eastAsia="宋体"/>
                <w:sz w:val="16"/>
              </w:rPr>
              <w:t>高质量召开十八届人代会第四次会议；规范机关管理，提高机关的工作效能；抓好全年的代表培训、代表参会及知情权的安排工作；组织好人大代表全年的调研、视察、执法检查工作。</w:t>
            </w:r>
          </w:p>
        </w:tc>
      </w:tr>
      <w:tr w14:paraId="682827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D438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F4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73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F1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2A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F2B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5A3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4C30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7C21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79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3AE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B5B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CB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93F3B">
            <w:pPr>
              <w:jc w:val="center"/>
            </w:pPr>
            <w:r>
              <w:rPr>
                <w:rFonts w:ascii="宋体" w:hAnsi="宋体" w:eastAsia="宋体"/>
                <w:sz w:val="16"/>
              </w:rPr>
              <w:t>偏差原因分析及改进措施</w:t>
            </w:r>
          </w:p>
        </w:tc>
      </w:tr>
      <w:tr w14:paraId="3943A3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29D5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434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49D3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DBF2">
            <w:pPr>
              <w:jc w:val="center"/>
            </w:pPr>
            <w:r>
              <w:rPr>
                <w:rFonts w:ascii="宋体" w:hAnsi="宋体" w:eastAsia="宋体"/>
                <w:sz w:val="16"/>
              </w:rPr>
              <w:t>县十八届人代会第四次会议参会人数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EDB6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6D3C7">
            <w:pPr>
              <w:jc w:val="center"/>
            </w:pPr>
            <w:r>
              <w:rPr>
                <w:rFonts w:ascii="宋体" w:hAnsi="宋体" w:eastAsia="宋体"/>
                <w:sz w:val="16"/>
              </w:rPr>
              <w:t>&gt;=180人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EC0CD">
            <w:pPr>
              <w:jc w:val="center"/>
            </w:pPr>
            <w:r>
              <w:rPr>
                <w:rFonts w:ascii="宋体" w:hAnsi="宋体" w:eastAsia="宋体"/>
                <w:sz w:val="16"/>
              </w:rPr>
              <w:t>185人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03D0">
            <w:pPr>
              <w:jc w:val="center"/>
            </w:pPr>
            <w:r>
              <w:rPr>
                <w:rFonts w:ascii="宋体" w:hAnsi="宋体" w:eastAsia="宋体"/>
                <w:sz w:val="16"/>
              </w:rPr>
              <w:t>102.77%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DF7A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BB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FAEE4">
            <w:pPr>
              <w:jc w:val="center"/>
            </w:pPr>
            <w:r>
              <w:rPr>
                <w:rFonts w:ascii="宋体" w:hAnsi="宋体" w:eastAsia="宋体"/>
                <w:sz w:val="16"/>
              </w:rPr>
              <w:t>195人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42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11E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FA4E">
            <w:pPr>
              <w:jc w:val="center"/>
            </w:pPr>
            <w:r>
              <w:rPr>
                <w:rFonts w:ascii="宋体" w:hAnsi="宋体" w:eastAsia="宋体"/>
                <w:sz w:val="16"/>
              </w:rPr>
              <w:t>参会人数达到预期目标。</w:t>
            </w:r>
          </w:p>
        </w:tc>
      </w:tr>
      <w:tr w14:paraId="04E4D3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D0F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AB9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B5E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0D83">
            <w:pPr>
              <w:jc w:val="center"/>
            </w:pPr>
            <w:r>
              <w:rPr>
                <w:rFonts w:ascii="宋体" w:hAnsi="宋体" w:eastAsia="宋体"/>
                <w:sz w:val="16"/>
              </w:rPr>
              <w:t>县十八届人代会第四次会议次数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47C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3368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58B3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AF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84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294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EFB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E5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F6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D79F">
            <w:pPr>
              <w:jc w:val="center"/>
            </w:pPr>
          </w:p>
        </w:tc>
      </w:tr>
      <w:tr w14:paraId="777E7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875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448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8FE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D0D31">
            <w:pPr>
              <w:jc w:val="center"/>
            </w:pPr>
            <w:r>
              <w:rPr>
                <w:rFonts w:ascii="宋体" w:hAnsi="宋体" w:eastAsia="宋体"/>
                <w:sz w:val="16"/>
              </w:rPr>
              <w:t>县十八届人代会第四次会议天数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011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FF56">
            <w:pPr>
              <w:jc w:val="center"/>
            </w:pPr>
            <w:r>
              <w:rPr>
                <w:rFonts w:ascii="宋体" w:hAnsi="宋体" w:eastAsia="宋体"/>
                <w:sz w:val="16"/>
              </w:rPr>
              <w:t>&gt;=3天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4F42">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A6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6206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AF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183B">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73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55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8738">
            <w:pPr>
              <w:jc w:val="center"/>
            </w:pPr>
          </w:p>
        </w:tc>
      </w:tr>
      <w:tr w14:paraId="709089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57A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E6E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4CD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32007">
            <w:pPr>
              <w:jc w:val="center"/>
            </w:pPr>
            <w:r>
              <w:rPr>
                <w:rFonts w:ascii="宋体" w:hAnsi="宋体" w:eastAsia="宋体"/>
                <w:sz w:val="16"/>
              </w:rPr>
              <w:t>组织代表开展视察、调研、执法检查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3BC8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72DCC">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CA683">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C3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A0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8C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D8CD">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02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D79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1BA4B">
            <w:pPr>
              <w:jc w:val="center"/>
            </w:pPr>
          </w:p>
        </w:tc>
      </w:tr>
      <w:tr w14:paraId="3CFB29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73C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A0F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126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8C680">
            <w:pPr>
              <w:jc w:val="center"/>
            </w:pPr>
            <w:r>
              <w:rPr>
                <w:rFonts w:ascii="宋体" w:hAnsi="宋体" w:eastAsia="宋体"/>
                <w:sz w:val="16"/>
              </w:rPr>
              <w:t>人大代表议案建议件数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B71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F8B91">
            <w:pPr>
              <w:jc w:val="center"/>
            </w:pPr>
            <w:r>
              <w:rPr>
                <w:rFonts w:ascii="宋体" w:hAnsi="宋体" w:eastAsia="宋体"/>
                <w:sz w:val="16"/>
              </w:rPr>
              <w:t>&gt;=35件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FD7E">
            <w:pPr>
              <w:jc w:val="center"/>
            </w:pPr>
            <w:r>
              <w:rPr>
                <w:rFonts w:ascii="宋体" w:hAnsi="宋体" w:eastAsia="宋体"/>
                <w:sz w:val="16"/>
              </w:rPr>
              <w:t>48件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EF984">
            <w:pPr>
              <w:jc w:val="center"/>
            </w:pPr>
            <w:r>
              <w:rPr>
                <w:rFonts w:ascii="宋体" w:hAnsi="宋体" w:eastAsia="宋体"/>
                <w:sz w:val="16"/>
              </w:rPr>
              <w:t>137.14%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CE6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EE3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E9B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00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77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AF688">
            <w:pPr>
              <w:jc w:val="center"/>
            </w:pPr>
            <w:r>
              <w:rPr>
                <w:rFonts w:ascii="宋体" w:hAnsi="宋体" w:eastAsia="宋体"/>
                <w:sz w:val="16"/>
              </w:rPr>
              <w:t>2024年人大代表议案建议件数增加，达到预期目标。</w:t>
            </w:r>
          </w:p>
        </w:tc>
      </w:tr>
      <w:tr w14:paraId="47599A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5D1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879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B8E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96CC">
            <w:pPr>
              <w:jc w:val="center"/>
            </w:pPr>
            <w:r>
              <w:rPr>
                <w:rFonts w:ascii="宋体" w:hAnsi="宋体" w:eastAsia="宋体"/>
                <w:sz w:val="16"/>
              </w:rPr>
              <w:t>会议出勤率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43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AC0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0198">
            <w:pPr>
              <w:jc w:val="center"/>
            </w:pPr>
            <w:r>
              <w:rPr>
                <w:rFonts w:ascii="宋体" w:hAnsi="宋体" w:eastAsia="宋体"/>
                <w:sz w:val="16"/>
              </w:rPr>
              <w:t>90.24%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92CF">
            <w:pPr>
              <w:jc w:val="center"/>
            </w:pPr>
            <w:r>
              <w:rPr>
                <w:rFonts w:ascii="宋体" w:hAnsi="宋体" w:eastAsia="宋体"/>
                <w:sz w:val="16"/>
              </w:rPr>
              <w:t>100.26%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804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F06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1332">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3B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9F6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6D7E">
            <w:pPr>
              <w:jc w:val="center"/>
            </w:pPr>
          </w:p>
        </w:tc>
      </w:tr>
      <w:tr w14:paraId="74D669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9F2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3BA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B04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8FE5B">
            <w:pPr>
              <w:jc w:val="center"/>
            </w:pPr>
            <w:r>
              <w:rPr>
                <w:rFonts w:ascii="宋体" w:hAnsi="宋体" w:eastAsia="宋体"/>
                <w:sz w:val="16"/>
              </w:rPr>
              <w:t>人大代表议案建议的办结率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D1B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DFC1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B5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D4EF">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75C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4D9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D88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FEE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63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D1364">
            <w:pPr>
              <w:jc w:val="center"/>
            </w:pPr>
            <w:r>
              <w:rPr>
                <w:rFonts w:ascii="宋体" w:hAnsi="宋体" w:eastAsia="宋体"/>
                <w:sz w:val="16"/>
              </w:rPr>
              <w:t>2024年人大议案完成率达到预期目标。</w:t>
            </w:r>
          </w:p>
        </w:tc>
      </w:tr>
      <w:tr w14:paraId="2135A5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56F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701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220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47B0">
            <w:pPr>
              <w:jc w:val="center"/>
            </w:pPr>
            <w:r>
              <w:rPr>
                <w:rFonts w:ascii="宋体" w:hAnsi="宋体" w:eastAsia="宋体"/>
                <w:sz w:val="16"/>
              </w:rPr>
              <w:t>会议按期完成率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9F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D77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BA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EF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59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D8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0C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5AF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DFF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8DC2">
            <w:pPr>
              <w:jc w:val="center"/>
            </w:pPr>
          </w:p>
        </w:tc>
      </w:tr>
      <w:tr w14:paraId="08AED1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4BE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4B8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01C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2F873">
            <w:pPr>
              <w:jc w:val="center"/>
            </w:pPr>
            <w:r>
              <w:rPr>
                <w:rFonts w:ascii="宋体" w:hAnsi="宋体" w:eastAsia="宋体"/>
                <w:sz w:val="16"/>
              </w:rPr>
              <w:t>视察、调研、执法检查完成率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ED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D7E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E0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AC8C">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2C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242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318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DB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FA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F71C">
            <w:pPr>
              <w:jc w:val="center"/>
            </w:pPr>
            <w:r>
              <w:rPr>
                <w:rFonts w:ascii="宋体" w:hAnsi="宋体" w:eastAsia="宋体"/>
                <w:sz w:val="16"/>
              </w:rPr>
              <w:t>2024年视察调研较上年增加，完成率达到预期目标。</w:t>
            </w:r>
          </w:p>
        </w:tc>
      </w:tr>
      <w:tr w14:paraId="7150F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4B2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2219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6CF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C635">
            <w:pPr>
              <w:jc w:val="center"/>
            </w:pPr>
            <w:r>
              <w:rPr>
                <w:rFonts w:ascii="宋体" w:hAnsi="宋体" w:eastAsia="宋体"/>
                <w:sz w:val="16"/>
              </w:rPr>
              <w:t>会议支出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45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5174">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E8D2">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92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ACB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43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AD78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8FE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305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9FF22">
            <w:pPr>
              <w:jc w:val="center"/>
            </w:pPr>
          </w:p>
        </w:tc>
      </w:tr>
      <w:tr w14:paraId="37477B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2DD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0A8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E85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BDDB">
            <w:pPr>
              <w:jc w:val="center"/>
            </w:pPr>
            <w:r>
              <w:rPr>
                <w:rFonts w:ascii="宋体" w:hAnsi="宋体" w:eastAsia="宋体"/>
                <w:sz w:val="16"/>
              </w:rPr>
              <w:t>其他办公支出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CDA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541BE">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03BD5">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A8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6F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14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9E1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86A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41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8823">
            <w:pPr>
              <w:jc w:val="center"/>
            </w:pPr>
          </w:p>
        </w:tc>
      </w:tr>
      <w:tr w14:paraId="40D9A1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2D8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5EC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B86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AED4">
            <w:pPr>
              <w:jc w:val="center"/>
            </w:pPr>
            <w:r>
              <w:rPr>
                <w:rFonts w:ascii="宋体" w:hAnsi="宋体" w:eastAsia="宋体"/>
                <w:sz w:val="16"/>
              </w:rPr>
              <w:t>提升人大代表的履职能力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22EB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EC1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A7AD2">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B5A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E59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3A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BCFD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E3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C8A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0A43">
            <w:pPr>
              <w:jc w:val="center"/>
            </w:pPr>
          </w:p>
        </w:tc>
      </w:tr>
      <w:tr w14:paraId="7BC0DA3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9A1E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0D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8438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4AC3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1604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F0A9">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1270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F760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4D3F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C90B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FB1E4B"/>
        </w:tc>
      </w:tr>
    </w:tbl>
    <w:p w14:paraId="0EC70F1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1C738DAD">
        <w:tblPrEx>
          <w:tblCellMar>
            <w:top w:w="0" w:type="dxa"/>
            <w:left w:w="108" w:type="dxa"/>
            <w:bottom w:w="0" w:type="dxa"/>
            <w:right w:w="108" w:type="dxa"/>
          </w:tblCellMar>
        </w:tblPrEx>
        <w:tc>
          <w:tcPr>
            <w:tcW w:w="8848" w:type="dxa"/>
            <w:gridSpan w:val="14"/>
            <w:vAlign w:val="center"/>
          </w:tcPr>
          <w:p w14:paraId="03150945">
            <w:pPr>
              <w:jc w:val="center"/>
            </w:pPr>
            <w:r>
              <w:rPr>
                <w:rFonts w:ascii="宋体" w:hAnsi="宋体" w:eastAsia="宋体"/>
                <w:sz w:val="24"/>
              </w:rPr>
              <w:t>项目支出绩效自评表</w:t>
            </w:r>
          </w:p>
        </w:tc>
      </w:tr>
      <w:tr w14:paraId="0324D609">
        <w:tblPrEx>
          <w:tblCellMar>
            <w:top w:w="0" w:type="dxa"/>
            <w:left w:w="108" w:type="dxa"/>
            <w:bottom w:w="0" w:type="dxa"/>
            <w:right w:w="108" w:type="dxa"/>
          </w:tblCellMar>
        </w:tblPrEx>
        <w:tc>
          <w:tcPr>
            <w:tcW w:w="8848" w:type="dxa"/>
            <w:gridSpan w:val="14"/>
            <w:vAlign w:val="center"/>
          </w:tcPr>
          <w:p w14:paraId="49FC693E">
            <w:pPr>
              <w:jc w:val="center"/>
            </w:pPr>
            <w:r>
              <w:rPr>
                <w:rFonts w:ascii="宋体" w:hAnsi="宋体" w:eastAsia="宋体"/>
                <w:sz w:val="24"/>
              </w:rPr>
              <w:t>(2024年度)</w:t>
            </w:r>
          </w:p>
        </w:tc>
      </w:tr>
      <w:tr w14:paraId="3F23BF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C9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E5AD5E">
            <w:pPr>
              <w:jc w:val="center"/>
            </w:pPr>
            <w:r>
              <w:rPr>
                <w:rFonts w:ascii="宋体" w:hAnsi="宋体" w:eastAsia="宋体"/>
                <w:sz w:val="16"/>
              </w:rPr>
              <w:t>霍城县人大2024年代表活动经费分配项目（自有资金）</w:t>
            </w:r>
          </w:p>
        </w:tc>
      </w:tr>
      <w:tr w14:paraId="0226DA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C8F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35E3D0">
            <w:pPr>
              <w:jc w:val="center"/>
            </w:pPr>
            <w:r>
              <w:rPr>
                <w:rFonts w:ascii="宋体" w:hAnsi="宋体" w:eastAsia="宋体"/>
                <w:sz w:val="16"/>
              </w:rPr>
              <w:t>霍城县人民代表大会常务委员会办公室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CEC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8630E2">
            <w:pPr>
              <w:jc w:val="center"/>
            </w:pPr>
            <w:r>
              <w:rPr>
                <w:rFonts w:ascii="宋体" w:hAnsi="宋体" w:eastAsia="宋体"/>
                <w:sz w:val="16"/>
              </w:rPr>
              <w:t>霍城县人民代表大会常务委员会办公室</w:t>
            </w:r>
          </w:p>
        </w:tc>
      </w:tr>
      <w:tr w14:paraId="1F18E8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CE65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AA9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DB1B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F6A3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5D4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53A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0ED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333B">
            <w:pPr>
              <w:jc w:val="center"/>
            </w:pPr>
            <w:r>
              <w:rPr>
                <w:rFonts w:ascii="宋体" w:hAnsi="宋体" w:eastAsia="宋体"/>
                <w:sz w:val="16"/>
              </w:rPr>
              <w:t>得分</w:t>
            </w:r>
          </w:p>
        </w:tc>
      </w:tr>
      <w:tr w14:paraId="41BCF1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204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5C37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51E56">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342D0">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11945">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BD4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BC0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DC0A">
            <w:pPr>
              <w:jc w:val="center"/>
            </w:pPr>
            <w:r>
              <w:rPr>
                <w:rFonts w:ascii="宋体" w:hAnsi="宋体" w:eastAsia="宋体"/>
                <w:sz w:val="16"/>
              </w:rPr>
              <w:t>10.00</w:t>
            </w:r>
          </w:p>
        </w:tc>
      </w:tr>
      <w:tr w14:paraId="7AD0E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57E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264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0B3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896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619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BF6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9A8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E9AD">
            <w:pPr>
              <w:jc w:val="center"/>
            </w:pPr>
            <w:r>
              <w:rPr>
                <w:rFonts w:ascii="宋体" w:hAnsi="宋体" w:eastAsia="宋体"/>
                <w:sz w:val="16"/>
              </w:rPr>
              <w:t>—</w:t>
            </w:r>
          </w:p>
        </w:tc>
      </w:tr>
      <w:tr w14:paraId="79BEA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979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3F2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6EE43">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72C5B">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A17EF">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C65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E20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C9039">
            <w:pPr>
              <w:jc w:val="center"/>
            </w:pPr>
            <w:r>
              <w:rPr>
                <w:rFonts w:ascii="宋体" w:hAnsi="宋体" w:eastAsia="宋体"/>
                <w:sz w:val="16"/>
              </w:rPr>
              <w:t>—</w:t>
            </w:r>
          </w:p>
        </w:tc>
      </w:tr>
      <w:tr w14:paraId="55C439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E55F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65EB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B6585D">
            <w:pPr>
              <w:jc w:val="center"/>
            </w:pPr>
            <w:r>
              <w:rPr>
                <w:rFonts w:ascii="宋体" w:hAnsi="宋体" w:eastAsia="宋体"/>
                <w:sz w:val="16"/>
              </w:rPr>
              <w:t>实际完成情况</w:t>
            </w:r>
          </w:p>
        </w:tc>
      </w:tr>
      <w:tr w14:paraId="59AB9A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0C2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F3958E">
            <w:pPr>
              <w:jc w:val="both"/>
            </w:pPr>
            <w:r>
              <w:rPr>
                <w:rFonts w:ascii="宋体" w:hAnsi="宋体" w:eastAsia="宋体"/>
                <w:sz w:val="16"/>
              </w:rPr>
              <w:t>贯彻落实中央人大工作会议精神和自治区党委实施意见，为各级人大代表依法执行代表职务提供支持和保障，体现自治区党委对基层人大工作的重视和关心，通过伊犁州人大给予经费补助，全面加强基层人大建设，不断提升人大代表履职能力，更好支持基层国家权力机关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B712E2">
            <w:pPr>
              <w:jc w:val="both"/>
            </w:pPr>
            <w:r>
              <w:rPr>
                <w:rFonts w:ascii="宋体" w:hAnsi="宋体" w:eastAsia="宋体"/>
                <w:sz w:val="16"/>
              </w:rPr>
              <w:t>1、发放州级人大代表补助人数22人，发放金额15840元；2、完善人大代表之家1个，补助经费14960元。不断提升了人大代表履职能力，更好支持基层国家权力机关发挥作用。</w:t>
            </w:r>
          </w:p>
        </w:tc>
      </w:tr>
      <w:tr w14:paraId="5D17D7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63DB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67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09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67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F249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3B8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BDD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064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AD2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C2B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28A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863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5D1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2845">
            <w:pPr>
              <w:jc w:val="center"/>
            </w:pPr>
            <w:r>
              <w:rPr>
                <w:rFonts w:ascii="宋体" w:hAnsi="宋体" w:eastAsia="宋体"/>
                <w:sz w:val="16"/>
              </w:rPr>
              <w:t>偏差原因分析及改进措施</w:t>
            </w:r>
          </w:p>
        </w:tc>
      </w:tr>
      <w:tr w14:paraId="6C4162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329F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9AA6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0FB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D8A1">
            <w:pPr>
              <w:jc w:val="center"/>
            </w:pPr>
            <w:r>
              <w:rPr>
                <w:rFonts w:ascii="宋体" w:hAnsi="宋体" w:eastAsia="宋体"/>
                <w:sz w:val="16"/>
              </w:rPr>
              <w:t>州级人大代表补助发放人数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29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C67A">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ECF2D">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A8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8EF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1D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ECB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22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0D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4A240">
            <w:pPr>
              <w:jc w:val="center"/>
            </w:pPr>
          </w:p>
        </w:tc>
      </w:tr>
      <w:tr w14:paraId="586635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0F1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F89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A27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D9D00">
            <w:pPr>
              <w:jc w:val="center"/>
            </w:pPr>
            <w:r>
              <w:rPr>
                <w:rFonts w:ascii="宋体" w:hAnsi="宋体" w:eastAsia="宋体"/>
                <w:sz w:val="16"/>
              </w:rPr>
              <w:t>完善人大代表之家建设数量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FD3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E1EF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676D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C98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613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E47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86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80C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9B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E151">
            <w:pPr>
              <w:jc w:val="center"/>
            </w:pPr>
          </w:p>
        </w:tc>
      </w:tr>
      <w:tr w14:paraId="7A1363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FC2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BB9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E3F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2A1A6">
            <w:pPr>
              <w:jc w:val="center"/>
            </w:pPr>
            <w:r>
              <w:rPr>
                <w:rFonts w:ascii="宋体" w:hAnsi="宋体" w:eastAsia="宋体"/>
                <w:sz w:val="16"/>
              </w:rPr>
              <w:t>州级人大代表补助发放次数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F4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16E1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B616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C7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0F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7B4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CA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53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C45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8B00">
            <w:pPr>
              <w:jc w:val="center"/>
            </w:pPr>
          </w:p>
        </w:tc>
      </w:tr>
      <w:tr w14:paraId="013CBD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96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6BE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A3E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0A0CC">
            <w:pPr>
              <w:jc w:val="center"/>
            </w:pPr>
            <w:r>
              <w:rPr>
                <w:rFonts w:ascii="宋体" w:hAnsi="宋体" w:eastAsia="宋体"/>
                <w:sz w:val="16"/>
              </w:rPr>
              <w:t>州级人大代表补助发放准确率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6C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92F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E7E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F9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A5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04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0A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70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623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9B8AA">
            <w:pPr>
              <w:jc w:val="center"/>
            </w:pPr>
          </w:p>
        </w:tc>
      </w:tr>
      <w:tr w14:paraId="50D9AF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38B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AAA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83C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36F9">
            <w:pPr>
              <w:jc w:val="center"/>
            </w:pPr>
            <w:r>
              <w:rPr>
                <w:rFonts w:ascii="宋体" w:hAnsi="宋体" w:eastAsia="宋体"/>
                <w:sz w:val="16"/>
              </w:rPr>
              <w:t>完善人大代表之家建设合格率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8B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9F4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D0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AC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3A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A93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A3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AF5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9F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85DE">
            <w:pPr>
              <w:jc w:val="center"/>
            </w:pPr>
          </w:p>
        </w:tc>
      </w:tr>
      <w:tr w14:paraId="326A96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2B6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C21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C285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139A5">
            <w:pPr>
              <w:jc w:val="center"/>
            </w:pPr>
            <w:r>
              <w:rPr>
                <w:rFonts w:ascii="宋体" w:hAnsi="宋体" w:eastAsia="宋体"/>
                <w:sz w:val="16"/>
              </w:rPr>
              <w:t>州级人大代表补助发放完成时间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CF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DB9C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225D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4A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81A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1C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1F7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B29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8B1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3F01">
            <w:pPr>
              <w:jc w:val="center"/>
            </w:pPr>
          </w:p>
        </w:tc>
      </w:tr>
      <w:tr w14:paraId="543F03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EE7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CF6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AB7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FD22">
            <w:pPr>
              <w:jc w:val="center"/>
            </w:pPr>
            <w:r>
              <w:rPr>
                <w:rFonts w:ascii="宋体" w:hAnsi="宋体" w:eastAsia="宋体"/>
                <w:sz w:val="16"/>
              </w:rPr>
              <w:t>完善人大代表之家建设完成率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5B9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8C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F8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635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5C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EA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1F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38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D31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76BE">
            <w:pPr>
              <w:jc w:val="center"/>
            </w:pPr>
          </w:p>
        </w:tc>
      </w:tr>
      <w:tr w14:paraId="5D7D2C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880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135B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CB4F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F660A">
            <w:pPr>
              <w:jc w:val="center"/>
            </w:pPr>
            <w:r>
              <w:rPr>
                <w:rFonts w:ascii="宋体" w:hAnsi="宋体" w:eastAsia="宋体"/>
                <w:sz w:val="16"/>
              </w:rPr>
              <w:t>完善人大代表之家建设成本支出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83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1A377">
            <w:pPr>
              <w:jc w:val="center"/>
            </w:pPr>
            <w:r>
              <w:rPr>
                <w:rFonts w:ascii="宋体" w:hAnsi="宋体" w:eastAsia="宋体"/>
                <w:sz w:val="16"/>
              </w:rPr>
              <w:t>&lt;=14960元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94533">
            <w:pPr>
              <w:jc w:val="center"/>
            </w:pPr>
            <w:r>
              <w:rPr>
                <w:rFonts w:ascii="宋体" w:hAnsi="宋体" w:eastAsia="宋体"/>
                <w:sz w:val="16"/>
              </w:rPr>
              <w:t>14960元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68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24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D5B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90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54F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B2E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1B278">
            <w:pPr>
              <w:jc w:val="center"/>
            </w:pPr>
          </w:p>
        </w:tc>
      </w:tr>
      <w:tr w14:paraId="257DD2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82D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24E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B7A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DA0B">
            <w:pPr>
              <w:jc w:val="center"/>
            </w:pPr>
            <w:r>
              <w:rPr>
                <w:rFonts w:ascii="宋体" w:hAnsi="宋体" w:eastAsia="宋体"/>
                <w:sz w:val="16"/>
              </w:rPr>
              <w:t>州级人大代表补助发放人均标准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09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1F63">
            <w:pPr>
              <w:jc w:val="center"/>
            </w:pPr>
            <w:r>
              <w:rPr>
                <w:rFonts w:ascii="宋体" w:hAnsi="宋体" w:eastAsia="宋体"/>
                <w:sz w:val="16"/>
              </w:rPr>
              <w:t>&lt;=720元/人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D5DB">
            <w:pPr>
              <w:jc w:val="center"/>
            </w:pPr>
            <w:r>
              <w:rPr>
                <w:rFonts w:ascii="宋体" w:hAnsi="宋体" w:eastAsia="宋体"/>
                <w:sz w:val="16"/>
              </w:rPr>
              <w:t>720元/人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E2B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A9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6F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DA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D4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3B1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A0A0">
            <w:pPr>
              <w:jc w:val="center"/>
            </w:pPr>
          </w:p>
        </w:tc>
      </w:tr>
      <w:tr w14:paraId="00011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59E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7D3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BF2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F64D3">
            <w:pPr>
              <w:jc w:val="center"/>
            </w:pPr>
            <w:r>
              <w:rPr>
                <w:rFonts w:hint="eastAsia" w:ascii="宋体" w:hAnsi="宋体"/>
                <w:sz w:val="16"/>
                <w:lang w:eastAsia="zh-CN"/>
              </w:rPr>
              <w:t>提高</w:t>
            </w:r>
            <w:r>
              <w:rPr>
                <w:rFonts w:ascii="宋体" w:hAnsi="宋体" w:eastAsia="宋体"/>
                <w:sz w:val="16"/>
              </w:rPr>
              <w:t>基层人大代表履职能力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67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D9E10">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35BD">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0F2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E5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AAD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477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9D8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E3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0E37C">
            <w:pPr>
              <w:jc w:val="center"/>
            </w:pPr>
          </w:p>
        </w:tc>
      </w:tr>
      <w:tr w14:paraId="41C0EA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4C5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52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B6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E6E0">
            <w:pPr>
              <w:jc w:val="center"/>
            </w:pPr>
            <w:r>
              <w:rPr>
                <w:rFonts w:ascii="宋体" w:hAnsi="宋体" w:eastAsia="宋体"/>
                <w:sz w:val="16"/>
              </w:rPr>
              <w:t>补助州级人大代表满意度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C5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F15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D07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5A9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39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69B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09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0F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49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FD63">
            <w:pPr>
              <w:jc w:val="center"/>
            </w:pPr>
            <w:r>
              <w:rPr>
                <w:rFonts w:ascii="宋体" w:hAnsi="宋体" w:eastAsia="宋体"/>
                <w:sz w:val="16"/>
              </w:rPr>
              <w:t>达到预期目标。</w:t>
            </w:r>
          </w:p>
        </w:tc>
      </w:tr>
      <w:tr w14:paraId="6F99D1B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0CC4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03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591D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639E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FB6C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6B6F7">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B89E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9661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ECE7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38DF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F7E26E"/>
        </w:tc>
      </w:tr>
    </w:tbl>
    <w:p w14:paraId="1A7EA129">
      <w:r>
        <w:br w:type="page"/>
      </w:r>
    </w:p>
    <w:p w14:paraId="6947ABDF">
      <w:pPr>
        <w:spacing w:line="640" w:lineRule="exact"/>
        <w:ind w:firstLine="640"/>
        <w:jc w:val="both"/>
        <w:outlineLvl w:val="2"/>
      </w:pPr>
      <w:r>
        <w:rPr>
          <w:rFonts w:ascii="黑体" w:hAnsi="黑体" w:eastAsia="黑体"/>
          <w:sz w:val="32"/>
        </w:rPr>
        <w:t>十二、其他需说明的事项</w:t>
      </w:r>
    </w:p>
    <w:p w14:paraId="06434EF1">
      <w:pPr>
        <w:spacing w:line="580" w:lineRule="exact"/>
        <w:ind w:firstLine="640"/>
        <w:jc w:val="both"/>
      </w:pPr>
      <w:r>
        <w:rPr>
          <w:rFonts w:ascii="仿宋_GB2312" w:hAnsi="仿宋_GB2312" w:eastAsia="仿宋_GB2312"/>
          <w:b w:val="0"/>
          <w:sz w:val="32"/>
        </w:rPr>
        <w:t>本单位无其他需说明的事项。</w:t>
      </w:r>
    </w:p>
    <w:p w14:paraId="487BB757">
      <w:r>
        <w:br w:type="page"/>
      </w:r>
    </w:p>
    <w:p w14:paraId="47BB0E9C">
      <w:pPr>
        <w:spacing w:line="240" w:lineRule="auto"/>
        <w:jc w:val="center"/>
        <w:outlineLvl w:val="1"/>
      </w:pPr>
      <w:r>
        <w:rPr>
          <w:rFonts w:ascii="黑体" w:hAnsi="黑体" w:eastAsia="黑体"/>
          <w:sz w:val="32"/>
        </w:rPr>
        <w:t>第三部分 专业名词解释</w:t>
      </w:r>
    </w:p>
    <w:p w14:paraId="2B0A425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8E2859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52512F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F90BB0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8F18E7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CB7038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26F6C6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0572C3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CE34DF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35151F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DCA9DA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574396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B1452E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1F81B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7B21524">
      <w:r>
        <w:br w:type="page"/>
      </w:r>
    </w:p>
    <w:p w14:paraId="7F6BB19B">
      <w:pPr>
        <w:spacing w:line="240" w:lineRule="auto"/>
        <w:jc w:val="center"/>
        <w:outlineLvl w:val="1"/>
      </w:pPr>
      <w:r>
        <w:rPr>
          <w:rFonts w:ascii="黑体" w:hAnsi="黑体" w:eastAsia="黑体"/>
          <w:sz w:val="32"/>
        </w:rPr>
        <w:t>第四部分 部门决算报表（见附表）</w:t>
      </w:r>
    </w:p>
    <w:p w14:paraId="6374CD6E">
      <w:pPr>
        <w:spacing w:line="240" w:lineRule="auto"/>
        <w:ind w:firstLine="640"/>
        <w:jc w:val="both"/>
      </w:pPr>
      <w:r>
        <w:rPr>
          <w:rFonts w:ascii="仿宋_GB2312" w:hAnsi="仿宋_GB2312" w:eastAsia="仿宋_GB2312"/>
          <w:b w:val="0"/>
          <w:sz w:val="32"/>
        </w:rPr>
        <w:t>一、《收入支出决算总表》</w:t>
      </w:r>
    </w:p>
    <w:p w14:paraId="5C44C5F5">
      <w:pPr>
        <w:spacing w:line="240" w:lineRule="auto"/>
        <w:ind w:firstLine="640"/>
        <w:jc w:val="both"/>
      </w:pPr>
      <w:r>
        <w:rPr>
          <w:rFonts w:ascii="仿宋_GB2312" w:hAnsi="仿宋_GB2312" w:eastAsia="仿宋_GB2312"/>
          <w:b w:val="0"/>
          <w:sz w:val="32"/>
        </w:rPr>
        <w:t>二、《收入决算表》</w:t>
      </w:r>
    </w:p>
    <w:p w14:paraId="67239AF1">
      <w:pPr>
        <w:spacing w:line="240" w:lineRule="auto"/>
        <w:ind w:firstLine="640"/>
        <w:jc w:val="both"/>
      </w:pPr>
      <w:r>
        <w:rPr>
          <w:rFonts w:ascii="仿宋_GB2312" w:hAnsi="仿宋_GB2312" w:eastAsia="仿宋_GB2312"/>
          <w:b w:val="0"/>
          <w:sz w:val="32"/>
        </w:rPr>
        <w:t>三、《支出决算表》</w:t>
      </w:r>
    </w:p>
    <w:p w14:paraId="2819A4DF">
      <w:pPr>
        <w:spacing w:line="240" w:lineRule="auto"/>
        <w:ind w:firstLine="640"/>
        <w:jc w:val="both"/>
      </w:pPr>
      <w:r>
        <w:rPr>
          <w:rFonts w:ascii="仿宋_GB2312" w:hAnsi="仿宋_GB2312" w:eastAsia="仿宋_GB2312"/>
          <w:b w:val="0"/>
          <w:sz w:val="32"/>
        </w:rPr>
        <w:t>四、《财政拨款收入支出决算总表》</w:t>
      </w:r>
    </w:p>
    <w:p w14:paraId="3E039453">
      <w:pPr>
        <w:spacing w:line="240" w:lineRule="auto"/>
        <w:ind w:firstLine="640"/>
        <w:jc w:val="both"/>
      </w:pPr>
      <w:r>
        <w:rPr>
          <w:rFonts w:ascii="仿宋_GB2312" w:hAnsi="仿宋_GB2312" w:eastAsia="仿宋_GB2312"/>
          <w:b w:val="0"/>
          <w:sz w:val="32"/>
        </w:rPr>
        <w:t>五、《一般公共预算财政拨款支出决算表》</w:t>
      </w:r>
    </w:p>
    <w:p w14:paraId="641849B7">
      <w:pPr>
        <w:spacing w:line="240" w:lineRule="auto"/>
        <w:ind w:firstLine="640"/>
        <w:jc w:val="both"/>
      </w:pPr>
      <w:r>
        <w:rPr>
          <w:rFonts w:ascii="仿宋_GB2312" w:hAnsi="仿宋_GB2312" w:eastAsia="仿宋_GB2312"/>
          <w:b w:val="0"/>
          <w:sz w:val="32"/>
        </w:rPr>
        <w:t>六、《一般公共预算财政拨款基本支出决算表》</w:t>
      </w:r>
    </w:p>
    <w:p w14:paraId="58139180">
      <w:pPr>
        <w:spacing w:line="240" w:lineRule="auto"/>
        <w:ind w:firstLine="640"/>
        <w:jc w:val="both"/>
      </w:pPr>
      <w:r>
        <w:rPr>
          <w:rFonts w:ascii="仿宋_GB2312" w:hAnsi="仿宋_GB2312" w:eastAsia="仿宋_GB2312"/>
          <w:b w:val="0"/>
          <w:sz w:val="32"/>
        </w:rPr>
        <w:t>七、《政府性基金预算财政拨款收入支出决算表》</w:t>
      </w:r>
    </w:p>
    <w:p w14:paraId="6F2F7498">
      <w:pPr>
        <w:spacing w:line="240" w:lineRule="auto"/>
        <w:ind w:firstLine="640"/>
        <w:jc w:val="both"/>
      </w:pPr>
      <w:r>
        <w:rPr>
          <w:rFonts w:ascii="仿宋_GB2312" w:hAnsi="仿宋_GB2312" w:eastAsia="仿宋_GB2312"/>
          <w:b w:val="0"/>
          <w:sz w:val="32"/>
        </w:rPr>
        <w:t>八、《国有资本经营预算财政拨款收入支出决算表》</w:t>
      </w:r>
    </w:p>
    <w:p w14:paraId="31C75330">
      <w:pPr>
        <w:spacing w:line="240" w:lineRule="auto"/>
        <w:ind w:firstLine="640"/>
        <w:jc w:val="both"/>
      </w:pPr>
      <w:r>
        <w:rPr>
          <w:rFonts w:ascii="仿宋_GB2312" w:hAnsi="仿宋_GB2312" w:eastAsia="仿宋_GB2312"/>
          <w:b w:val="0"/>
          <w:sz w:val="32"/>
        </w:rPr>
        <w:t>九、《财政拨款“三公”经费支出决算表》</w:t>
      </w:r>
    </w:p>
    <w:p w14:paraId="5F5AC98B">
      <w:pPr>
        <w:spacing w:line="240" w:lineRule="auto"/>
        <w:ind w:firstLine="640"/>
        <w:jc w:val="both"/>
      </w:pPr>
    </w:p>
    <w:p w14:paraId="6EDAF276">
      <w:pPr>
        <w:spacing w:line="240" w:lineRule="auto"/>
        <w:ind w:firstLine="640"/>
        <w:jc w:val="both"/>
      </w:pPr>
    </w:p>
    <w:p w14:paraId="0DAB8908">
      <w:pPr>
        <w:spacing w:line="240" w:lineRule="auto"/>
        <w:ind w:firstLine="640"/>
        <w:jc w:val="both"/>
      </w:pPr>
    </w:p>
    <w:p w14:paraId="08B92CBE">
      <w:pPr>
        <w:spacing w:line="240" w:lineRule="auto"/>
        <w:ind w:firstLine="640"/>
        <w:jc w:val="both"/>
      </w:pPr>
    </w:p>
    <w:p w14:paraId="2DB7903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B15EDD-E828-42C5-846B-3F84719C509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AC8E018-BE85-4EDC-9CCE-9FD056C45027}"/>
  </w:font>
  <w:font w:name="仿宋_GB2312">
    <w:panose1 w:val="02010609030101010101"/>
    <w:charset w:val="86"/>
    <w:family w:val="modern"/>
    <w:pitch w:val="default"/>
    <w:sig w:usb0="00000001" w:usb1="080E0000" w:usb2="00000000" w:usb3="00000000" w:csb0="00040000" w:csb1="00000000"/>
    <w:embedRegular r:id="rId3" w:fontKey="{69A26827-9CA3-4399-8EF0-B6D99A8E031A}"/>
  </w:font>
  <w:font w:name="楷体_GB2312">
    <w:panose1 w:val="02010609030101010101"/>
    <w:charset w:val="86"/>
    <w:family w:val="auto"/>
    <w:pitch w:val="default"/>
    <w:sig w:usb0="00000001" w:usb1="080E0000" w:usb2="00000000" w:usb3="00000000" w:csb0="00040000" w:csb1="00000000"/>
    <w:embedRegular r:id="rId4" w:fontKey="{B0E70BB4-9EE1-48DB-AD6B-3901A9F1DB1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600C47"/>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431108"/>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10817</Words>
  <Characters>12174</Characters>
  <Lines>0</Lines>
  <Paragraphs>0</Paragraphs>
  <TotalTime>8</TotalTime>
  <ScaleCrop>false</ScaleCrop>
  <LinksUpToDate>false</LinksUpToDate>
  <CharactersWithSpaces>12190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2025-09-25T03:42:21Z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