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霍城县三宫回族乡人民政府2024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7FD60F4">
      <w:r>
        <w:br w:type="page"/>
      </w:r>
    </w:p>
    <w:p w14:paraId="3D8F92D3">
      <w:pPr>
        <w:spacing w:line="640" w:lineRule="exact"/>
        <w:jc w:val="center"/>
        <w:outlineLvl w:val="1"/>
      </w:pPr>
      <w:r>
        <w:rPr>
          <w:rFonts w:ascii="黑体" w:hAnsi="黑体" w:eastAsia="黑体"/>
          <w:sz w:val="32"/>
        </w:rPr>
        <w:t>第一部分 单位概况</w:t>
      </w:r>
    </w:p>
    <w:p w14:paraId="32AC8F67">
      <w:pPr>
        <w:spacing w:line="640" w:lineRule="exact"/>
        <w:ind w:firstLine="640"/>
        <w:jc w:val="both"/>
        <w:outlineLvl w:val="2"/>
      </w:pPr>
      <w:r>
        <w:rPr>
          <w:rFonts w:ascii="黑体" w:hAnsi="黑体" w:eastAsia="黑体"/>
          <w:sz w:val="32"/>
        </w:rPr>
        <w:t>一、主要职能</w:t>
      </w:r>
    </w:p>
    <w:p w14:paraId="6CCAA22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文秘、档案、保密、翻译、综合协调、后勤保障等工作；负责制定乡机关各项工作制度并监督落实；负责乡机关效能建设及绩效考核；负责机关、派驻机构、事业机构的综合协调工作。负责建立完善“街乡吹哨、部门报到”工作机制，制定实施“呼叫”事项办理信息反馈评价制度，完善和实施对县直部门和派驻机构履职的考核评价机制。</w:t>
      </w:r>
    </w:p>
    <w:p w14:paraId="5F7A22F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党务、组织、纪检、宣传、机构编制、人事、老干部等工作的规划、管理、协调和监督工作；负责宣传党的各项方针、政策；负责党的基层组织建设和党员队伍建设工作；负责党风廉政建设工作；负责人大、团委、工会、妇联等群团组织工作；负责政协委员的联络工作；负责组织开展辖区群众的宣传、发动、服务工作；负责辖区社团组织培育、发展和管理；负责特殊群体的帮教帮扶、解决群众困难诉求等工作；负责群众工作机制的落实，并不断拓展教育服务群众的形式和载体。</w:t>
      </w:r>
    </w:p>
    <w:p w14:paraId="4E792BF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负责农业、林业、畜牧、草原、水利、财政、土地、统计、交通、乡村振兴、新型城镇化、村镇建设、扶贫开发、</w:t>
      </w:r>
      <w:r>
        <w:rPr>
          <w:rFonts w:hint="eastAsia" w:ascii="仿宋_GB2312" w:hAnsi="仿宋_GB2312" w:eastAsia="仿宋_GB2312"/>
          <w:sz w:val="32"/>
          <w:lang w:eastAsia="zh-CN"/>
        </w:rPr>
        <w:t>招</w:t>
      </w:r>
      <w:r>
        <w:rPr>
          <w:rFonts w:ascii="仿宋_GB2312" w:hAnsi="仿宋_GB2312" w:eastAsia="仿宋_GB2312"/>
          <w:sz w:val="32"/>
        </w:rPr>
        <w:t>商引资、项目、一二三产业的规划、管理、协调和监督工作；拟订经济发展、产业结构调整规划、计划并组织实施；贯彻落实统筹城乡发展、加快推进城乡一体化和乡村振兴工作总体部署和目标任务。</w:t>
      </w:r>
    </w:p>
    <w:p w14:paraId="4C827211">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政法、社会治安综合治理、统战、信访、司法、教育、科技、文化、卫生健康、体育、广播电视、旅游、安全生产、应急管理、劳动就业、社会保障、社会救助、退役军人、残疾人、红十字会事业的规划、管理、协调和监督工作；负责拟订社会发展规划、计划并组织实施。协助做好乡人武部工作。</w:t>
      </w:r>
    </w:p>
    <w:p w14:paraId="6A534136">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w:t>
      </w:r>
      <w:r>
        <w:rPr>
          <w:rFonts w:hint="eastAsia" w:ascii="仿宋_GB2312" w:hAnsi="仿宋_GB2312" w:eastAsia="仿宋_GB2312"/>
          <w:sz w:val="32"/>
          <w:lang w:eastAsia="zh-CN"/>
        </w:rPr>
        <w:t>综合行政执法</w:t>
      </w:r>
      <w:r>
        <w:rPr>
          <w:rFonts w:ascii="仿宋_GB2312" w:hAnsi="仿宋_GB2312" w:eastAsia="仿宋_GB2312"/>
          <w:sz w:val="32"/>
        </w:rPr>
        <w:t>工作的规划、管理、协调和监督工作；完善基层综合行政执法体制机制，落实行政执法公示制度、执法全过程记录制度、重大执法决定法制审核制度；负责拟订综合行政执法队伍统一的运行管理制度，包括日常工作制度、包片负责制度、巡查上报制度、执法处置制度、执法协调制度、执法案件督办制度等；负责行政执法监督、执法绩效考评；负责推进综合行政执法信息系统建设；负责联系协调县直相关行政部门派驻乡执法人员以及乡执法人员在辖区内开展综合行政执法工作。</w:t>
      </w:r>
    </w:p>
    <w:p w14:paraId="38AD6E3F">
      <w:pPr>
        <w:spacing w:line="640" w:lineRule="exact"/>
        <w:ind w:firstLine="640"/>
        <w:jc w:val="both"/>
        <w:outlineLvl w:val="2"/>
      </w:pPr>
      <w:r>
        <w:rPr>
          <w:rFonts w:ascii="黑体" w:hAnsi="黑体" w:eastAsia="黑体"/>
          <w:sz w:val="32"/>
        </w:rPr>
        <w:t>二、机构设置及人员情况</w:t>
      </w:r>
    </w:p>
    <w:p w14:paraId="50D4EF27">
      <w:pPr>
        <w:spacing w:line="580" w:lineRule="exact"/>
        <w:ind w:firstLine="640"/>
        <w:jc w:val="both"/>
      </w:pPr>
      <w:r>
        <w:rPr>
          <w:rFonts w:ascii="仿宋_GB2312" w:hAnsi="仿宋_GB2312" w:eastAsia="仿宋_GB2312"/>
          <w:sz w:val="32"/>
        </w:rPr>
        <w:t>霍城县三宫回族乡人民政府2024年度，实有人数92人，其中：在职人员67人，减少3人；离休人员0人，增加0人；退休人员25人,增加1人。</w:t>
      </w:r>
    </w:p>
    <w:p w14:paraId="11AEBDD7">
      <w:pPr>
        <w:spacing w:line="580" w:lineRule="exact"/>
        <w:ind w:firstLine="640"/>
        <w:jc w:val="both"/>
      </w:pPr>
      <w:r>
        <w:rPr>
          <w:rFonts w:ascii="仿宋_GB2312" w:hAnsi="仿宋_GB2312" w:eastAsia="仿宋_GB2312"/>
          <w:sz w:val="32"/>
        </w:rPr>
        <w:t>霍城县三宫回族乡人民政府无下属预算单位，下设13个科室，分别是：党政办公室、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综合行政执法队（与综合执法办公室合署办公）、人口和计生生殖健康服务站。</w:t>
      </w:r>
    </w:p>
    <w:p w14:paraId="34D9709F">
      <w:r>
        <w:br w:type="page"/>
      </w:r>
    </w:p>
    <w:p w14:paraId="7D79E913">
      <w:pPr>
        <w:spacing w:line="240" w:lineRule="auto"/>
        <w:jc w:val="center"/>
        <w:outlineLvl w:val="1"/>
      </w:pPr>
      <w:r>
        <w:rPr>
          <w:rFonts w:ascii="黑体" w:hAnsi="黑体" w:eastAsia="黑体"/>
          <w:sz w:val="32"/>
        </w:rPr>
        <w:t>第二部分 部门决算情况说明</w:t>
      </w:r>
    </w:p>
    <w:p w14:paraId="2F8B5C82">
      <w:pPr>
        <w:spacing w:line="640" w:lineRule="exact"/>
        <w:ind w:firstLine="640"/>
        <w:jc w:val="both"/>
        <w:outlineLvl w:val="2"/>
      </w:pPr>
      <w:r>
        <w:rPr>
          <w:rFonts w:ascii="黑体" w:hAnsi="黑体" w:eastAsia="黑体"/>
          <w:sz w:val="32"/>
        </w:rPr>
        <w:t>一、收入支出决算总体情况说明</w:t>
      </w:r>
    </w:p>
    <w:p w14:paraId="7B7B56FF">
      <w:pPr>
        <w:spacing w:line="580" w:lineRule="exact"/>
        <w:ind w:firstLine="640"/>
        <w:jc w:val="both"/>
      </w:pPr>
      <w:r>
        <w:rPr>
          <w:rFonts w:ascii="仿宋_GB2312" w:hAnsi="仿宋_GB2312" w:eastAsia="仿宋_GB2312"/>
          <w:b/>
          <w:sz w:val="32"/>
        </w:rPr>
        <w:t>2024年度收入总计2,035.21万元，</w:t>
      </w:r>
      <w:r>
        <w:rPr>
          <w:rFonts w:ascii="仿宋_GB2312" w:hAnsi="仿宋_GB2312" w:eastAsia="仿宋_GB2312"/>
          <w:b w:val="0"/>
          <w:sz w:val="32"/>
        </w:rPr>
        <w:t>其中：本年收入合计2,035.21万元，使用非财政拨款结余（含专用结余）0.00万元，年初结转和结余0.00万元。</w:t>
      </w:r>
    </w:p>
    <w:p w14:paraId="4C125201">
      <w:pPr>
        <w:spacing w:line="580" w:lineRule="exact"/>
        <w:ind w:firstLine="640"/>
        <w:jc w:val="both"/>
      </w:pPr>
      <w:r>
        <w:rPr>
          <w:rFonts w:ascii="仿宋_GB2312" w:hAnsi="仿宋_GB2312" w:eastAsia="仿宋_GB2312"/>
          <w:b/>
          <w:sz w:val="32"/>
        </w:rPr>
        <w:t>2024年度支出总计2,035.21万元，</w:t>
      </w:r>
      <w:r>
        <w:rPr>
          <w:rFonts w:ascii="仿宋_GB2312" w:hAnsi="仿宋_GB2312" w:eastAsia="仿宋_GB2312"/>
          <w:b w:val="0"/>
          <w:sz w:val="32"/>
        </w:rPr>
        <w:t>其中：本年支出合计2,035.21万元，结余分配0.00万元，年末结转和结余0.00万元。</w:t>
      </w:r>
    </w:p>
    <w:p w14:paraId="01B63E59">
      <w:pPr>
        <w:spacing w:line="580" w:lineRule="exact"/>
        <w:ind w:firstLine="640"/>
        <w:jc w:val="both"/>
      </w:pPr>
      <w:r>
        <w:rPr>
          <w:rFonts w:ascii="仿宋_GB2312" w:hAnsi="仿宋_GB2312" w:eastAsia="仿宋_GB2312"/>
          <w:b w:val="0"/>
          <w:sz w:val="32"/>
        </w:rPr>
        <w:t>收入支出总体与上年相比，增加71.76万元，增长3.65%，主要原因是：本年增加沙湾村阵地项目、表彰先进奖励金、援疆办拨付文化润疆资金。</w:t>
      </w:r>
    </w:p>
    <w:p w14:paraId="474689A4">
      <w:pPr>
        <w:spacing w:line="640" w:lineRule="exact"/>
        <w:ind w:firstLine="640"/>
        <w:jc w:val="both"/>
        <w:outlineLvl w:val="2"/>
      </w:pPr>
      <w:r>
        <w:rPr>
          <w:rFonts w:ascii="黑体" w:hAnsi="黑体" w:eastAsia="黑体"/>
          <w:sz w:val="32"/>
        </w:rPr>
        <w:t>二、收入决算情况说明</w:t>
      </w:r>
    </w:p>
    <w:p w14:paraId="7A46C356">
      <w:pPr>
        <w:spacing w:line="580" w:lineRule="exact"/>
        <w:ind w:firstLine="640"/>
        <w:jc w:val="both"/>
      </w:pPr>
      <w:r>
        <w:rPr>
          <w:rFonts w:ascii="仿宋_GB2312" w:hAnsi="仿宋_GB2312" w:eastAsia="仿宋_GB2312"/>
          <w:b/>
          <w:sz w:val="32"/>
        </w:rPr>
        <w:t>本年收入2,035.21万元，</w:t>
      </w:r>
      <w:r>
        <w:rPr>
          <w:rFonts w:ascii="仿宋_GB2312" w:hAnsi="仿宋_GB2312" w:eastAsia="仿宋_GB2312"/>
          <w:b w:val="0"/>
          <w:sz w:val="32"/>
        </w:rPr>
        <w:t>其中：财政拨款收入1,806.79万元，占88.78%；上级补助收入0.00万元，占0.00%；事业收入0.00万元，占0.00%；经营收入0.00万元，占0.00%；附属单位上缴收入0.00万元，占0.00%；其他收入228.42万元，占11.22%。</w:t>
      </w:r>
    </w:p>
    <w:p w14:paraId="59045D47">
      <w:pPr>
        <w:spacing w:line="640" w:lineRule="exact"/>
        <w:ind w:firstLine="640"/>
        <w:jc w:val="both"/>
        <w:outlineLvl w:val="2"/>
      </w:pPr>
      <w:r>
        <w:rPr>
          <w:rFonts w:ascii="黑体" w:hAnsi="黑体" w:eastAsia="黑体"/>
          <w:sz w:val="32"/>
        </w:rPr>
        <w:t>三、支出决算情况说明</w:t>
      </w:r>
    </w:p>
    <w:p w14:paraId="41C2FB50">
      <w:pPr>
        <w:spacing w:line="580" w:lineRule="exact"/>
        <w:ind w:firstLine="640"/>
        <w:jc w:val="both"/>
      </w:pPr>
      <w:r>
        <w:rPr>
          <w:rFonts w:ascii="仿宋_GB2312" w:hAnsi="仿宋_GB2312" w:eastAsia="仿宋_GB2312"/>
          <w:b/>
          <w:sz w:val="32"/>
        </w:rPr>
        <w:t>本年支出2,035.21万元，</w:t>
      </w:r>
      <w:r>
        <w:rPr>
          <w:rFonts w:ascii="仿宋_GB2312" w:hAnsi="仿宋_GB2312" w:eastAsia="仿宋_GB2312"/>
          <w:b w:val="0"/>
          <w:sz w:val="32"/>
        </w:rPr>
        <w:t>其中：基本支出1,607.46万元，占78.98%；项目支出427.75万元，占21.02%；上缴上级支出0.00万元，占0.00%；经营支出0.00万元，占0.00%；对附属单位补助支出0.00万元，占0.00%。</w:t>
      </w:r>
    </w:p>
    <w:p w14:paraId="03891C2E">
      <w:pPr>
        <w:spacing w:line="640" w:lineRule="exact"/>
        <w:ind w:firstLine="640"/>
        <w:jc w:val="both"/>
        <w:outlineLvl w:val="2"/>
      </w:pPr>
      <w:r>
        <w:rPr>
          <w:rFonts w:ascii="黑体" w:hAnsi="黑体" w:eastAsia="黑体"/>
          <w:sz w:val="32"/>
        </w:rPr>
        <w:t>四、财政拨款收入支出决算总体情况说明</w:t>
      </w:r>
    </w:p>
    <w:p w14:paraId="061533C9">
      <w:pPr>
        <w:spacing w:line="580" w:lineRule="exact"/>
        <w:ind w:firstLine="640"/>
        <w:jc w:val="both"/>
      </w:pPr>
      <w:r>
        <w:rPr>
          <w:rFonts w:ascii="仿宋_GB2312" w:hAnsi="仿宋_GB2312" w:eastAsia="仿宋_GB2312"/>
          <w:b/>
          <w:sz w:val="32"/>
        </w:rPr>
        <w:t>2024年度财政拨款收入总计1,806.79万元，</w:t>
      </w:r>
      <w:r>
        <w:rPr>
          <w:rFonts w:ascii="仿宋_GB2312" w:hAnsi="仿宋_GB2312" w:eastAsia="仿宋_GB2312"/>
          <w:b w:val="0"/>
          <w:sz w:val="32"/>
        </w:rPr>
        <w:t>其中：年初财政拨款结转和结余0.00万元，本年财政拨款收入1,806.79万元。</w:t>
      </w:r>
      <w:r>
        <w:rPr>
          <w:rFonts w:ascii="仿宋_GB2312" w:hAnsi="仿宋_GB2312" w:eastAsia="仿宋_GB2312"/>
          <w:b/>
          <w:sz w:val="32"/>
        </w:rPr>
        <w:t>财政拨款支出总计1,806.79万元，</w:t>
      </w:r>
      <w:r>
        <w:rPr>
          <w:rFonts w:ascii="仿宋_GB2312" w:hAnsi="仿宋_GB2312" w:eastAsia="仿宋_GB2312"/>
          <w:b w:val="0"/>
          <w:sz w:val="32"/>
        </w:rPr>
        <w:t>其中：年末财政拨款结转和结余0.00万元，本年财政拨款支出1,806.79万元。</w:t>
      </w:r>
    </w:p>
    <w:p w14:paraId="06D7002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减少156.66万元，下降7.98%，主要原因是：本年在职人员减少，相关人员经费减少；减少2017年下三宫村等五个周转房建设项目资金支出。</w:t>
      </w:r>
      <w:r>
        <w:rPr>
          <w:rFonts w:ascii="仿宋_GB2312" w:hAnsi="仿宋_GB2312" w:eastAsia="仿宋_GB2312"/>
          <w:b/>
          <w:sz w:val="32"/>
        </w:rPr>
        <w:t>与年初预算相比，</w:t>
      </w:r>
      <w:r>
        <w:rPr>
          <w:rFonts w:ascii="仿宋_GB2312" w:hAnsi="仿宋_GB2312" w:eastAsia="仿宋_GB2312"/>
          <w:b w:val="0"/>
          <w:sz w:val="32"/>
        </w:rPr>
        <w:t>年初预算数1,196.81万元，决算数1,806.79万元，预决算差异率50.97%，主要原因是：年中追加人员工资、社保、公积金基数调增部分资金，年中追加征地和拆迁补偿支出项目，导致预决算存在差异。</w:t>
      </w:r>
    </w:p>
    <w:p w14:paraId="37AAFB24">
      <w:pPr>
        <w:spacing w:line="640" w:lineRule="exact"/>
        <w:ind w:firstLine="640"/>
        <w:jc w:val="both"/>
        <w:outlineLvl w:val="2"/>
      </w:pPr>
      <w:r>
        <w:rPr>
          <w:rFonts w:ascii="黑体" w:hAnsi="黑体" w:eastAsia="黑体"/>
          <w:sz w:val="32"/>
        </w:rPr>
        <w:t>五、一般公共预算财政拨款支出决算情况说明</w:t>
      </w:r>
    </w:p>
    <w:p w14:paraId="5541BDD9">
      <w:pPr>
        <w:spacing w:line="640" w:lineRule="exact"/>
        <w:ind w:firstLine="640"/>
        <w:jc w:val="both"/>
        <w:outlineLvl w:val="3"/>
      </w:pPr>
      <w:r>
        <w:rPr>
          <w:rFonts w:ascii="楷体_GB2312" w:hAnsi="楷体_GB2312" w:eastAsia="楷体_GB2312"/>
          <w:b/>
          <w:sz w:val="32"/>
        </w:rPr>
        <w:t>（一）一般公共预算财政拨款支出决算总体情况</w:t>
      </w:r>
    </w:p>
    <w:p w14:paraId="6A091931">
      <w:pPr>
        <w:spacing w:line="580" w:lineRule="exact"/>
        <w:ind w:firstLine="640"/>
        <w:jc w:val="both"/>
      </w:pPr>
      <w:r>
        <w:rPr>
          <w:rFonts w:ascii="仿宋_GB2312" w:hAnsi="仿宋_GB2312" w:eastAsia="仿宋_GB2312"/>
          <w:b/>
          <w:sz w:val="32"/>
        </w:rPr>
        <w:t>2024年度一般公共预算财政拨款支出1,781.79万元，</w:t>
      </w:r>
      <w:r>
        <w:rPr>
          <w:rFonts w:ascii="仿宋_GB2312" w:hAnsi="仿宋_GB2312" w:eastAsia="仿宋_GB2312"/>
          <w:b w:val="0"/>
          <w:sz w:val="32"/>
        </w:rPr>
        <w:t>占本年支出合计的87.55%。</w:t>
      </w:r>
      <w:r>
        <w:rPr>
          <w:rFonts w:ascii="仿宋_GB2312" w:hAnsi="仿宋_GB2312" w:eastAsia="仿宋_GB2312"/>
          <w:b/>
          <w:sz w:val="32"/>
        </w:rPr>
        <w:t>与上年相比，</w:t>
      </w:r>
      <w:r>
        <w:rPr>
          <w:rFonts w:ascii="仿宋_GB2312" w:hAnsi="仿宋_GB2312" w:eastAsia="仿宋_GB2312"/>
          <w:b w:val="0"/>
          <w:sz w:val="32"/>
        </w:rPr>
        <w:t>减少181.66万元，下降9.25%，主要原因是：本年在职人员减少，相关人员经费减少；减少2017年下三宫村等五个周转房建设项目资金支出。</w:t>
      </w:r>
      <w:r>
        <w:rPr>
          <w:rFonts w:ascii="仿宋_GB2312" w:hAnsi="仿宋_GB2312" w:eastAsia="仿宋_GB2312"/>
          <w:b/>
          <w:sz w:val="32"/>
        </w:rPr>
        <w:t>与年初预算相比,</w:t>
      </w:r>
      <w:r>
        <w:rPr>
          <w:rFonts w:ascii="仿宋_GB2312" w:hAnsi="仿宋_GB2312" w:eastAsia="仿宋_GB2312"/>
          <w:b w:val="0"/>
          <w:sz w:val="32"/>
        </w:rPr>
        <w:t>年初预算数1,196.81万元，决算数1,781.79万元，预决算差异率48.88%，主要原因是：年中追加人员工资、社保、公积金基数调增部分资金，导致预决算存在差异。</w:t>
      </w:r>
    </w:p>
    <w:p w14:paraId="5F7D735E">
      <w:pPr>
        <w:spacing w:line="640" w:lineRule="exact"/>
        <w:ind w:firstLine="640"/>
        <w:jc w:val="both"/>
        <w:outlineLvl w:val="3"/>
      </w:pPr>
      <w:r>
        <w:rPr>
          <w:rFonts w:ascii="楷体_GB2312" w:hAnsi="楷体_GB2312" w:eastAsia="楷体_GB2312"/>
          <w:b/>
          <w:sz w:val="32"/>
        </w:rPr>
        <w:t>（二）一般公共预算财政拨款支出决算结构情况</w:t>
      </w:r>
    </w:p>
    <w:p w14:paraId="12CBC213">
      <w:pPr>
        <w:spacing w:line="580" w:lineRule="exact"/>
        <w:ind w:firstLine="640"/>
        <w:jc w:val="both"/>
      </w:pPr>
      <w:r>
        <w:rPr>
          <w:rFonts w:ascii="仿宋_GB2312" w:hAnsi="仿宋_GB2312" w:eastAsia="仿宋_GB2312"/>
          <w:b w:val="0"/>
          <w:sz w:val="32"/>
        </w:rPr>
        <w:t>1.一般公共服务支出(类)565.80万元,占31.75%。</w:t>
      </w:r>
    </w:p>
    <w:p w14:paraId="22AC2171">
      <w:pPr>
        <w:spacing w:line="580" w:lineRule="exact"/>
        <w:ind w:firstLine="640"/>
        <w:jc w:val="both"/>
      </w:pPr>
      <w:r>
        <w:rPr>
          <w:rFonts w:ascii="仿宋_GB2312" w:hAnsi="仿宋_GB2312" w:eastAsia="仿宋_GB2312"/>
          <w:b w:val="0"/>
          <w:sz w:val="32"/>
        </w:rPr>
        <w:t>2.文化旅游体育与传媒支出(类)4.80万元,占0.27%。</w:t>
      </w:r>
    </w:p>
    <w:p w14:paraId="485F568B">
      <w:pPr>
        <w:spacing w:line="580" w:lineRule="exact"/>
        <w:ind w:firstLine="640"/>
        <w:jc w:val="both"/>
      </w:pPr>
      <w:r>
        <w:rPr>
          <w:rFonts w:ascii="仿宋_GB2312" w:hAnsi="仿宋_GB2312" w:eastAsia="仿宋_GB2312"/>
          <w:b w:val="0"/>
          <w:sz w:val="32"/>
        </w:rPr>
        <w:t>3.社会保障和就业支出(类)132.12万元,占7.42%。</w:t>
      </w:r>
    </w:p>
    <w:p w14:paraId="2FE29261">
      <w:pPr>
        <w:spacing w:line="580" w:lineRule="exact"/>
        <w:ind w:firstLine="640"/>
        <w:jc w:val="both"/>
      </w:pPr>
      <w:r>
        <w:rPr>
          <w:rFonts w:ascii="仿宋_GB2312" w:hAnsi="仿宋_GB2312" w:eastAsia="仿宋_GB2312"/>
          <w:b w:val="0"/>
          <w:sz w:val="32"/>
        </w:rPr>
        <w:t>4.卫生健康支出(类)61.60万元,占3.46%。</w:t>
      </w:r>
    </w:p>
    <w:p w14:paraId="6E6DE710">
      <w:pPr>
        <w:spacing w:line="580" w:lineRule="exact"/>
        <w:ind w:firstLine="640"/>
        <w:jc w:val="both"/>
      </w:pPr>
      <w:r>
        <w:rPr>
          <w:rFonts w:ascii="仿宋_GB2312" w:hAnsi="仿宋_GB2312" w:eastAsia="仿宋_GB2312"/>
          <w:b w:val="0"/>
          <w:sz w:val="32"/>
        </w:rPr>
        <w:t>5.农林水支出(类)893.50万元,占50.15%。</w:t>
      </w:r>
    </w:p>
    <w:p w14:paraId="3A308865">
      <w:pPr>
        <w:spacing w:line="580" w:lineRule="exact"/>
        <w:ind w:firstLine="640"/>
        <w:jc w:val="both"/>
      </w:pPr>
      <w:r>
        <w:rPr>
          <w:rFonts w:ascii="仿宋_GB2312" w:hAnsi="仿宋_GB2312" w:eastAsia="仿宋_GB2312"/>
          <w:b w:val="0"/>
          <w:sz w:val="32"/>
        </w:rPr>
        <w:t>6.住房保障支出(类)123.97万元,占6.96%。</w:t>
      </w:r>
    </w:p>
    <w:p w14:paraId="11987535">
      <w:pPr>
        <w:spacing w:line="640" w:lineRule="exact"/>
        <w:ind w:firstLine="640"/>
        <w:jc w:val="both"/>
        <w:outlineLvl w:val="3"/>
      </w:pPr>
      <w:r>
        <w:rPr>
          <w:rFonts w:ascii="楷体_GB2312" w:hAnsi="楷体_GB2312" w:eastAsia="楷体_GB2312"/>
          <w:b/>
          <w:sz w:val="32"/>
        </w:rPr>
        <w:t>（三）一般公共预算财政拨款支出决算具体情况</w:t>
      </w:r>
    </w:p>
    <w:p w14:paraId="34FC8D4C">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1.一般公共服务支出(类)政府办公厅（室）及相关机构事务(款)行政运行(项):支出决算数为461.96万元，比上年决算减少26.18万元，下降5.36%,主要原因是：本年在职人员减少，相应人员经费较上年减少。</w:t>
      </w:r>
    </w:p>
    <w:p w14:paraId="0F689D4F">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2.一般公共服务支出(类)纪检监察事务(款)其他纪检监察事务支出(项):支出决算数为2.00万元，比上年决算增加0.50万元，增长33.33%,主要原因是：本年纪检经费资金增加。</w:t>
      </w:r>
    </w:p>
    <w:p w14:paraId="598FDCB8">
      <w:pPr>
        <w:spacing w:line="580" w:lineRule="exact"/>
        <w:ind w:firstLine="640"/>
        <w:jc w:val="both"/>
      </w:pPr>
      <w:r>
        <w:rPr>
          <w:rFonts w:ascii="仿宋_GB2312" w:hAnsi="仿宋_GB2312" w:eastAsia="仿宋_GB2312"/>
          <w:b w:val="0"/>
          <w:sz w:val="32"/>
        </w:rPr>
        <w:t>3.一般公共服务支出(类)组织事务(款)其他组织事务支出(项):支出决算数为100.84万元，比上年决算减少572.07万元，下降85.01%,主要原因是：本年2017年下三宫村等五个周转房建设项目资金减少。</w:t>
      </w:r>
    </w:p>
    <w:p w14:paraId="4554BF0D">
      <w:pPr>
        <w:spacing w:line="580" w:lineRule="exact"/>
        <w:ind w:firstLine="640"/>
        <w:jc w:val="both"/>
      </w:pPr>
      <w:r>
        <w:rPr>
          <w:rFonts w:ascii="仿宋_GB2312" w:hAnsi="仿宋_GB2312" w:eastAsia="仿宋_GB2312"/>
          <w:b w:val="0"/>
          <w:sz w:val="32"/>
        </w:rPr>
        <w:t>4.一般公共服务支出(类)统战事务(款)宗教事务(项):支出决算数为1.00万元，比上年决算增加0.04万元，增长4.17%,主要原因是：本年增加统战经费。</w:t>
      </w:r>
    </w:p>
    <w:p w14:paraId="3440B4D1">
      <w:pPr>
        <w:spacing w:line="580" w:lineRule="exact"/>
        <w:ind w:firstLine="640"/>
        <w:jc w:val="both"/>
      </w:pPr>
      <w:r>
        <w:rPr>
          <w:rFonts w:ascii="仿宋_GB2312" w:hAnsi="仿宋_GB2312" w:eastAsia="仿宋_GB2312"/>
          <w:b w:val="0"/>
          <w:sz w:val="32"/>
        </w:rPr>
        <w:t>5.文化旅游体育与传媒支出(类)文化和旅游(款)群众文化(项):支出决算数为0.10万元，比上年决算增加0.10万元，增长100.00%,主要原因是：本年增加文化奖金支出。</w:t>
      </w:r>
    </w:p>
    <w:p w14:paraId="350AB636">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6.文化旅游体育与传媒支出(类)文化和旅游(款)其他文化和旅游支出(项):支出决算数为4.70万元，比上年决算增加1.73万元，增长58.25%,主要原因是：本年增加免费开放文化资金。</w:t>
      </w:r>
    </w:p>
    <w:p w14:paraId="247A92FB">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7.文化旅游体育与传媒支出(类)其他文化旅游体育与传媒支出(款)其他文化旅游体育与传媒支出(项):支出决算数为0.00万元，比上年决算减少3.00万元，下降100.00%,主要原因是：本年减少文化经费。</w:t>
      </w:r>
    </w:p>
    <w:p w14:paraId="68B1B203">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8.社会保障和就业支出(类)行政事业单位养老支出(款)行政单位离退休(项):支出决算数为8.29万元，比上年决算增加6.40万元，增长338.62%,主要原因是：本年行政退休人员增加，退休费支出增加。</w:t>
      </w:r>
    </w:p>
    <w:p w14:paraId="0A425D6E">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9.社会保障和就业支出(类)行政事业单位养老支出(款)事业单位离退休(项):支出决算数为9.14万元，比上年决算增加6.78万元，增长287.29%,主要原因是：本年事业退休人员增加，退休费支出增加。</w:t>
      </w:r>
    </w:p>
    <w:p w14:paraId="7B3F579A">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102.44万元，比上年决算增加6.82万元，增长7.13%,主要原因是：本年在职人员工资基数调增，养老缴费基数上涨，相应支出增加。</w:t>
      </w:r>
    </w:p>
    <w:p w14:paraId="3BB3FFC4">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6.20万元，比上年决算减少6.14万元，下降49.76%,主要原因是：本年新增退休人员较上年减少，职业年金缴费较上年减少。</w:t>
      </w:r>
    </w:p>
    <w:p w14:paraId="15C47E8C">
      <w:pPr>
        <w:spacing w:line="580" w:lineRule="exact"/>
        <w:ind w:firstLine="640"/>
        <w:jc w:val="both"/>
      </w:pPr>
      <w:r>
        <w:rPr>
          <w:rFonts w:ascii="仿宋_GB2312" w:hAnsi="仿宋_GB2312" w:eastAsia="仿宋_GB2312"/>
          <w:b w:val="0"/>
          <w:sz w:val="32"/>
        </w:rPr>
        <w:t>12.社会保障和就业支出(类)就业补助(款)其他就业补助支出(项):支出决算数为0.04万元，比上年决算减少5.92万元，下降99.33%,主要原因是：本年劳动力转移，就业资金支出较上年减少。</w:t>
      </w:r>
    </w:p>
    <w:p w14:paraId="6860BB24">
      <w:pPr>
        <w:spacing w:line="580" w:lineRule="exact"/>
        <w:ind w:firstLine="640"/>
        <w:jc w:val="both"/>
      </w:pPr>
      <w:r>
        <w:rPr>
          <w:rFonts w:ascii="仿宋_GB2312" w:hAnsi="仿宋_GB2312" w:eastAsia="仿宋_GB2312"/>
          <w:b w:val="0"/>
          <w:sz w:val="32"/>
        </w:rPr>
        <w:t>13.社会保障和就业支出(类)临时救助(款)临时救助支出(项):支出决算数为6.00万元，比上年决算减少26.11万元，下降81.31%,主要原因是：本年民政临时救助资金减少。</w:t>
      </w:r>
    </w:p>
    <w:p w14:paraId="12A48C50">
      <w:pPr>
        <w:spacing w:line="580" w:lineRule="exact"/>
        <w:ind w:firstLine="640"/>
        <w:jc w:val="both"/>
      </w:pPr>
      <w:r>
        <w:rPr>
          <w:rFonts w:ascii="仿宋_GB2312" w:hAnsi="仿宋_GB2312" w:eastAsia="仿宋_GB2312"/>
          <w:b w:val="0"/>
          <w:sz w:val="32"/>
        </w:rPr>
        <w:t>14.社会保障和就业支出(类)其他生活救助(款)其他农村生活救助(项):支出决算数为0.00万元，比上年决算减少8.28万元，下降100.00%,主要原因是：本年未安排民政生活补助资金。</w:t>
      </w:r>
    </w:p>
    <w:p w14:paraId="4C45F0E3">
      <w:pPr>
        <w:spacing w:line="580" w:lineRule="exact"/>
        <w:ind w:firstLine="640"/>
        <w:jc w:val="both"/>
      </w:pPr>
      <w:r>
        <w:rPr>
          <w:rFonts w:ascii="仿宋_GB2312" w:hAnsi="仿宋_GB2312" w:eastAsia="仿宋_GB2312"/>
          <w:b w:val="0"/>
          <w:sz w:val="32"/>
        </w:rPr>
        <w:t>15.卫生健康支出(类)卫生健康管理事务(款)其他卫生健康管理事务支出(项):支出决算数为10.00万元，比上年决算增加10.00万元，增长100.00%,主要原因是：本年三宫乡中心幼儿园</w:t>
      </w:r>
      <w:r>
        <w:rPr>
          <w:rFonts w:hint="eastAsia" w:ascii="仿宋_GB2312" w:hAnsi="仿宋_GB2312" w:eastAsia="仿宋_GB2312"/>
          <w:b w:val="0"/>
          <w:sz w:val="32"/>
          <w:lang w:eastAsia="zh-CN"/>
        </w:rPr>
        <w:t>、</w:t>
      </w:r>
      <w:r>
        <w:rPr>
          <w:rFonts w:ascii="仿宋_GB2312" w:hAnsi="仿宋_GB2312" w:eastAsia="仿宋_GB2312"/>
          <w:b w:val="0"/>
          <w:sz w:val="32"/>
        </w:rPr>
        <w:t>三宫村幼儿园提升改造项目资金增加。</w:t>
      </w:r>
    </w:p>
    <w:p w14:paraId="01741085">
      <w:pPr>
        <w:spacing w:line="580" w:lineRule="exact"/>
        <w:ind w:firstLine="640"/>
        <w:jc w:val="both"/>
      </w:pPr>
      <w:r>
        <w:rPr>
          <w:rFonts w:ascii="仿宋_GB2312" w:hAnsi="仿宋_GB2312" w:eastAsia="仿宋_GB2312"/>
          <w:b w:val="0"/>
          <w:sz w:val="32"/>
        </w:rPr>
        <w:t>16.卫生健康支出(类)行政事业单位医疗(款)行政单位医疗(项):支出决算数为27.52万元，比上年决算减少5.45万元，下降16.53%,主要原因是：本年在职人员减少，行政单位医疗支出较上年减少。</w:t>
      </w:r>
    </w:p>
    <w:p w14:paraId="683459B8">
      <w:pPr>
        <w:spacing w:line="580" w:lineRule="exact"/>
        <w:ind w:firstLine="640"/>
        <w:jc w:val="both"/>
      </w:pPr>
      <w:r>
        <w:rPr>
          <w:rFonts w:ascii="仿宋_GB2312" w:hAnsi="仿宋_GB2312" w:eastAsia="仿宋_GB2312"/>
          <w:b w:val="0"/>
          <w:sz w:val="32"/>
        </w:rPr>
        <w:t>17.卫生健康支出(类)行政事业单位医疗(款)事业单位医疗(项):支出决算数为23.55万元，比上年决算减少4.11万元，下降14.86%,主要原因是：本年在职人员减少，事业单位医疗出较上年减少。</w:t>
      </w:r>
    </w:p>
    <w:p w14:paraId="082C958B">
      <w:pPr>
        <w:spacing w:line="580" w:lineRule="exact"/>
        <w:ind w:firstLine="640"/>
        <w:jc w:val="both"/>
      </w:pPr>
      <w:r>
        <w:rPr>
          <w:rFonts w:ascii="仿宋_GB2312" w:hAnsi="仿宋_GB2312" w:eastAsia="仿宋_GB2312"/>
          <w:b w:val="0"/>
          <w:sz w:val="32"/>
        </w:rPr>
        <w:t>18.卫生健康支出(类)行政事业单位医疗(款)公务员医疗补助(项):支出决算数为0.53万元，比上年决算减少0.86万元，下降61.87%,主要原因是：本年在职人员减少，公务员医疗补助较上年减少。</w:t>
      </w:r>
    </w:p>
    <w:p w14:paraId="46C4081F">
      <w:pPr>
        <w:spacing w:line="580" w:lineRule="exact"/>
        <w:ind w:firstLine="640"/>
        <w:jc w:val="both"/>
      </w:pPr>
      <w:r>
        <w:rPr>
          <w:rFonts w:ascii="仿宋_GB2312" w:hAnsi="仿宋_GB2312" w:eastAsia="仿宋_GB2312"/>
          <w:b w:val="0"/>
          <w:sz w:val="32"/>
        </w:rPr>
        <w:t>19.农林水支出(类)农业农村(款)事业运行(项):支出决算数为385.78万元，比上年决算增加0.41万元，增长0.11%,主要原因是：本年在职人员工资调增，导致相关人员经费较上年有所增加。</w:t>
      </w:r>
    </w:p>
    <w:p w14:paraId="24B24F65">
      <w:pPr>
        <w:spacing w:line="580" w:lineRule="exact"/>
        <w:ind w:firstLine="640"/>
        <w:jc w:val="both"/>
      </w:pPr>
      <w:r>
        <w:rPr>
          <w:rFonts w:ascii="仿宋_GB2312" w:hAnsi="仿宋_GB2312" w:eastAsia="仿宋_GB2312"/>
          <w:b w:val="0"/>
          <w:sz w:val="32"/>
        </w:rPr>
        <w:t>20.农林水支出(类)农业农村(款)其他农业农村支出(项):支出决算数为137.42万元，比上年决算增加137.42万元，增长100.00%,主要原因是：本年增加为民办实事经费及补助支出。</w:t>
      </w:r>
    </w:p>
    <w:p w14:paraId="7A2E4DDA">
      <w:pPr>
        <w:spacing w:line="580" w:lineRule="exact"/>
        <w:ind w:firstLine="640"/>
        <w:jc w:val="both"/>
      </w:pPr>
      <w:r>
        <w:rPr>
          <w:rFonts w:ascii="仿宋_GB2312" w:hAnsi="仿宋_GB2312" w:eastAsia="仿宋_GB2312"/>
          <w:b w:val="0"/>
          <w:sz w:val="32"/>
        </w:rPr>
        <w:t>21.农林水支出(类)林业和草原(款)技术推广与转化(项):支出决算数为0.00万元，比上年决算减少9.10万元，下降100.00%,主要原因是：本年度未安排农业补贴支出。</w:t>
      </w:r>
    </w:p>
    <w:p w14:paraId="5BFAAA1B">
      <w:pPr>
        <w:spacing w:line="580" w:lineRule="exact"/>
        <w:ind w:firstLine="640"/>
        <w:jc w:val="both"/>
      </w:pPr>
      <w:r>
        <w:rPr>
          <w:rFonts w:ascii="仿宋_GB2312" w:hAnsi="仿宋_GB2312" w:eastAsia="仿宋_GB2312"/>
          <w:b w:val="0"/>
          <w:sz w:val="32"/>
        </w:rPr>
        <w:t>22.农林水支出(类)水利(款)防汛(项):支出决算数为0.00万元，比上年决算减少22.00万元，下降100.00%,主要原因是：本年度未安排果子沟河三宫乡断毁修复工程项目。</w:t>
      </w:r>
    </w:p>
    <w:p w14:paraId="084F4BD9">
      <w:pPr>
        <w:spacing w:line="580" w:lineRule="exact"/>
        <w:ind w:firstLine="640"/>
        <w:jc w:val="both"/>
      </w:pPr>
      <w:r>
        <w:rPr>
          <w:rFonts w:ascii="仿宋_GB2312" w:hAnsi="仿宋_GB2312" w:eastAsia="仿宋_GB2312"/>
          <w:b w:val="0"/>
          <w:sz w:val="32"/>
        </w:rPr>
        <w:t>23.农林水支出(类)农村综合改革(款)对村级公益事业建设的补助(项):支出决算数为55.00万元，比上年决算增加10.00万元，增长22.22%,主要原因是：本年农村综合改革项目资金增加。</w:t>
      </w:r>
    </w:p>
    <w:p w14:paraId="7AF5D529">
      <w:pPr>
        <w:spacing w:line="580" w:lineRule="exact"/>
        <w:ind w:firstLine="640"/>
        <w:jc w:val="both"/>
      </w:pPr>
      <w:r>
        <w:rPr>
          <w:rFonts w:ascii="仿宋_GB2312" w:hAnsi="仿宋_GB2312" w:eastAsia="仿宋_GB2312"/>
          <w:b w:val="0"/>
          <w:sz w:val="32"/>
        </w:rPr>
        <w:t>24.农林水支出(类)其他农林水支出(款)其他农林水支出(项):支出决算数为315.30万元，比上年决算增加281.76万元，增长840.07%,主要原因是：本年村干部工资、社保及牧民补贴支出增加。</w:t>
      </w:r>
    </w:p>
    <w:p w14:paraId="21DDE074">
      <w:pPr>
        <w:spacing w:line="580" w:lineRule="exact"/>
        <w:ind w:firstLine="640"/>
        <w:jc w:val="both"/>
      </w:pPr>
      <w:r>
        <w:rPr>
          <w:rFonts w:ascii="仿宋_GB2312" w:hAnsi="仿宋_GB2312" w:eastAsia="仿宋_GB2312"/>
          <w:b w:val="0"/>
          <w:sz w:val="32"/>
        </w:rPr>
        <w:t>25.住房保障支出(类)保障性安居工程支出(款)少数民族地区游牧民定居工程(项):支出决算数为20.93万元，比上年决算增加20.93万元，增长100.00%,主要原因是：本年城乡抗震安居工程建设民生实事项目支出增加。</w:t>
      </w:r>
    </w:p>
    <w:p w14:paraId="04AC8AD9">
      <w:pPr>
        <w:spacing w:line="580" w:lineRule="exact"/>
        <w:ind w:firstLine="640"/>
        <w:jc w:val="both"/>
      </w:pPr>
      <w:r>
        <w:rPr>
          <w:rFonts w:ascii="仿宋_GB2312" w:hAnsi="仿宋_GB2312" w:eastAsia="仿宋_GB2312"/>
          <w:b w:val="0"/>
          <w:sz w:val="32"/>
        </w:rPr>
        <w:t>26.住房保障支出(类)住房改革支出(款)住房公积金(项):支出决算数为83.04万元，比上年决算增加4.66万元，增长5.95%,主要原因是：本年在职人员工资基数调增，公积金缴费基数上涨，相应支出增加。</w:t>
      </w:r>
    </w:p>
    <w:p w14:paraId="6003608E">
      <w:pPr>
        <w:spacing w:line="580" w:lineRule="exact"/>
        <w:ind w:firstLine="640"/>
        <w:jc w:val="both"/>
      </w:pPr>
      <w:r>
        <w:rPr>
          <w:rFonts w:ascii="仿宋_GB2312" w:hAnsi="仿宋_GB2312" w:eastAsia="仿宋_GB2312"/>
          <w:b w:val="0"/>
          <w:sz w:val="32"/>
        </w:rPr>
        <w:t>27.住房保障支出(类)城乡社区住宅(款)公有住房建设和维修改造支出(项):支出决算数为20.00万元，比上年决算增加20.00万元，增长100.00%,主要原因是：本年增加2023年“五小”工程及伊犁州霍城县三宫乡2023年乡镇干部周转宿舍建设项目支出。</w:t>
      </w:r>
    </w:p>
    <w:p w14:paraId="49B5D5B3">
      <w:pPr>
        <w:spacing w:line="640" w:lineRule="exact"/>
        <w:ind w:firstLine="640"/>
        <w:jc w:val="both"/>
        <w:outlineLvl w:val="2"/>
      </w:pPr>
      <w:r>
        <w:rPr>
          <w:rFonts w:ascii="黑体" w:hAnsi="黑体" w:eastAsia="黑体"/>
          <w:sz w:val="32"/>
        </w:rPr>
        <w:t>六、一般公共预算财政拨款基本支出决算情况说明</w:t>
      </w:r>
    </w:p>
    <w:p w14:paraId="15CEF713">
      <w:pPr>
        <w:spacing w:line="580" w:lineRule="exact"/>
        <w:ind w:firstLine="640"/>
        <w:jc w:val="both"/>
      </w:pPr>
      <w:r>
        <w:rPr>
          <w:rFonts w:ascii="仿宋_GB2312" w:hAnsi="仿宋_GB2312" w:eastAsia="仿宋_GB2312"/>
          <w:b w:val="0"/>
          <w:sz w:val="32"/>
        </w:rPr>
        <w:t>2024年度一般公共预算财政拨款基本支出1,589.46万元，其中：</w:t>
      </w:r>
      <w:r>
        <w:rPr>
          <w:rFonts w:ascii="仿宋_GB2312" w:hAnsi="仿宋_GB2312" w:eastAsia="仿宋_GB2312"/>
          <w:b/>
          <w:sz w:val="32"/>
        </w:rPr>
        <w:t>人员经费1,456.52万元，</w:t>
      </w:r>
      <w:r>
        <w:rPr>
          <w:rFonts w:ascii="仿宋_GB2312" w:hAnsi="仿宋_GB2312" w:eastAsia="仿宋_GB2312"/>
          <w:b w:val="0"/>
          <w:sz w:val="32"/>
        </w:rPr>
        <w:t>包括：基本工资、津贴补贴、绩效工资、机关事业单位基本养老保险缴费、职业年金缴费、职工基本医疗保险缴费、公务员医疗补助缴费、其他社会保障缴费、住房公积金、其他工资福利支出、退休费、生活补助、救济费、奖励金、其他对个人和家庭的补助。</w:t>
      </w:r>
    </w:p>
    <w:p w14:paraId="7DB1617E">
      <w:pPr>
        <w:spacing w:line="580" w:lineRule="exact"/>
        <w:ind w:firstLine="640"/>
        <w:jc w:val="both"/>
      </w:pPr>
      <w:r>
        <w:rPr>
          <w:rFonts w:ascii="仿宋_GB2312" w:hAnsi="仿宋_GB2312" w:eastAsia="仿宋_GB2312"/>
          <w:b/>
          <w:sz w:val="32"/>
        </w:rPr>
        <w:t>公用经费132.94万元，</w:t>
      </w:r>
      <w:r>
        <w:rPr>
          <w:rFonts w:ascii="仿宋_GB2312" w:hAnsi="仿宋_GB2312" w:eastAsia="仿宋_GB2312"/>
          <w:b w:val="0"/>
          <w:sz w:val="32"/>
        </w:rPr>
        <w:t>包括：办公费、电费、邮电费、取暖费、差旅费、维修（护）费、劳务费、工会经费、福利费、公务用车运行维护费。</w:t>
      </w:r>
    </w:p>
    <w:p w14:paraId="60E69A74">
      <w:pPr>
        <w:spacing w:line="640" w:lineRule="exact"/>
        <w:ind w:firstLine="640"/>
        <w:jc w:val="both"/>
        <w:outlineLvl w:val="2"/>
      </w:pPr>
      <w:r>
        <w:rPr>
          <w:rFonts w:ascii="黑体" w:hAnsi="黑体" w:eastAsia="黑体"/>
          <w:sz w:val="32"/>
        </w:rPr>
        <w:t>七、政府性基金预算财政拨款收入支出决算情况说明</w:t>
      </w:r>
    </w:p>
    <w:p w14:paraId="4DD8384F">
      <w:pPr>
        <w:spacing w:line="580" w:lineRule="exact"/>
        <w:ind w:firstLine="640"/>
        <w:jc w:val="both"/>
      </w:pPr>
      <w:r>
        <w:rPr>
          <w:rFonts w:ascii="仿宋_GB2312" w:hAnsi="仿宋_GB2312" w:eastAsia="仿宋_GB2312"/>
          <w:b/>
          <w:sz w:val="32"/>
        </w:rPr>
        <w:t>2024年度政府性基金预算财政拨款收入总计25.00万元，</w:t>
      </w:r>
      <w:r>
        <w:rPr>
          <w:rFonts w:ascii="仿宋_GB2312" w:hAnsi="仿宋_GB2312" w:eastAsia="仿宋_GB2312"/>
          <w:b w:val="0"/>
          <w:sz w:val="32"/>
        </w:rPr>
        <w:t>其中：年初结转和结余0.00万元，本年收入25.00万元。</w:t>
      </w:r>
      <w:r>
        <w:rPr>
          <w:rFonts w:ascii="仿宋_GB2312" w:hAnsi="仿宋_GB2312" w:eastAsia="仿宋_GB2312"/>
          <w:b/>
          <w:sz w:val="32"/>
        </w:rPr>
        <w:t>政府性基金预算财政拨款支出总计25.00万元，</w:t>
      </w:r>
      <w:r>
        <w:rPr>
          <w:rFonts w:ascii="仿宋_GB2312" w:hAnsi="仿宋_GB2312" w:eastAsia="仿宋_GB2312"/>
          <w:b w:val="0"/>
          <w:sz w:val="32"/>
        </w:rPr>
        <w:t>其中：年末结转和结余0.00万元，本年支出25.00万元。</w:t>
      </w:r>
    </w:p>
    <w:p w14:paraId="48AA670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增加25.00万元，增长100.00%，主要原因是：本年增加征地和拆迁补偿支出项目。</w:t>
      </w:r>
      <w:r>
        <w:rPr>
          <w:rFonts w:ascii="仿宋_GB2312" w:hAnsi="仿宋_GB2312" w:eastAsia="仿宋_GB2312"/>
          <w:b/>
          <w:sz w:val="32"/>
        </w:rPr>
        <w:t>与年初预算相比，</w:t>
      </w:r>
      <w:r>
        <w:rPr>
          <w:rFonts w:ascii="仿宋_GB2312" w:hAnsi="仿宋_GB2312" w:eastAsia="仿宋_GB2312"/>
          <w:b w:val="0"/>
          <w:sz w:val="32"/>
        </w:rPr>
        <w:t>年初预算数0.00万元，决算数25.00万元，预决算差异率100.00%，主要原因是：年中追加征地和拆迁补偿支出项目，导致预决算存在差异。</w:t>
      </w:r>
    </w:p>
    <w:p w14:paraId="40CCA708">
      <w:pPr>
        <w:spacing w:line="580" w:lineRule="exact"/>
        <w:ind w:firstLine="640"/>
        <w:jc w:val="both"/>
      </w:pPr>
      <w:r>
        <w:rPr>
          <w:rFonts w:ascii="仿宋_GB2312" w:hAnsi="仿宋_GB2312" w:eastAsia="仿宋_GB2312"/>
          <w:b w:val="0"/>
          <w:sz w:val="32"/>
        </w:rPr>
        <w:t>政府性基金预算财政拨款支出25.00万元。</w:t>
      </w:r>
    </w:p>
    <w:p w14:paraId="3FA51580">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1.城乡社区支出(类)国有土地使用权出让收入安排的支出(款)征地和拆迁补偿支出(项):支出决算数为25.00万元，比上年决算增加25.00万元，增长100.00%,主要原因是：本年增加征地和拆迁补偿支出项目。</w:t>
      </w:r>
    </w:p>
    <w:p w14:paraId="57F6EDDF">
      <w:pPr>
        <w:spacing w:line="640" w:lineRule="exact"/>
        <w:ind w:firstLine="640"/>
        <w:jc w:val="both"/>
        <w:outlineLvl w:val="2"/>
      </w:pPr>
      <w:r>
        <w:rPr>
          <w:rFonts w:ascii="黑体" w:hAnsi="黑体" w:eastAsia="黑体"/>
          <w:sz w:val="32"/>
        </w:rPr>
        <w:t>八、国有资本经营预算财政拨款收入支出决算情况说明</w:t>
      </w:r>
    </w:p>
    <w:p w14:paraId="0C90320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31CA4C6">
      <w:pPr>
        <w:spacing w:line="640" w:lineRule="exact"/>
        <w:ind w:firstLine="640"/>
        <w:jc w:val="both"/>
        <w:outlineLvl w:val="2"/>
      </w:pPr>
      <w:r>
        <w:rPr>
          <w:rFonts w:ascii="黑体" w:hAnsi="黑体" w:eastAsia="黑体"/>
          <w:sz w:val="32"/>
        </w:rPr>
        <w:t>九、财政拨款“三公”经费支出决算情况说明</w:t>
      </w:r>
    </w:p>
    <w:p w14:paraId="705D2969">
      <w:pPr>
        <w:spacing w:line="580" w:lineRule="exact"/>
        <w:ind w:firstLine="640"/>
        <w:jc w:val="both"/>
      </w:pPr>
      <w:r>
        <w:rPr>
          <w:rFonts w:ascii="仿宋_GB2312" w:hAnsi="仿宋_GB2312" w:eastAsia="仿宋_GB2312"/>
          <w:b/>
          <w:sz w:val="32"/>
        </w:rPr>
        <w:t>2024年度财政拨款“三公”经费支出6.79万元，</w:t>
      </w:r>
      <w:r>
        <w:rPr>
          <w:rFonts w:ascii="仿宋_GB2312" w:hAnsi="仿宋_GB2312" w:eastAsia="仿宋_GB2312"/>
          <w:b w:val="0"/>
          <w:sz w:val="32"/>
        </w:rPr>
        <w:t>比上年减少4.41万元，下降39.38%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6.79万元，占100.00%，比上年减少4.41万元，下降39.38%，主要原因是：严格落实中央八项规定精神，厉行节约，减少公务用车运行维护费。公务接待费支出0.00万元，占0.00%，比上年增加0.00万元，增长0.00%，主要原因是：2023年与2024年均未安排公务接待费支出。</w:t>
      </w:r>
    </w:p>
    <w:p w14:paraId="364066C6">
      <w:pPr>
        <w:spacing w:line="580" w:lineRule="exact"/>
        <w:ind w:firstLine="640"/>
        <w:jc w:val="both"/>
      </w:pPr>
      <w:r>
        <w:rPr>
          <w:rFonts w:ascii="仿宋_GB2312" w:hAnsi="仿宋_GB2312" w:eastAsia="仿宋_GB2312"/>
          <w:b/>
          <w:sz w:val="32"/>
        </w:rPr>
        <w:t>具体情况如下：</w:t>
      </w:r>
    </w:p>
    <w:p w14:paraId="60F5915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AEDC0C7">
      <w:pPr>
        <w:spacing w:line="580" w:lineRule="exact"/>
        <w:ind w:firstLine="640"/>
        <w:jc w:val="both"/>
      </w:pPr>
      <w:r>
        <w:rPr>
          <w:rFonts w:ascii="仿宋_GB2312" w:hAnsi="仿宋_GB2312" w:eastAsia="仿宋_GB2312"/>
          <w:b w:val="0"/>
          <w:sz w:val="32"/>
        </w:rPr>
        <w:t>公务用车购置及运行维护费6.79万元，其中：公务用车购置费0.00万元，公务用车运行维护费6.79万元。公务用车运行维护费开支内容包括车辆加油费、维修费、保险费、审车费。公务用车购置数0辆，公务用车保有量2辆。国有资产占用情况中固定资产车辆13辆，与公务用车保有量差异原因是：差异车辆</w:t>
      </w:r>
      <w:r>
        <w:rPr>
          <w:rFonts w:hint="eastAsia" w:ascii="仿宋_GB2312" w:hAnsi="仿宋_GB2312" w:eastAsia="仿宋_GB2312"/>
          <w:b w:val="0"/>
          <w:sz w:val="32"/>
          <w:lang w:val="en-US" w:eastAsia="zh-CN"/>
        </w:rPr>
        <w:t>为</w:t>
      </w:r>
      <w:r>
        <w:rPr>
          <w:rFonts w:ascii="仿宋_GB2312" w:hAnsi="仿宋_GB2312" w:eastAsia="仿宋_GB2312"/>
          <w:b w:val="0"/>
          <w:sz w:val="32"/>
        </w:rPr>
        <w:t>单位垃圾用车，预算未安排公务用车运行维护费。</w:t>
      </w:r>
    </w:p>
    <w:p w14:paraId="11240ED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C37A01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6.79万元，决算数6.79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6.79万元，决算数6.79万元，预决算差异率0.00%，主要原因是：严格按照预算执行，预决算无差异。公务接待费全年预算数0.00万元，决算数0.00万元，预决算差异率0.00%，主要原因是：本单位无公务接待费。</w:t>
      </w:r>
    </w:p>
    <w:p w14:paraId="0D0C2265">
      <w:pPr>
        <w:spacing w:line="640" w:lineRule="exact"/>
        <w:ind w:firstLine="640"/>
        <w:jc w:val="both"/>
        <w:outlineLvl w:val="2"/>
      </w:pPr>
      <w:r>
        <w:rPr>
          <w:rFonts w:ascii="黑体" w:hAnsi="黑体" w:eastAsia="黑体"/>
          <w:sz w:val="32"/>
        </w:rPr>
        <w:t>十、其他重要事项的情况说明</w:t>
      </w:r>
    </w:p>
    <w:p w14:paraId="4DDE5A99">
      <w:pPr>
        <w:spacing w:line="640" w:lineRule="exact"/>
        <w:ind w:firstLine="640"/>
        <w:jc w:val="both"/>
        <w:outlineLvl w:val="3"/>
      </w:pPr>
      <w:r>
        <w:rPr>
          <w:rFonts w:ascii="楷体_GB2312" w:hAnsi="楷体_GB2312" w:eastAsia="楷体_GB2312"/>
          <w:b/>
          <w:sz w:val="32"/>
        </w:rPr>
        <w:t>（一）机关运行经费及公用经费支出情况</w:t>
      </w:r>
    </w:p>
    <w:p w14:paraId="02C4332C">
      <w:pPr>
        <w:spacing w:line="580" w:lineRule="exact"/>
        <w:ind w:firstLine="640"/>
        <w:jc w:val="both"/>
      </w:pPr>
      <w:r>
        <w:rPr>
          <w:rFonts w:ascii="仿宋_GB2312" w:hAnsi="仿宋_GB2312" w:eastAsia="仿宋_GB2312"/>
          <w:b w:val="0"/>
          <w:sz w:val="32"/>
        </w:rPr>
        <w:t>2024年度霍城县三宫回族乡人民政府（行政单位和参照公务员法管理事业单位）机关运行经费支出132.94万元，比上年增加28.96万元，增长27.85%，主要原因是：本年纪检经费、</w:t>
      </w:r>
      <w:r>
        <w:rPr>
          <w:rFonts w:hint="eastAsia" w:ascii="仿宋_GB2312" w:hAnsi="仿宋_GB2312" w:eastAsia="仿宋_GB2312"/>
          <w:b w:val="0"/>
          <w:sz w:val="32"/>
          <w:lang w:val="en-US" w:eastAsia="zh-CN"/>
        </w:rPr>
        <w:t>办公</w:t>
      </w:r>
      <w:r>
        <w:rPr>
          <w:rFonts w:ascii="仿宋_GB2312" w:hAnsi="仿宋_GB2312" w:eastAsia="仿宋_GB2312"/>
          <w:b w:val="0"/>
          <w:sz w:val="32"/>
        </w:rPr>
        <w:t>经费增加，导致机关运行经费增加。</w:t>
      </w:r>
    </w:p>
    <w:p w14:paraId="04D9C07B">
      <w:pPr>
        <w:spacing w:line="640" w:lineRule="exact"/>
        <w:ind w:firstLine="640"/>
        <w:jc w:val="both"/>
        <w:outlineLvl w:val="3"/>
      </w:pPr>
      <w:r>
        <w:rPr>
          <w:rFonts w:ascii="楷体_GB2312" w:hAnsi="楷体_GB2312" w:eastAsia="楷体_GB2312"/>
          <w:b/>
          <w:sz w:val="32"/>
        </w:rPr>
        <w:t>（二）政府采购情况</w:t>
      </w:r>
    </w:p>
    <w:p w14:paraId="26A2D6DF">
      <w:pPr>
        <w:spacing w:line="580" w:lineRule="exact"/>
        <w:ind w:firstLine="640"/>
        <w:jc w:val="both"/>
      </w:pPr>
      <w:r>
        <w:rPr>
          <w:rFonts w:ascii="仿宋_GB2312" w:hAnsi="仿宋_GB2312" w:eastAsia="仿宋_GB2312"/>
          <w:b w:val="0"/>
          <w:sz w:val="32"/>
        </w:rPr>
        <w:t>2024年度政府采购支出总额51.34万元，其中：政府采购货物支出39.67万元、政府采购工程支出11.20万元、政府采购服务支出0.47万元。</w:t>
      </w:r>
    </w:p>
    <w:p w14:paraId="5F5534E3">
      <w:pPr>
        <w:spacing w:line="580" w:lineRule="exact"/>
        <w:ind w:firstLine="640"/>
        <w:jc w:val="both"/>
      </w:pPr>
      <w:r>
        <w:rPr>
          <w:rFonts w:ascii="仿宋_GB2312" w:hAnsi="仿宋_GB2312" w:eastAsia="仿宋_GB2312"/>
          <w:b w:val="0"/>
          <w:sz w:val="32"/>
        </w:rPr>
        <w:t>授予中小企业合同金额51.34万元，占政府采购支出总额的100.00%，其中：授予小微企业合同金额50.80万元，占政府采购支出总额的98.95%。</w:t>
      </w:r>
    </w:p>
    <w:p w14:paraId="0CEFE4F5">
      <w:pPr>
        <w:spacing w:line="640" w:lineRule="exact"/>
        <w:ind w:firstLine="640"/>
        <w:jc w:val="both"/>
        <w:outlineLvl w:val="3"/>
      </w:pPr>
      <w:r>
        <w:rPr>
          <w:rFonts w:ascii="楷体_GB2312" w:hAnsi="楷体_GB2312" w:eastAsia="楷体_GB2312"/>
          <w:b/>
          <w:sz w:val="32"/>
        </w:rPr>
        <w:t>（三）国有资产占用情况说明</w:t>
      </w:r>
    </w:p>
    <w:p w14:paraId="2A6CAE10">
      <w:pPr>
        <w:spacing w:line="580" w:lineRule="exact"/>
        <w:ind w:firstLine="640"/>
        <w:jc w:val="both"/>
      </w:pPr>
      <w:r>
        <w:rPr>
          <w:rFonts w:ascii="仿宋_GB2312" w:hAnsi="仿宋_GB2312" w:eastAsia="仿宋_GB2312"/>
          <w:b w:val="0"/>
          <w:sz w:val="32"/>
        </w:rPr>
        <w:t>截至2024年12月31日，房屋25,655.38平方米，价值1,686.05万元。车辆13辆，价值180.02万元，其中：副部（省）级及以上领导用车0辆、主要负责人用车0辆、机要通信用车0辆、应急保障用车0辆、执法执勤用车2辆、特种专业技术用车0辆、离退休干部服务用车0辆、其他用车11辆，其他用车主要是：单位垃圾用车。单价100万元（含）以上设备（不含车辆）4台（套）。</w:t>
      </w:r>
    </w:p>
    <w:p w14:paraId="2FD73D87">
      <w:pPr>
        <w:spacing w:line="640" w:lineRule="exact"/>
        <w:ind w:firstLine="640"/>
        <w:jc w:val="both"/>
        <w:outlineLvl w:val="2"/>
      </w:pPr>
      <w:r>
        <w:rPr>
          <w:rFonts w:ascii="黑体" w:hAnsi="黑体" w:eastAsia="黑体"/>
          <w:sz w:val="32"/>
        </w:rPr>
        <w:t>十一、预算绩效的情况说明</w:t>
      </w:r>
    </w:p>
    <w:p w14:paraId="0E54FB4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2,035.20万元，实际执行总额2,035.20万元；预算绩效评价项目2个，全年预算数75.00万元，全年执行数75.00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，提升了部门管理水平和资金使用效益，为全面实施绩效管理打下了坚实的基础。发现的问题及原因：一是项目档案整理不及时；二是在项目开工前加大群众的需求调研。下一步改进措施：一是督促项目档案及时</w:t>
      </w:r>
      <w:r>
        <w:rPr>
          <w:rFonts w:hint="eastAsia" w:ascii="仿宋_GB2312" w:hAnsi="仿宋_GB2312" w:eastAsia="仿宋_GB2312"/>
          <w:b w:val="0"/>
          <w:sz w:val="32"/>
          <w:lang w:eastAsia="zh-CN"/>
        </w:rPr>
        <w:t>地</w:t>
      </w:r>
      <w:r>
        <w:rPr>
          <w:rFonts w:ascii="仿宋_GB2312" w:hAnsi="仿宋_GB2312" w:eastAsia="仿宋_GB2312"/>
          <w:b w:val="0"/>
          <w:sz w:val="32"/>
        </w:rPr>
        <w:t>整理归档，以便于后期的检查；二是加大群众的需求调研，以提高实施项目和群众需求的契合度。</w:t>
      </w:r>
      <w:bookmarkStart w:id="0" w:name="_GoBack"/>
      <w:r>
        <w:rPr>
          <w:rFonts w:ascii="仿宋_GB2312" w:hAnsi="仿宋_GB2312" w:eastAsia="仿宋_GB2312"/>
          <w:b w:val="0"/>
          <w:sz w:val="32"/>
        </w:rPr>
        <w:t>具体附整体支出绩效自评表，项目支出绩效自评表和评价报告。</w:t>
      </w:r>
    </w:p>
    <w:bookmarkEnd w:id="0"/>
    <w:p w14:paraId="740BA24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C6140A6">
        <w:tblPrEx>
          <w:tblCellMar>
            <w:top w:w="0" w:type="dxa"/>
            <w:left w:w="108" w:type="dxa"/>
            <w:bottom w:w="0" w:type="dxa"/>
            <w:right w:w="108" w:type="dxa"/>
          </w:tblCellMar>
        </w:tblPrEx>
        <w:tc>
          <w:tcPr>
            <w:tcW w:w="8840" w:type="dxa"/>
            <w:gridSpan w:val="8"/>
            <w:vAlign w:val="center"/>
          </w:tcPr>
          <w:p w14:paraId="5C3C0461">
            <w:pPr>
              <w:jc w:val="center"/>
            </w:pPr>
            <w:r>
              <w:rPr>
                <w:rFonts w:ascii="宋体" w:hAnsi="宋体" w:eastAsia="宋体"/>
                <w:sz w:val="24"/>
              </w:rPr>
              <w:t>单位整体支出绩效自评表</w:t>
            </w:r>
          </w:p>
        </w:tc>
      </w:tr>
      <w:tr w14:paraId="2519814C">
        <w:tblPrEx>
          <w:tblCellMar>
            <w:top w:w="0" w:type="dxa"/>
            <w:left w:w="108" w:type="dxa"/>
            <w:bottom w:w="0" w:type="dxa"/>
            <w:right w:w="108" w:type="dxa"/>
          </w:tblCellMar>
        </w:tblPrEx>
        <w:tc>
          <w:tcPr>
            <w:tcW w:w="8840" w:type="dxa"/>
            <w:gridSpan w:val="8"/>
            <w:vAlign w:val="center"/>
          </w:tcPr>
          <w:p w14:paraId="00B99F6E">
            <w:pPr>
              <w:jc w:val="center"/>
            </w:pPr>
            <w:r>
              <w:rPr>
                <w:rFonts w:ascii="宋体" w:hAnsi="宋体" w:eastAsia="宋体"/>
                <w:sz w:val="24"/>
              </w:rPr>
              <w:t>（2024年度）</w:t>
            </w:r>
          </w:p>
        </w:tc>
      </w:tr>
      <w:tr w14:paraId="5359C75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B046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C7B88E">
            <w:pPr>
              <w:jc w:val="center"/>
            </w:pPr>
            <w:r>
              <w:rPr>
                <w:rFonts w:ascii="宋体" w:hAnsi="宋体" w:eastAsia="宋体"/>
                <w:sz w:val="16"/>
              </w:rPr>
              <w:t>霍城县三宫回族乡人民政府</w:t>
            </w:r>
          </w:p>
        </w:tc>
      </w:tr>
      <w:tr w14:paraId="3730462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E6D3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7E11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0BE1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B5E1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C22E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520E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12BC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E46EC">
            <w:pPr>
              <w:jc w:val="center"/>
            </w:pPr>
            <w:r>
              <w:rPr>
                <w:rFonts w:ascii="宋体" w:hAnsi="宋体" w:eastAsia="宋体"/>
                <w:sz w:val="16"/>
              </w:rPr>
              <w:t>得分</w:t>
            </w:r>
          </w:p>
        </w:tc>
      </w:tr>
      <w:tr w14:paraId="01083B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D09E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B560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CA9BF">
            <w:pPr>
              <w:jc w:val="center"/>
            </w:pPr>
            <w:r>
              <w:rPr>
                <w:rFonts w:ascii="宋体" w:hAnsi="宋体" w:eastAsia="宋体"/>
                <w:sz w:val="16"/>
              </w:rPr>
              <w:t>1,196.80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D61D3">
            <w:pPr>
              <w:jc w:val="center"/>
            </w:pPr>
            <w:r>
              <w:rPr>
                <w:rFonts w:ascii="宋体" w:hAnsi="宋体" w:eastAsia="宋体"/>
                <w:sz w:val="16"/>
              </w:rPr>
              <w:t>2,035.20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BFA9D">
            <w:pPr>
              <w:jc w:val="center"/>
            </w:pPr>
            <w:r>
              <w:rPr>
                <w:rFonts w:ascii="宋体" w:hAnsi="宋体" w:eastAsia="宋体"/>
                <w:sz w:val="16"/>
              </w:rPr>
              <w:t>2,035.20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C128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DC02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DD5C2">
            <w:pPr>
              <w:jc w:val="center"/>
            </w:pPr>
            <w:r>
              <w:rPr>
                <w:rFonts w:ascii="宋体" w:hAnsi="宋体" w:eastAsia="宋体"/>
                <w:sz w:val="16"/>
              </w:rPr>
              <w:t>10</w:t>
            </w:r>
          </w:p>
        </w:tc>
      </w:tr>
      <w:tr w14:paraId="3517880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725E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64F36">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2431E">
            <w:pPr>
              <w:jc w:val="center"/>
            </w:pPr>
            <w:r>
              <w:rPr>
                <w:rFonts w:ascii="宋体" w:hAnsi="宋体" w:eastAsia="宋体"/>
                <w:sz w:val="16"/>
              </w:rPr>
              <w:t>50.00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ABF60">
            <w:pPr>
              <w:jc w:val="center"/>
            </w:pPr>
            <w:r>
              <w:rPr>
                <w:rFonts w:ascii="宋体" w:hAnsi="宋体" w:eastAsia="宋体"/>
                <w:sz w:val="16"/>
              </w:rPr>
              <w:t>75.00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D2400">
            <w:pPr>
              <w:jc w:val="center"/>
            </w:pPr>
            <w:r>
              <w:rPr>
                <w:rFonts w:ascii="宋体" w:hAnsi="宋体" w:eastAsia="宋体"/>
                <w:sz w:val="16"/>
              </w:rPr>
              <w:t>75.00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746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D574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F54E4">
            <w:pPr>
              <w:jc w:val="center"/>
            </w:pPr>
            <w:r>
              <w:rPr>
                <w:rFonts w:ascii="宋体" w:hAnsi="宋体" w:eastAsia="宋体"/>
                <w:sz w:val="16"/>
              </w:rPr>
              <w:t>-</w:t>
            </w:r>
          </w:p>
        </w:tc>
      </w:tr>
      <w:tr w14:paraId="5DF14D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AEDDB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B3EB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2B899">
            <w:pPr>
              <w:jc w:val="center"/>
            </w:pPr>
            <w:r>
              <w:rPr>
                <w:rFonts w:ascii="宋体" w:hAnsi="宋体" w:eastAsia="宋体"/>
                <w:sz w:val="16"/>
              </w:rPr>
              <w:t>1,146.80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D7EB0">
            <w:pPr>
              <w:jc w:val="center"/>
            </w:pPr>
            <w:r>
              <w:rPr>
                <w:rFonts w:ascii="宋体" w:hAnsi="宋体" w:eastAsia="宋体"/>
                <w:sz w:val="16"/>
              </w:rPr>
              <w:t>1,731.78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0F8AC">
            <w:pPr>
              <w:jc w:val="center"/>
            </w:pPr>
            <w:r>
              <w:rPr>
                <w:rFonts w:ascii="宋体" w:hAnsi="宋体" w:eastAsia="宋体"/>
                <w:sz w:val="16"/>
              </w:rPr>
              <w:t>1,731.78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391A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7E3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44485">
            <w:pPr>
              <w:jc w:val="center"/>
            </w:pPr>
            <w:r>
              <w:rPr>
                <w:rFonts w:ascii="宋体" w:hAnsi="宋体" w:eastAsia="宋体"/>
                <w:sz w:val="16"/>
              </w:rPr>
              <w:t>-</w:t>
            </w:r>
          </w:p>
        </w:tc>
      </w:tr>
      <w:tr w14:paraId="79D7AD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C1A3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5A83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1242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D4F55">
            <w:pPr>
              <w:jc w:val="center"/>
            </w:pPr>
            <w:r>
              <w:rPr>
                <w:rFonts w:ascii="宋体" w:hAnsi="宋体" w:eastAsia="宋体"/>
                <w:sz w:val="16"/>
              </w:rPr>
              <w:t>228.42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5C54E">
            <w:pPr>
              <w:jc w:val="center"/>
            </w:pPr>
            <w:r>
              <w:rPr>
                <w:rFonts w:ascii="宋体" w:hAnsi="宋体" w:eastAsia="宋体"/>
                <w:sz w:val="16"/>
              </w:rPr>
              <w:t>228.42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88E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B25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37B23">
            <w:pPr>
              <w:jc w:val="center"/>
            </w:pPr>
            <w:r>
              <w:rPr>
                <w:rFonts w:ascii="宋体" w:hAnsi="宋体" w:eastAsia="宋体"/>
                <w:sz w:val="16"/>
              </w:rPr>
              <w:t>-</w:t>
            </w:r>
          </w:p>
        </w:tc>
      </w:tr>
      <w:tr w14:paraId="1C5351A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8EEE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DF85D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01D8F3">
            <w:pPr>
              <w:jc w:val="center"/>
            </w:pPr>
            <w:r>
              <w:rPr>
                <w:rFonts w:ascii="宋体" w:hAnsi="宋体" w:eastAsia="宋体"/>
                <w:sz w:val="16"/>
              </w:rPr>
              <w:t>实际完成情况</w:t>
            </w:r>
          </w:p>
        </w:tc>
      </w:tr>
      <w:tr w14:paraId="18768B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EA450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630835">
            <w:pPr>
              <w:jc w:val="both"/>
            </w:pPr>
            <w:r>
              <w:rPr>
                <w:rFonts w:ascii="宋体" w:hAnsi="宋体" w:eastAsia="宋体"/>
                <w:sz w:val="16"/>
              </w:rPr>
              <w:t>坚持以习近平新时代中国特色社会主义思想为指导，全面贯彻党的二十大和</w:t>
            </w:r>
            <w:r>
              <w:rPr>
                <w:rFonts w:hint="eastAsia" w:ascii="宋体" w:hAnsi="宋体"/>
                <w:sz w:val="16"/>
                <w:lang w:eastAsia="zh-CN"/>
              </w:rPr>
              <w:t>党的二十届二中全会精神</w:t>
            </w:r>
            <w:r>
              <w:rPr>
                <w:rFonts w:ascii="宋体" w:hAnsi="宋体" w:eastAsia="宋体"/>
                <w:sz w:val="16"/>
              </w:rPr>
              <w:t>，坚决贯彻习近平总书记关于新疆工作的重要讲话重要指示批示精神，完整准确全面贯彻落实新时代党的治疆方略，贯彻落实自治区、自治州、县委的工作要求，牢牢把握铸牢中华民族共同体意识这条主线，聚焦高质量发展首要任务，更好统筹发展和安全，找准三宫在全州、全县发展大局中的定位，全力抓好县委部署的高质量发展重点任务，坚持稳中求进，落实“2353”工作思路，锚定目标任务，抓住发展机遇，以高质量党建引领，奋力谱写新时代三宫乡高质量发展新篇章，擦亮幸福新三宫靓丽名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A17581">
            <w:pPr>
              <w:jc w:val="both"/>
            </w:pPr>
            <w:r>
              <w:rPr>
                <w:rFonts w:ascii="宋体" w:hAnsi="宋体" w:eastAsia="宋体"/>
                <w:sz w:val="16"/>
              </w:rPr>
              <w:t>2024年三宫回族乡人民政府实际完成情况如下：1.带动劳动力转移就业7000人次。2.开展各种文化活动8次。3.开展了12次伊犁人的奶茶会活动。4.全年开展了48次安全生产检查。5.全年开展了12次返贫动态</w:t>
            </w:r>
            <w:r>
              <w:rPr>
                <w:rFonts w:hint="eastAsia" w:ascii="宋体" w:hAnsi="宋体"/>
                <w:sz w:val="16"/>
                <w:lang w:eastAsia="zh-CN"/>
              </w:rPr>
              <w:t>监测</w:t>
            </w:r>
            <w:r>
              <w:rPr>
                <w:rFonts w:ascii="宋体" w:hAnsi="宋体" w:eastAsia="宋体"/>
                <w:sz w:val="16"/>
              </w:rPr>
              <w:t>。</w:t>
            </w:r>
          </w:p>
        </w:tc>
      </w:tr>
      <w:tr w14:paraId="03A44D9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7898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CBAE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EFC5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463F8">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0998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296E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7EEF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188004">
            <w:pPr>
              <w:jc w:val="center"/>
            </w:pPr>
            <w:r>
              <w:rPr>
                <w:rFonts w:ascii="宋体" w:hAnsi="宋体" w:eastAsia="宋体"/>
                <w:sz w:val="16"/>
              </w:rPr>
              <w:t>得分</w:t>
            </w:r>
          </w:p>
        </w:tc>
      </w:tr>
      <w:tr w14:paraId="0DD3F96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D781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105F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1F5E8">
            <w:pPr>
              <w:jc w:val="center"/>
            </w:pPr>
            <w:r>
              <w:rPr>
                <w:rFonts w:ascii="宋体" w:hAnsi="宋体" w:eastAsia="宋体"/>
                <w:sz w:val="16"/>
              </w:rPr>
              <w:t>带动劳动力转移就业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0FF8B">
            <w:pPr>
              <w:jc w:val="center"/>
            </w:pPr>
            <w:r>
              <w:rPr>
                <w:rFonts w:ascii="宋体" w:hAnsi="宋体" w:eastAsia="宋体"/>
                <w:sz w:val="16"/>
              </w:rPr>
              <w:t>&gt;=7000人次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52D1F">
            <w:pPr>
              <w:jc w:val="center"/>
            </w:pPr>
            <w:r>
              <w:rPr>
                <w:rFonts w:ascii="宋体" w:hAnsi="宋体" w:eastAsia="宋体"/>
                <w:sz w:val="16"/>
              </w:rPr>
              <w:t>三宫乡2024年党委工作会议上的报告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696C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E614B">
            <w:pPr>
              <w:jc w:val="center"/>
            </w:pPr>
            <w:r>
              <w:rPr>
                <w:rFonts w:ascii="宋体" w:hAnsi="宋体" w:eastAsia="宋体"/>
                <w:sz w:val="16"/>
              </w:rPr>
              <w:t>7000人次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E20DE">
            <w:pPr>
              <w:jc w:val="center"/>
            </w:pPr>
            <w:r>
              <w:rPr>
                <w:rFonts w:ascii="宋体" w:hAnsi="宋体" w:eastAsia="宋体"/>
                <w:sz w:val="16"/>
              </w:rPr>
              <w:t>18</w:t>
            </w:r>
          </w:p>
        </w:tc>
      </w:tr>
      <w:tr w14:paraId="1C22B3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0C1DC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F36B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0CD72">
            <w:pPr>
              <w:jc w:val="center"/>
            </w:pPr>
            <w:r>
              <w:rPr>
                <w:rFonts w:ascii="宋体" w:hAnsi="宋体" w:eastAsia="宋体"/>
                <w:sz w:val="16"/>
              </w:rPr>
              <w:t>参加和开展文化活动次数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C1958">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7E9D2">
            <w:pPr>
              <w:jc w:val="center"/>
            </w:pPr>
            <w:r>
              <w:rPr>
                <w:rFonts w:ascii="宋体" w:hAnsi="宋体" w:eastAsia="宋体"/>
                <w:sz w:val="16"/>
              </w:rPr>
              <w:t>三宫乡2024年党委工作会议上的报告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8696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179B8">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85016">
            <w:pPr>
              <w:jc w:val="center"/>
            </w:pPr>
            <w:r>
              <w:rPr>
                <w:rFonts w:ascii="宋体" w:hAnsi="宋体" w:eastAsia="宋体"/>
                <w:sz w:val="16"/>
              </w:rPr>
              <w:t>18</w:t>
            </w:r>
          </w:p>
        </w:tc>
      </w:tr>
      <w:tr w14:paraId="5381B6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4AD6B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468B8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C35FB">
            <w:pPr>
              <w:jc w:val="center"/>
            </w:pPr>
            <w:r>
              <w:rPr>
                <w:rFonts w:ascii="宋体" w:hAnsi="宋体" w:eastAsia="宋体"/>
                <w:sz w:val="16"/>
              </w:rPr>
              <w:t>开展伊犁人的奶茶会次数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43899">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EC7EB">
            <w:pPr>
              <w:jc w:val="center"/>
            </w:pPr>
            <w:r>
              <w:rPr>
                <w:rFonts w:ascii="宋体" w:hAnsi="宋体" w:eastAsia="宋体"/>
                <w:sz w:val="16"/>
              </w:rPr>
              <w:t>三宫乡2024年党委工作会议上的报告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B1DD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0CBE5">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B143C">
            <w:pPr>
              <w:jc w:val="center"/>
            </w:pPr>
            <w:r>
              <w:rPr>
                <w:rFonts w:ascii="宋体" w:hAnsi="宋体" w:eastAsia="宋体"/>
                <w:sz w:val="16"/>
              </w:rPr>
              <w:t>18</w:t>
            </w:r>
          </w:p>
        </w:tc>
      </w:tr>
      <w:tr w14:paraId="57C9E7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15B23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C4AC9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B3A8E">
            <w:pPr>
              <w:jc w:val="center"/>
            </w:pPr>
            <w:r>
              <w:rPr>
                <w:rFonts w:ascii="宋体" w:hAnsi="宋体" w:eastAsia="宋体"/>
                <w:sz w:val="16"/>
              </w:rPr>
              <w:t>全年开展安全生产检查次数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38A4B">
            <w:pPr>
              <w:jc w:val="center"/>
            </w:pPr>
            <w:r>
              <w:rPr>
                <w:rFonts w:ascii="宋体" w:hAnsi="宋体" w:eastAsia="宋体"/>
                <w:sz w:val="16"/>
              </w:rPr>
              <w:t>&gt;=48次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DC818">
            <w:pPr>
              <w:jc w:val="center"/>
            </w:pPr>
            <w:r>
              <w:rPr>
                <w:rFonts w:ascii="宋体" w:hAnsi="宋体" w:eastAsia="宋体"/>
                <w:sz w:val="16"/>
              </w:rPr>
              <w:t>三宫乡2024年党委工作会议上的报告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7CD1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2F18F">
            <w:pPr>
              <w:jc w:val="center"/>
            </w:pPr>
            <w:r>
              <w:rPr>
                <w:rFonts w:ascii="宋体" w:hAnsi="宋体" w:eastAsia="宋体"/>
                <w:sz w:val="16"/>
              </w:rPr>
              <w:t>48次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BF546">
            <w:pPr>
              <w:jc w:val="center"/>
            </w:pPr>
            <w:r>
              <w:rPr>
                <w:rFonts w:ascii="宋体" w:hAnsi="宋体" w:eastAsia="宋体"/>
                <w:sz w:val="16"/>
              </w:rPr>
              <w:t>18</w:t>
            </w:r>
          </w:p>
        </w:tc>
      </w:tr>
      <w:tr w14:paraId="6B7B8A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AB220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31E1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EEDE8">
            <w:pPr>
              <w:jc w:val="center"/>
            </w:pPr>
            <w:r>
              <w:rPr>
                <w:rFonts w:ascii="宋体" w:hAnsi="宋体" w:eastAsia="宋体"/>
                <w:sz w:val="16"/>
              </w:rPr>
              <w:t>返贫动态监测次数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15B0F">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B401A">
            <w:pPr>
              <w:jc w:val="center"/>
            </w:pPr>
            <w:r>
              <w:rPr>
                <w:rFonts w:ascii="宋体" w:hAnsi="宋体" w:eastAsia="宋体"/>
                <w:sz w:val="16"/>
              </w:rPr>
              <w:t>三宫乡2024年党委工作会议上的报告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5A12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0BE0B">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EF46E">
            <w:pPr>
              <w:jc w:val="center"/>
            </w:pPr>
            <w:r>
              <w:rPr>
                <w:rFonts w:ascii="宋体" w:hAnsi="宋体" w:eastAsia="宋体"/>
                <w:sz w:val="16"/>
              </w:rPr>
              <w:t>18</w:t>
            </w:r>
          </w:p>
        </w:tc>
      </w:tr>
    </w:tbl>
    <w:p w14:paraId="78AFBC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01E5C418">
        <w:tblPrEx>
          <w:tblCellMar>
            <w:top w:w="0" w:type="dxa"/>
            <w:left w:w="108" w:type="dxa"/>
            <w:bottom w:w="0" w:type="dxa"/>
            <w:right w:w="108" w:type="dxa"/>
          </w:tblCellMar>
        </w:tblPrEx>
        <w:tc>
          <w:tcPr>
            <w:tcW w:w="8848" w:type="dxa"/>
            <w:gridSpan w:val="14"/>
            <w:vAlign w:val="center"/>
          </w:tcPr>
          <w:p w14:paraId="13C9FBE2">
            <w:pPr>
              <w:jc w:val="center"/>
            </w:pPr>
            <w:r>
              <w:rPr>
                <w:rFonts w:ascii="宋体" w:hAnsi="宋体" w:eastAsia="宋体"/>
                <w:sz w:val="24"/>
              </w:rPr>
              <w:t>项目支出绩效自评表</w:t>
            </w:r>
          </w:p>
        </w:tc>
      </w:tr>
      <w:tr w14:paraId="5FE7FCA1">
        <w:tblPrEx>
          <w:tblCellMar>
            <w:top w:w="0" w:type="dxa"/>
            <w:left w:w="108" w:type="dxa"/>
            <w:bottom w:w="0" w:type="dxa"/>
            <w:right w:w="108" w:type="dxa"/>
          </w:tblCellMar>
        </w:tblPrEx>
        <w:tc>
          <w:tcPr>
            <w:tcW w:w="8848" w:type="dxa"/>
            <w:gridSpan w:val="14"/>
            <w:vAlign w:val="center"/>
          </w:tcPr>
          <w:p w14:paraId="3C30CFD8">
            <w:pPr>
              <w:jc w:val="center"/>
            </w:pPr>
            <w:r>
              <w:rPr>
                <w:rFonts w:ascii="宋体" w:hAnsi="宋体" w:eastAsia="宋体"/>
                <w:sz w:val="24"/>
              </w:rPr>
              <w:t>(2024年度)</w:t>
            </w:r>
          </w:p>
        </w:tc>
      </w:tr>
      <w:tr w14:paraId="68FB44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D7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8E6D79">
            <w:pPr>
              <w:jc w:val="center"/>
            </w:pPr>
            <w:r>
              <w:rPr>
                <w:rFonts w:ascii="宋体" w:hAnsi="宋体" w:eastAsia="宋体"/>
                <w:sz w:val="16"/>
              </w:rPr>
              <w:t>农村综合改革转移支付</w:t>
            </w:r>
          </w:p>
        </w:tc>
      </w:tr>
      <w:tr w14:paraId="198813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E5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C58F40">
            <w:pPr>
              <w:jc w:val="center"/>
            </w:pPr>
            <w:r>
              <w:rPr>
                <w:rFonts w:ascii="宋体" w:hAnsi="宋体" w:eastAsia="宋体"/>
                <w:sz w:val="16"/>
              </w:rPr>
              <w:t>霍城县三宫回族乡人民政府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4E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9B7994">
            <w:pPr>
              <w:jc w:val="center"/>
            </w:pPr>
            <w:r>
              <w:rPr>
                <w:rFonts w:ascii="宋体" w:hAnsi="宋体" w:eastAsia="宋体"/>
                <w:sz w:val="16"/>
              </w:rPr>
              <w:t>霍城县三宫回族乡人民政府</w:t>
            </w:r>
          </w:p>
        </w:tc>
      </w:tr>
      <w:tr w14:paraId="1281E7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90AF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522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B6D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C2E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C6F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FBF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4AE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4F99">
            <w:pPr>
              <w:jc w:val="center"/>
            </w:pPr>
            <w:r>
              <w:rPr>
                <w:rFonts w:ascii="宋体" w:hAnsi="宋体" w:eastAsia="宋体"/>
                <w:sz w:val="16"/>
              </w:rPr>
              <w:t>得分</w:t>
            </w:r>
          </w:p>
        </w:tc>
      </w:tr>
      <w:tr w14:paraId="64FEE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408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6F0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EB6D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064D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21FF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A06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522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3282">
            <w:pPr>
              <w:jc w:val="center"/>
            </w:pPr>
            <w:r>
              <w:rPr>
                <w:rFonts w:ascii="宋体" w:hAnsi="宋体" w:eastAsia="宋体"/>
                <w:sz w:val="16"/>
              </w:rPr>
              <w:t>10.00</w:t>
            </w:r>
          </w:p>
        </w:tc>
      </w:tr>
      <w:tr w14:paraId="6C1AFE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FEB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36C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76D3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C0D4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5FE9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75D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729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194A4">
            <w:pPr>
              <w:jc w:val="center"/>
            </w:pPr>
            <w:r>
              <w:rPr>
                <w:rFonts w:ascii="宋体" w:hAnsi="宋体" w:eastAsia="宋体"/>
                <w:sz w:val="16"/>
              </w:rPr>
              <w:t>—</w:t>
            </w:r>
          </w:p>
        </w:tc>
      </w:tr>
      <w:tr w14:paraId="13018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83F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17EC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003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A91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CC8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0E0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911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66D7">
            <w:pPr>
              <w:jc w:val="center"/>
            </w:pPr>
            <w:r>
              <w:rPr>
                <w:rFonts w:ascii="宋体" w:hAnsi="宋体" w:eastAsia="宋体"/>
                <w:sz w:val="16"/>
              </w:rPr>
              <w:t>—</w:t>
            </w:r>
          </w:p>
        </w:tc>
      </w:tr>
      <w:tr w14:paraId="4740F7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23E0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28A84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F9A43D">
            <w:pPr>
              <w:jc w:val="center"/>
            </w:pPr>
            <w:r>
              <w:rPr>
                <w:rFonts w:ascii="宋体" w:hAnsi="宋体" w:eastAsia="宋体"/>
                <w:sz w:val="16"/>
              </w:rPr>
              <w:t>实际完成情况</w:t>
            </w:r>
          </w:p>
        </w:tc>
      </w:tr>
      <w:tr w14:paraId="77D9A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38B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7CCEBB">
            <w:pPr>
              <w:jc w:val="both"/>
            </w:pPr>
            <w:r>
              <w:rPr>
                <w:rFonts w:ascii="宋体" w:hAnsi="宋体" w:eastAsia="宋体"/>
                <w:sz w:val="16"/>
              </w:rPr>
              <w:t>霍城县三宫回族乡人民政府，根据2024年中央农村综合改革转移支付资金，采购路灯70盏，彩绘534㎡，墙体抹灰、粉刷2807㎡，公共停车场地面硬化680㎡，霍城县三宫回族乡沙湾村2024年环境巩固提升项目。可切实对沙湾村实现整村大变化，乡村道路美化。最终实现村容村貌的改变，实现整村的大变化，可完善村内基础设施，改善村容居住环境，项目建设具有较好的经济及社会效益，建议尽快落实项目资金，争取项目早日开工建设，以期充分发挥其综合经济及社会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7FB66F">
            <w:pPr>
              <w:jc w:val="both"/>
            </w:pPr>
            <w:r>
              <w:rPr>
                <w:rFonts w:ascii="宋体" w:hAnsi="宋体" w:eastAsia="宋体"/>
                <w:sz w:val="16"/>
              </w:rPr>
              <w:t>霍城县三宫回族乡人民政府，根据2024年中央农村综合改革转移支付资金项目实际完成情况如下：采购路灯70盏，彩绘534㎡，墙体抹灰、粉刷2807㎡，公共停车场地面硬化680㎡，实现了村容村貌的改变，整村的大变化，完善了村内基础设施，改善了村容居住环境。</w:t>
            </w:r>
          </w:p>
        </w:tc>
      </w:tr>
      <w:tr w14:paraId="25F89C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8807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1B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F3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78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B4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785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5AD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418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B3F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C9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3F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97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F8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DC29">
            <w:pPr>
              <w:jc w:val="center"/>
            </w:pPr>
            <w:r>
              <w:rPr>
                <w:rFonts w:ascii="宋体" w:hAnsi="宋体" w:eastAsia="宋体"/>
                <w:sz w:val="16"/>
              </w:rPr>
              <w:t>偏差原因分析及改进措施</w:t>
            </w:r>
          </w:p>
        </w:tc>
      </w:tr>
      <w:tr w14:paraId="02F54C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E78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3794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97F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F016">
            <w:pPr>
              <w:jc w:val="center"/>
            </w:pPr>
            <w:r>
              <w:rPr>
                <w:rFonts w:ascii="宋体" w:hAnsi="宋体" w:eastAsia="宋体"/>
                <w:sz w:val="16"/>
              </w:rPr>
              <w:t>支持村内公益设施建设数量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24B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5574">
            <w:pPr>
              <w:jc w:val="center"/>
            </w:pPr>
            <w:r>
              <w:rPr>
                <w:rFonts w:ascii="宋体" w:hAnsi="宋体" w:eastAsia="宋体"/>
                <w:sz w:val="16"/>
              </w:rPr>
              <w:t>=1村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8642">
            <w:pPr>
              <w:jc w:val="center"/>
            </w:pPr>
            <w:r>
              <w:rPr>
                <w:rFonts w:ascii="宋体" w:hAnsi="宋体" w:eastAsia="宋体"/>
                <w:sz w:val="16"/>
              </w:rPr>
              <w:t>1村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5F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9E6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BD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404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8F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00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7470">
            <w:pPr>
              <w:jc w:val="center"/>
            </w:pPr>
          </w:p>
        </w:tc>
      </w:tr>
      <w:tr w14:paraId="7ADC2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7C1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7A9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F81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9C1EB">
            <w:pPr>
              <w:jc w:val="center"/>
            </w:pPr>
            <w:r>
              <w:rPr>
                <w:rFonts w:ascii="宋体" w:hAnsi="宋体" w:eastAsia="宋体"/>
                <w:sz w:val="16"/>
              </w:rPr>
              <w:t>采购路灯数量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557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4A21">
            <w:pPr>
              <w:jc w:val="center"/>
            </w:pPr>
            <w:r>
              <w:rPr>
                <w:rFonts w:ascii="宋体" w:hAnsi="宋体" w:eastAsia="宋体"/>
                <w:sz w:val="16"/>
              </w:rPr>
              <w:t>=70盏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1CE3">
            <w:pPr>
              <w:jc w:val="center"/>
            </w:pPr>
            <w:r>
              <w:rPr>
                <w:rFonts w:ascii="宋体" w:hAnsi="宋体" w:eastAsia="宋体"/>
                <w:sz w:val="16"/>
              </w:rPr>
              <w:t>70盏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6F5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3CF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CD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8B5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58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4C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9DE6">
            <w:pPr>
              <w:jc w:val="center"/>
            </w:pPr>
          </w:p>
        </w:tc>
      </w:tr>
      <w:tr w14:paraId="3B11E3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53E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F08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384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A11B">
            <w:pPr>
              <w:jc w:val="center"/>
            </w:pPr>
            <w:r>
              <w:rPr>
                <w:rFonts w:ascii="宋体" w:hAnsi="宋体" w:eastAsia="宋体"/>
                <w:sz w:val="16"/>
              </w:rPr>
              <w:t>墙体抹灰、粉刷面积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28B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7B4C">
            <w:pPr>
              <w:jc w:val="center"/>
            </w:pPr>
            <w:r>
              <w:rPr>
                <w:rFonts w:ascii="宋体" w:hAnsi="宋体" w:eastAsia="宋体"/>
                <w:sz w:val="16"/>
              </w:rPr>
              <w:t>=2807平方米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52FA">
            <w:pPr>
              <w:jc w:val="center"/>
            </w:pPr>
            <w:r>
              <w:rPr>
                <w:rFonts w:ascii="宋体" w:hAnsi="宋体" w:eastAsia="宋体"/>
                <w:sz w:val="16"/>
              </w:rPr>
              <w:t>2807平方米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CD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B8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17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D1A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8A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7F2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511B">
            <w:pPr>
              <w:jc w:val="center"/>
            </w:pPr>
          </w:p>
        </w:tc>
      </w:tr>
      <w:tr w14:paraId="15674C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18A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EF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A5F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ECF6">
            <w:pPr>
              <w:jc w:val="center"/>
            </w:pPr>
            <w:r>
              <w:rPr>
                <w:rFonts w:ascii="宋体" w:hAnsi="宋体" w:eastAsia="宋体"/>
                <w:sz w:val="16"/>
              </w:rPr>
              <w:t>公共停车场地面硬化面积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53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2BB1">
            <w:pPr>
              <w:jc w:val="center"/>
            </w:pPr>
            <w:r>
              <w:rPr>
                <w:rFonts w:ascii="宋体" w:hAnsi="宋体" w:eastAsia="宋体"/>
                <w:sz w:val="16"/>
              </w:rPr>
              <w:t>=680㎡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7836">
            <w:pPr>
              <w:jc w:val="center"/>
            </w:pPr>
            <w:r>
              <w:rPr>
                <w:rFonts w:ascii="宋体" w:hAnsi="宋体" w:eastAsia="宋体"/>
                <w:sz w:val="16"/>
              </w:rPr>
              <w:t>680㎡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CE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4E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91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3F0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C5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A9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E7F7">
            <w:pPr>
              <w:jc w:val="center"/>
            </w:pPr>
          </w:p>
        </w:tc>
      </w:tr>
      <w:tr w14:paraId="78A48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B2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2A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FF7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0033">
            <w:pPr>
              <w:jc w:val="center"/>
            </w:pPr>
            <w:r>
              <w:rPr>
                <w:rFonts w:ascii="宋体" w:hAnsi="宋体" w:eastAsia="宋体"/>
                <w:sz w:val="16"/>
              </w:rPr>
              <w:t>彩绘涂料面积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32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7CF4">
            <w:pPr>
              <w:jc w:val="center"/>
            </w:pPr>
            <w:r>
              <w:rPr>
                <w:rFonts w:ascii="宋体" w:hAnsi="宋体" w:eastAsia="宋体"/>
                <w:sz w:val="16"/>
              </w:rPr>
              <w:t>=534㎡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2B5D">
            <w:pPr>
              <w:jc w:val="center"/>
            </w:pPr>
            <w:r>
              <w:rPr>
                <w:rFonts w:ascii="宋体" w:hAnsi="宋体" w:eastAsia="宋体"/>
                <w:sz w:val="16"/>
              </w:rPr>
              <w:t>534㎡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95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6F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8C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72C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8B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9F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B295">
            <w:pPr>
              <w:jc w:val="center"/>
            </w:pPr>
          </w:p>
        </w:tc>
      </w:tr>
      <w:tr w14:paraId="62E7C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16A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3FD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7B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EAA2C">
            <w:pPr>
              <w:jc w:val="center"/>
            </w:pPr>
            <w:r>
              <w:rPr>
                <w:rFonts w:ascii="宋体" w:hAnsi="宋体" w:eastAsia="宋体"/>
                <w:sz w:val="16"/>
              </w:rPr>
              <w:t>村内公益设施建设验收合格率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C9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B9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4A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4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51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F3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6A5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A5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01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60E30">
            <w:pPr>
              <w:jc w:val="center"/>
            </w:pPr>
          </w:p>
        </w:tc>
      </w:tr>
      <w:tr w14:paraId="61AA1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728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3FB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1C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19DF">
            <w:pPr>
              <w:jc w:val="center"/>
            </w:pPr>
            <w:r>
              <w:rPr>
                <w:rFonts w:ascii="宋体" w:hAnsi="宋体" w:eastAsia="宋体"/>
                <w:sz w:val="16"/>
              </w:rPr>
              <w:t>中央财政资金下达及时性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25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F9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3A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96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F8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075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E050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EB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EC15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CCB7">
            <w:pPr>
              <w:jc w:val="center"/>
            </w:pPr>
          </w:p>
        </w:tc>
      </w:tr>
      <w:tr w14:paraId="30D274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655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481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E01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EF11E">
            <w:pPr>
              <w:jc w:val="center"/>
            </w:pPr>
            <w:r>
              <w:rPr>
                <w:rFonts w:ascii="宋体" w:hAnsi="宋体" w:eastAsia="宋体"/>
                <w:sz w:val="16"/>
              </w:rPr>
              <w:t>建筑与装饰工程费用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86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038F">
            <w:pPr>
              <w:jc w:val="center"/>
            </w:pPr>
            <w:r>
              <w:rPr>
                <w:rFonts w:ascii="宋体" w:hAnsi="宋体" w:eastAsia="宋体"/>
                <w:sz w:val="16"/>
              </w:rPr>
              <w:t>&lt;=27.58万元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D00C">
            <w:pPr>
              <w:jc w:val="center"/>
            </w:pPr>
            <w:r>
              <w:rPr>
                <w:rFonts w:ascii="宋体" w:hAnsi="宋体" w:eastAsia="宋体"/>
                <w:sz w:val="16"/>
              </w:rPr>
              <w:t>27.58万元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53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25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C2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BBC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E19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50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F3E7">
            <w:pPr>
              <w:jc w:val="center"/>
            </w:pPr>
          </w:p>
        </w:tc>
      </w:tr>
      <w:tr w14:paraId="7661A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066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86C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5EB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F9B3">
            <w:pPr>
              <w:jc w:val="center"/>
            </w:pPr>
            <w:r>
              <w:rPr>
                <w:rFonts w:ascii="宋体" w:hAnsi="宋体" w:eastAsia="宋体"/>
                <w:sz w:val="16"/>
              </w:rPr>
              <w:t>道路工程费用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0F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A75D">
            <w:pPr>
              <w:jc w:val="center"/>
            </w:pPr>
            <w:r>
              <w:rPr>
                <w:rFonts w:ascii="宋体" w:hAnsi="宋体" w:eastAsia="宋体"/>
                <w:sz w:val="16"/>
              </w:rPr>
              <w:t>&lt;=22.42万元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C597">
            <w:pPr>
              <w:jc w:val="center"/>
            </w:pPr>
            <w:r>
              <w:rPr>
                <w:rFonts w:ascii="宋体" w:hAnsi="宋体" w:eastAsia="宋体"/>
                <w:sz w:val="16"/>
              </w:rPr>
              <w:t>22.42万元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EC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60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1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A18D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37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C8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B8B1">
            <w:pPr>
              <w:jc w:val="center"/>
            </w:pPr>
          </w:p>
        </w:tc>
      </w:tr>
      <w:tr w14:paraId="25E4A0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D7D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F8D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1D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08B0">
            <w:pPr>
              <w:jc w:val="center"/>
            </w:pPr>
            <w:r>
              <w:rPr>
                <w:rFonts w:ascii="宋体" w:hAnsi="宋体" w:eastAsia="宋体"/>
                <w:sz w:val="16"/>
              </w:rPr>
              <w:t>农村综合性改革试点试验地区乡村治理能力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66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A106">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01D85">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F1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26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6B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058A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26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B4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1104">
            <w:pPr>
              <w:jc w:val="center"/>
            </w:pPr>
          </w:p>
        </w:tc>
      </w:tr>
      <w:tr w14:paraId="3CF0D6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3F4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10E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728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E39D">
            <w:pPr>
              <w:jc w:val="center"/>
            </w:pPr>
            <w:r>
              <w:rPr>
                <w:rFonts w:ascii="宋体" w:hAnsi="宋体" w:eastAsia="宋体"/>
                <w:sz w:val="16"/>
              </w:rPr>
              <w:t>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82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A0CE">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5E3C">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6E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85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8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9D5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13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EC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CC86A">
            <w:pPr>
              <w:jc w:val="center"/>
            </w:pPr>
          </w:p>
        </w:tc>
      </w:tr>
      <w:tr w14:paraId="4489A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B66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BA72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F48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6D20">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83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E445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5F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0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B2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1F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098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12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A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15D3">
            <w:pPr>
              <w:jc w:val="center"/>
            </w:pPr>
          </w:p>
        </w:tc>
      </w:tr>
      <w:tr w14:paraId="01FAD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206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A1E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A45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1F4F">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AA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C2BF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5C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A5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BD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B9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D8A7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0ED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A0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BEEF">
            <w:pPr>
              <w:jc w:val="center"/>
            </w:pPr>
          </w:p>
        </w:tc>
      </w:tr>
      <w:tr w14:paraId="574C7E3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EA78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FD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E782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CAF6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1E92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B38A">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4B34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F5E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81BE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67CE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9D5F95"/>
        </w:tc>
      </w:tr>
    </w:tbl>
    <w:p w14:paraId="49AE673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39D4089">
        <w:tblPrEx>
          <w:tblCellMar>
            <w:top w:w="0" w:type="dxa"/>
            <w:left w:w="108" w:type="dxa"/>
            <w:bottom w:w="0" w:type="dxa"/>
            <w:right w:w="108" w:type="dxa"/>
          </w:tblCellMar>
        </w:tblPrEx>
        <w:tc>
          <w:tcPr>
            <w:tcW w:w="8848" w:type="dxa"/>
            <w:gridSpan w:val="14"/>
            <w:vAlign w:val="center"/>
          </w:tcPr>
          <w:p w14:paraId="7E8181DD">
            <w:pPr>
              <w:jc w:val="center"/>
            </w:pPr>
            <w:r>
              <w:rPr>
                <w:rFonts w:ascii="宋体" w:hAnsi="宋体" w:eastAsia="宋体"/>
                <w:sz w:val="24"/>
              </w:rPr>
              <w:t>项目支出绩效自评表</w:t>
            </w:r>
          </w:p>
        </w:tc>
      </w:tr>
      <w:tr w14:paraId="710E1DD2">
        <w:tblPrEx>
          <w:tblCellMar>
            <w:top w:w="0" w:type="dxa"/>
            <w:left w:w="108" w:type="dxa"/>
            <w:bottom w:w="0" w:type="dxa"/>
            <w:right w:w="108" w:type="dxa"/>
          </w:tblCellMar>
        </w:tblPrEx>
        <w:tc>
          <w:tcPr>
            <w:tcW w:w="8848" w:type="dxa"/>
            <w:gridSpan w:val="14"/>
            <w:vAlign w:val="center"/>
          </w:tcPr>
          <w:p w14:paraId="589FCDA9">
            <w:pPr>
              <w:jc w:val="center"/>
            </w:pPr>
            <w:r>
              <w:rPr>
                <w:rFonts w:ascii="宋体" w:hAnsi="宋体" w:eastAsia="宋体"/>
                <w:sz w:val="24"/>
              </w:rPr>
              <w:t>(2024年度)</w:t>
            </w:r>
          </w:p>
        </w:tc>
      </w:tr>
      <w:tr w14:paraId="052B1E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A2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35D6CC">
            <w:pPr>
              <w:jc w:val="center"/>
            </w:pPr>
            <w:r>
              <w:rPr>
                <w:rFonts w:ascii="宋体" w:hAnsi="宋体" w:eastAsia="宋体"/>
                <w:sz w:val="16"/>
              </w:rPr>
              <w:t>虎建平、虎延青拆迁安置补偿款</w:t>
            </w:r>
          </w:p>
        </w:tc>
      </w:tr>
      <w:tr w14:paraId="2E676A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1C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854DB">
            <w:pPr>
              <w:jc w:val="center"/>
            </w:pPr>
            <w:r>
              <w:rPr>
                <w:rFonts w:ascii="宋体" w:hAnsi="宋体" w:eastAsia="宋体"/>
                <w:sz w:val="16"/>
              </w:rPr>
              <w:t>霍城县三宫回族乡人民政府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51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87F018">
            <w:pPr>
              <w:jc w:val="center"/>
            </w:pPr>
            <w:r>
              <w:rPr>
                <w:rFonts w:ascii="宋体" w:hAnsi="宋体" w:eastAsia="宋体"/>
                <w:sz w:val="16"/>
              </w:rPr>
              <w:t>霍城县三宫回族乡人民政府</w:t>
            </w:r>
          </w:p>
        </w:tc>
      </w:tr>
      <w:tr w14:paraId="13A651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7B9F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A4F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471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298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5CA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429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C1C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16B7">
            <w:pPr>
              <w:jc w:val="center"/>
            </w:pPr>
            <w:r>
              <w:rPr>
                <w:rFonts w:ascii="宋体" w:hAnsi="宋体" w:eastAsia="宋体"/>
                <w:sz w:val="16"/>
              </w:rPr>
              <w:t>得分</w:t>
            </w:r>
          </w:p>
        </w:tc>
      </w:tr>
      <w:tr w14:paraId="5F3D0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40A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B1C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2F1F7">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6E0DE">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6DBA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D59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37C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F4FA">
            <w:pPr>
              <w:jc w:val="center"/>
            </w:pPr>
            <w:r>
              <w:rPr>
                <w:rFonts w:ascii="宋体" w:hAnsi="宋体" w:eastAsia="宋体"/>
                <w:sz w:val="16"/>
              </w:rPr>
              <w:t>10.00</w:t>
            </w:r>
          </w:p>
        </w:tc>
      </w:tr>
      <w:tr w14:paraId="58A96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73F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3AA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6232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AA373">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5E36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A0E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8CC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08280">
            <w:pPr>
              <w:jc w:val="center"/>
            </w:pPr>
            <w:r>
              <w:rPr>
                <w:rFonts w:ascii="宋体" w:hAnsi="宋体" w:eastAsia="宋体"/>
                <w:sz w:val="16"/>
              </w:rPr>
              <w:t>—</w:t>
            </w:r>
          </w:p>
        </w:tc>
      </w:tr>
      <w:tr w14:paraId="1BE67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852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1C4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91F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88D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0F8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98B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F7D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86B3">
            <w:pPr>
              <w:jc w:val="center"/>
            </w:pPr>
            <w:r>
              <w:rPr>
                <w:rFonts w:ascii="宋体" w:hAnsi="宋体" w:eastAsia="宋体"/>
                <w:sz w:val="16"/>
              </w:rPr>
              <w:t>—</w:t>
            </w:r>
          </w:p>
        </w:tc>
      </w:tr>
      <w:tr w14:paraId="4C971C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47BF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2E3D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8C08EF">
            <w:pPr>
              <w:jc w:val="center"/>
            </w:pPr>
            <w:r>
              <w:rPr>
                <w:rFonts w:ascii="宋体" w:hAnsi="宋体" w:eastAsia="宋体"/>
                <w:sz w:val="16"/>
              </w:rPr>
              <w:t>实际完成情况</w:t>
            </w:r>
          </w:p>
        </w:tc>
      </w:tr>
      <w:tr w14:paraId="4A7B9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BF1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600CD3">
            <w:pPr>
              <w:jc w:val="both"/>
            </w:pPr>
            <w:r>
              <w:rPr>
                <w:rFonts w:ascii="宋体" w:hAnsi="宋体" w:eastAsia="宋体"/>
                <w:sz w:val="16"/>
              </w:rPr>
              <w:t>保障拆迁补偿发放工作，及时有效落实好征地补偿相关规定，将拆迁补偿款发放到位，及时有效化解各类因拆迁补偿出现的矛盾，有效维护政府公信力。为改善群众的基本生产生活条件，为群众更好的生活提供有效保障，提高群众生活质量，促进2024年拆迁补偿款发放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9C8769">
            <w:pPr>
              <w:jc w:val="both"/>
            </w:pPr>
            <w:r>
              <w:rPr>
                <w:rFonts w:ascii="宋体" w:hAnsi="宋体" w:eastAsia="宋体"/>
                <w:sz w:val="16"/>
              </w:rPr>
              <w:t>将村民虎延青的拆迁补偿25万元已发放到位，有效化解各类因拆迁补偿出现的矛盾，有效维护政府公信力。改善了该家庭的基本生产生活条件，提高他们的生活质量。</w:t>
            </w:r>
          </w:p>
        </w:tc>
      </w:tr>
      <w:tr w14:paraId="614E1D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E849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18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B0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2A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0CA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4C2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AEB8">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AFE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8CA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3D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C8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49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A4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F452">
            <w:pPr>
              <w:jc w:val="center"/>
            </w:pPr>
            <w:r>
              <w:rPr>
                <w:rFonts w:ascii="宋体" w:hAnsi="宋体" w:eastAsia="宋体"/>
                <w:sz w:val="16"/>
              </w:rPr>
              <w:t>偏差原因分析及改进措施</w:t>
            </w:r>
          </w:p>
        </w:tc>
      </w:tr>
      <w:tr w14:paraId="2D3574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B85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C8F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F1A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220E">
            <w:pPr>
              <w:jc w:val="center"/>
            </w:pPr>
            <w:r>
              <w:rPr>
                <w:rFonts w:ascii="宋体" w:hAnsi="宋体" w:eastAsia="宋体"/>
                <w:sz w:val="16"/>
              </w:rPr>
              <w:t>拆迁款补偿人数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2F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3C3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91E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F2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25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A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71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68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CF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048A">
            <w:pPr>
              <w:jc w:val="center"/>
            </w:pPr>
          </w:p>
        </w:tc>
      </w:tr>
      <w:tr w14:paraId="2A5B4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E62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AD1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311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943D">
            <w:pPr>
              <w:jc w:val="center"/>
            </w:pPr>
            <w:r>
              <w:rPr>
                <w:rFonts w:ascii="宋体" w:hAnsi="宋体" w:eastAsia="宋体"/>
                <w:sz w:val="16"/>
              </w:rPr>
              <w:t>拆迁补偿款发放次数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29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A90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CB4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47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96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7F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3F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FC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6A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A9C7">
            <w:pPr>
              <w:jc w:val="center"/>
            </w:pPr>
          </w:p>
        </w:tc>
      </w:tr>
      <w:tr w14:paraId="012CC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68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1A8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FF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141D">
            <w:pPr>
              <w:jc w:val="center"/>
            </w:pPr>
            <w:r>
              <w:rPr>
                <w:rFonts w:ascii="宋体" w:hAnsi="宋体" w:eastAsia="宋体"/>
                <w:sz w:val="16"/>
              </w:rPr>
              <w:t>拆迁补偿款发放准确率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69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63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D6D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D3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EF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42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817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A7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FA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2149">
            <w:pPr>
              <w:jc w:val="center"/>
            </w:pPr>
          </w:p>
        </w:tc>
      </w:tr>
      <w:tr w14:paraId="45FB9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27F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E8C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3B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43E2F">
            <w:pPr>
              <w:jc w:val="center"/>
            </w:pPr>
            <w:r>
              <w:rPr>
                <w:rFonts w:ascii="宋体" w:hAnsi="宋体" w:eastAsia="宋体"/>
                <w:sz w:val="16"/>
              </w:rPr>
              <w:t>拆迁补偿款按时发放率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DD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5DC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E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0E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EB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8A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5A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CE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C2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525D">
            <w:pPr>
              <w:jc w:val="center"/>
            </w:pPr>
          </w:p>
        </w:tc>
      </w:tr>
      <w:tr w14:paraId="49218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62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F1A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AF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CAEB">
            <w:pPr>
              <w:jc w:val="center"/>
            </w:pPr>
            <w:r>
              <w:rPr>
                <w:rFonts w:ascii="宋体" w:hAnsi="宋体" w:eastAsia="宋体"/>
                <w:sz w:val="16"/>
              </w:rPr>
              <w:t>拆迁补偿款发放补助标准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D8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B9C14">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913F">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AC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63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1F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C8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D4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9E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64A02">
            <w:pPr>
              <w:jc w:val="center"/>
            </w:pPr>
          </w:p>
        </w:tc>
      </w:tr>
      <w:tr w14:paraId="213B0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CC5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3C0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C9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80929">
            <w:pPr>
              <w:jc w:val="center"/>
            </w:pPr>
            <w:r>
              <w:rPr>
                <w:rFonts w:ascii="宋体" w:hAnsi="宋体" w:eastAsia="宋体"/>
                <w:sz w:val="16"/>
              </w:rPr>
              <w:t>改善群众的基本生产生活条件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8E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F21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D1F40">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D2B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D7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1B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F8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39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58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32C2">
            <w:pPr>
              <w:jc w:val="center"/>
            </w:pPr>
          </w:p>
        </w:tc>
      </w:tr>
      <w:tr w14:paraId="50ADE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E33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54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D0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54ED">
            <w:pPr>
              <w:jc w:val="center"/>
            </w:pPr>
            <w:r>
              <w:rPr>
                <w:rFonts w:ascii="宋体" w:hAnsi="宋体" w:eastAsia="宋体"/>
                <w:sz w:val="16"/>
              </w:rPr>
              <w:t>拆迁户满意度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24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CB87">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7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B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18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58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46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85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19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0960">
            <w:pPr>
              <w:jc w:val="center"/>
            </w:pPr>
          </w:p>
        </w:tc>
      </w:tr>
      <w:tr w14:paraId="41083CF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BF70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22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5796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1369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D92A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225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BD3E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C560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1A2F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16A3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6FCF1E"/>
        </w:tc>
      </w:tr>
    </w:tbl>
    <w:p w14:paraId="3B2B8E13">
      <w:r>
        <w:br w:type="page"/>
      </w:r>
    </w:p>
    <w:p w14:paraId="278F15AE">
      <w:pPr>
        <w:spacing w:line="640" w:lineRule="exact"/>
        <w:ind w:firstLine="640"/>
        <w:jc w:val="both"/>
        <w:outlineLvl w:val="2"/>
      </w:pPr>
      <w:r>
        <w:rPr>
          <w:rFonts w:ascii="黑体" w:hAnsi="黑体" w:eastAsia="黑体"/>
          <w:sz w:val="32"/>
        </w:rPr>
        <w:t>十二、其他需说明的事项</w:t>
      </w:r>
    </w:p>
    <w:p w14:paraId="4A6364C6">
      <w:pPr>
        <w:spacing w:line="580" w:lineRule="exact"/>
        <w:ind w:firstLine="640"/>
        <w:jc w:val="both"/>
      </w:pPr>
      <w:r>
        <w:rPr>
          <w:rFonts w:ascii="仿宋_GB2312" w:hAnsi="仿宋_GB2312" w:eastAsia="仿宋_GB2312"/>
          <w:b w:val="0"/>
          <w:sz w:val="32"/>
        </w:rPr>
        <w:t>本单位无其他需说明的事项。</w:t>
      </w:r>
    </w:p>
    <w:p w14:paraId="2FFC5FFD">
      <w:r>
        <w:br w:type="page"/>
      </w:r>
    </w:p>
    <w:p w14:paraId="1F905905">
      <w:pPr>
        <w:spacing w:line="240" w:lineRule="auto"/>
        <w:jc w:val="center"/>
        <w:outlineLvl w:val="1"/>
      </w:pPr>
      <w:r>
        <w:rPr>
          <w:rFonts w:ascii="黑体" w:hAnsi="黑体" w:eastAsia="黑体"/>
          <w:sz w:val="32"/>
        </w:rPr>
        <w:t>第三部分 专业名词解释</w:t>
      </w:r>
    </w:p>
    <w:p w14:paraId="784117F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46613F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7D3BBD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06BEDC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F3B7B8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3EBA4C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C6927F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CF5D4B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69F9B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066B46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07D0E4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B5CB27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6D2B5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ACB24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0FC5F9">
      <w:r>
        <w:br w:type="page"/>
      </w:r>
    </w:p>
    <w:p w14:paraId="53E20600">
      <w:pPr>
        <w:spacing w:line="240" w:lineRule="auto"/>
        <w:jc w:val="center"/>
        <w:outlineLvl w:val="1"/>
      </w:pPr>
      <w:r>
        <w:rPr>
          <w:rFonts w:ascii="黑体" w:hAnsi="黑体" w:eastAsia="黑体"/>
          <w:sz w:val="32"/>
        </w:rPr>
        <w:t>第四部分 部门决算报表（见附表）</w:t>
      </w:r>
    </w:p>
    <w:p w14:paraId="0AFD4083">
      <w:pPr>
        <w:spacing w:line="240" w:lineRule="auto"/>
        <w:ind w:firstLine="640"/>
        <w:jc w:val="both"/>
      </w:pPr>
      <w:r>
        <w:rPr>
          <w:rFonts w:ascii="仿宋_GB2312" w:hAnsi="仿宋_GB2312" w:eastAsia="仿宋_GB2312"/>
          <w:b w:val="0"/>
          <w:sz w:val="32"/>
        </w:rPr>
        <w:t>一、《收入支出决算总表》</w:t>
      </w:r>
    </w:p>
    <w:p w14:paraId="0BE199FD">
      <w:pPr>
        <w:spacing w:line="240" w:lineRule="auto"/>
        <w:ind w:firstLine="640"/>
        <w:jc w:val="both"/>
      </w:pPr>
      <w:r>
        <w:rPr>
          <w:rFonts w:ascii="仿宋_GB2312" w:hAnsi="仿宋_GB2312" w:eastAsia="仿宋_GB2312"/>
          <w:b w:val="0"/>
          <w:sz w:val="32"/>
        </w:rPr>
        <w:t>二、《收入决算表》</w:t>
      </w:r>
    </w:p>
    <w:p w14:paraId="30A3E4F9">
      <w:pPr>
        <w:spacing w:line="240" w:lineRule="auto"/>
        <w:ind w:firstLine="640"/>
        <w:jc w:val="both"/>
      </w:pPr>
      <w:r>
        <w:rPr>
          <w:rFonts w:ascii="仿宋_GB2312" w:hAnsi="仿宋_GB2312" w:eastAsia="仿宋_GB2312"/>
          <w:b w:val="0"/>
          <w:sz w:val="32"/>
        </w:rPr>
        <w:t>三、《支出决算表》</w:t>
      </w:r>
    </w:p>
    <w:p w14:paraId="00094525">
      <w:pPr>
        <w:spacing w:line="240" w:lineRule="auto"/>
        <w:ind w:firstLine="640"/>
        <w:jc w:val="both"/>
      </w:pPr>
      <w:r>
        <w:rPr>
          <w:rFonts w:ascii="仿宋_GB2312" w:hAnsi="仿宋_GB2312" w:eastAsia="仿宋_GB2312"/>
          <w:b w:val="0"/>
          <w:sz w:val="32"/>
        </w:rPr>
        <w:t>四、《财政拨款收入支出决算总表》</w:t>
      </w:r>
    </w:p>
    <w:p w14:paraId="28F1EFFD">
      <w:pPr>
        <w:spacing w:line="240" w:lineRule="auto"/>
        <w:ind w:firstLine="640"/>
        <w:jc w:val="both"/>
      </w:pPr>
      <w:r>
        <w:rPr>
          <w:rFonts w:ascii="仿宋_GB2312" w:hAnsi="仿宋_GB2312" w:eastAsia="仿宋_GB2312"/>
          <w:b w:val="0"/>
          <w:sz w:val="32"/>
        </w:rPr>
        <w:t>五、《一般公共预算财政拨款支出决算表》</w:t>
      </w:r>
    </w:p>
    <w:p w14:paraId="6A57F87E">
      <w:pPr>
        <w:spacing w:line="240" w:lineRule="auto"/>
        <w:ind w:firstLine="640"/>
        <w:jc w:val="both"/>
      </w:pPr>
      <w:r>
        <w:rPr>
          <w:rFonts w:ascii="仿宋_GB2312" w:hAnsi="仿宋_GB2312" w:eastAsia="仿宋_GB2312"/>
          <w:b w:val="0"/>
          <w:sz w:val="32"/>
        </w:rPr>
        <w:t>六、《一般公共预算财政拨款基本支出决算表》</w:t>
      </w:r>
    </w:p>
    <w:p w14:paraId="0D2E19B9">
      <w:pPr>
        <w:spacing w:line="240" w:lineRule="auto"/>
        <w:ind w:firstLine="640"/>
        <w:jc w:val="both"/>
      </w:pPr>
      <w:r>
        <w:rPr>
          <w:rFonts w:ascii="仿宋_GB2312" w:hAnsi="仿宋_GB2312" w:eastAsia="仿宋_GB2312"/>
          <w:b w:val="0"/>
          <w:sz w:val="32"/>
        </w:rPr>
        <w:t>七、《政府性基金预算财政拨款收入支出决算表》</w:t>
      </w:r>
    </w:p>
    <w:p w14:paraId="47AA710B">
      <w:pPr>
        <w:spacing w:line="240" w:lineRule="auto"/>
        <w:ind w:firstLine="640"/>
        <w:jc w:val="both"/>
      </w:pPr>
      <w:r>
        <w:rPr>
          <w:rFonts w:ascii="仿宋_GB2312" w:hAnsi="仿宋_GB2312" w:eastAsia="仿宋_GB2312"/>
          <w:b w:val="0"/>
          <w:sz w:val="32"/>
        </w:rPr>
        <w:t>八、《国有资本经营预算财政拨款收入支出决算表》</w:t>
      </w:r>
    </w:p>
    <w:p w14:paraId="359799D6">
      <w:pPr>
        <w:spacing w:line="240" w:lineRule="auto"/>
        <w:ind w:firstLine="640"/>
        <w:jc w:val="both"/>
      </w:pPr>
      <w:r>
        <w:rPr>
          <w:rFonts w:ascii="仿宋_GB2312" w:hAnsi="仿宋_GB2312" w:eastAsia="仿宋_GB2312"/>
          <w:b w:val="0"/>
          <w:sz w:val="32"/>
        </w:rPr>
        <w:t>九、《财政拨款“三公”经费支出决算表》</w:t>
      </w:r>
    </w:p>
    <w:p w14:paraId="0C6FF589">
      <w:pPr>
        <w:spacing w:line="240" w:lineRule="auto"/>
        <w:ind w:firstLine="640"/>
        <w:jc w:val="both"/>
      </w:pPr>
    </w:p>
    <w:p w14:paraId="71F3D376">
      <w:pPr>
        <w:spacing w:line="240" w:lineRule="auto"/>
        <w:ind w:firstLine="640"/>
        <w:jc w:val="both"/>
      </w:pPr>
    </w:p>
    <w:p w14:paraId="717AABF5">
      <w:pPr>
        <w:spacing w:line="240" w:lineRule="auto"/>
        <w:ind w:firstLine="640"/>
        <w:jc w:val="both"/>
      </w:pPr>
    </w:p>
    <w:p w14:paraId="683907A3">
      <w:pPr>
        <w:spacing w:line="240" w:lineRule="auto"/>
        <w:ind w:firstLine="640"/>
        <w:jc w:val="both"/>
      </w:pPr>
    </w:p>
    <w:p w14:paraId="70D425C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6C8C95-2585-4E3F-820B-C6BA8E3D69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D9BED8A-03FF-40CF-8E96-016DF676D5F9}"/>
  </w:font>
  <w:font w:name="仿宋_GB2312">
    <w:altName w:val="仿宋"/>
    <w:panose1 w:val="02010609030101010101"/>
    <w:charset w:val="86"/>
    <w:family w:val="modern"/>
    <w:pitch w:val="default"/>
    <w:sig w:usb0="00000000" w:usb1="00000000" w:usb2="00000000" w:usb3="00000000" w:csb0="00040000" w:csb1="00000000"/>
    <w:embedRegular r:id="rId3" w:fontKey="{27D08B29-FCCC-4991-89FF-4479D24D52BB}"/>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7339ACEB-CD87-4A3F-90B9-7020C732463F}"/>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9852BF"/>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8F124D"/>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7237</Words>
  <Characters>8375</Characters>
  <Lines>0</Lines>
  <Paragraphs>0</Paragraphs>
  <TotalTime>9</TotalTime>
  <ScaleCrop>false</ScaleCrop>
  <LinksUpToDate>false</LinksUpToDate>
  <CharactersWithSpaces>8383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2025-09-25T05:15:35Z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