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cx1="http://schemas.microsoft.com/office/drawing/2015/9/8/chartex" xmlns:w15="http://schemas.microsoft.com/office/word/2012/wordml" mc:Ignorable="w14 wp14 w15">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w:t>
      </w: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2024年伊犁开放大学霍城分校运转项目(自有资金）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 xml:space="preserve">实施单位（公章）：</w:t>
      </w:r>
      <w:r>
        <w:rPr>
          <w:rStyle w:val="Strong"/>
          <w:rFonts w:ascii="楷体" w:eastAsia="楷体" w:hAnsi="楷体" w:hint="eastAsia"/>
          <w:spacing w:val="-4"/>
          <w:sz w:val="28"/>
          <w:szCs w:val="28"/>
        </w:rPr>
        <w:t xml:space="preserve">伊犁开放大学霍城分校</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伊犁开放大学霍城分校</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陈月月</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2025年04月27日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伊犁开放大学霍城县分校是霍城县人民政府批准的唯一一所地方成人高等学校，是一所承担霍城县高等学历教育，主要面向成人开展远程开放教育的新型高等学校，贯彻落实党和国家高等教育方针政策和法律法规，开展社区教育和老年教育工作，开展继续教育和社会化教育培训工作，按照上级部门要求用于发放工资及办公经费，保证单位整体正常运转。</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项目主要内容：本项目37.87万用于给本单位7人员发放工资费用，3.78万用于购买学校正常运转过程中需要的考试物资及教学物资等，购买招生宣传片，宣传海报及广告服务等，以保障本单位正常运转。</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项目实施情况：项目目前已经完成实际设立目标，项目在实施过程中严格按照目标设立的各阶段任务进行开展工作，在前期立项过程中严格按照要求建立安全防护机制，保证项目实施各阶段安全顺利进行。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该项目年初预算数41.47万元，全年预算数41.47万元，该项目资金已全部落实到位，资金来源为其他资金。</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41.47万元，全年预算数41.47万元，，全年执行数41.47万元，预算执行率为100%，主要用于：伊犁开放大学霍城县分校，列为公益一类，为县教育局所属事业单位，机构规格股级，经费实行差额预算管理，其中在编人员5聘用人员2人月平均工资4486.89元，共计人员工资支出37.87万元。办公经费3.78万元购买办公所需物资。</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该项目给本单位5名在编人员以及2名用于向上级办学单位支付工资以及学生的学分费，考试费等，购买学校正常办公运转费，保障本单位各项工作正常运转。</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第一阶段：完成了在编人数7人，1-12月人均工资4486.89元。发放以及考试费等。实现覆盖，确保项目财务可持续性。降低人才的流失率。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第二阶段：完成了学校正常办公运转经费3.78万元。保障了项目顺利开展，强化了学校服务地方经济社会发展的功能。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经济效益、社会效益、生态效益等多个维度，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项目预算执行情况及各项绩效目标达成程度的系统性分析，全面、客观地评估项目在预定周期内的实施效果，包括经济效益、社会效益、生态效益以及可持续性等多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2024年伊犁开放大学霍城分校运转项目(自有资金）及其预算执行情况。该项目由伊犁开放大学霍城分校负责实施，旨在该项目给本单位5名在编人员以及2名用于向上级办学单位支付工资以及学生的学分费，考试费等，购买学校正常办公运转费，保障本单位各项工作正常运转。项目预算涵盖从2024年1月至2024年12月的全部资金投入与支出，涉及资金总额为41.47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（4）社会、生态等影响：考察项目对社会、生态、经济等方面的综合影响。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及使用原因如下：本次项目支出使用了成本效益分析法通过自有资金投入41.47万元，在编人员7人，每月人均工资4486.89万元，办公经费3.78万元购买办公所需物资。所产生的经济效益和社会效益进行分析，促进资金的更合理使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是根据年初制定的工作计划和绩效指标定额完成了在编人员7人，每月人均工资4486.89万元，办公经费3.78万元购买办公所需物资。为体现绩效改进的原则，在可实现的条件下确定了相对较高的评价标准。</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的综合评价基于对项目各方面绩效的深入分析与评估。从项目目标的达成情况来看，2024年伊犁开放大学霍城分校运转项目(自有资金）在工资发放、资金发放等方面表现出色，达到了预期的标准与要求。同时，项目也在办公运转经费取得了显著的成效，如保障日常教学行政工作、促进学校对外交流合作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在项目管理方面，伊犁开放大学霍城分校通过有效的规划、组织与协调，项目得以顺利实施，并在预算与时间上保持了良好的控制。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从项目效益的角度来看，本项目不仅实现了预期的社会效益、生态效益、等方面产生了积极的影响。具体而言，人员工资发放次数、人员工资发放人数等方面的提升，为项目的利益相关者带来了实实在在的利益。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综上所述，2024年伊犁开放大学霍城分校运转项目(自有资金）在绩效评价中表现出色，达到了项目的预期目标，并在多个方面取得了显著的成效。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100分，得分率100%。项目过程类指标权重为20分，得分为100分，得分率为 100%。项目产出类指标权重为40分，得分为40分，得分率为100%。项目效益类指标权重为20分，得分为20分，得分率为100%。具体打分情况详见：附件1综合评分表。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40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本项目总投资41.47万元，财政资金及时足额到位，到位率100%，预算资金按计划进度执行。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预算编制较为详细，项目资金支出总体能够按照预算执行，预算资金支出41.47万元，预算执行率为100%。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本项目的资金使用严格遵循了国家相关法律法规与财务制度，确保了资金的合规性与安全性。在资金使用过程中，我们建立了完善的财务管理体系，对资金的流动进行了全程监控与记录。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本项目拥有一套完善、健全的管理制度体系，为项目的成功实施提供了坚实的制度保障。项目管理制度的制定紧密结合了项目的特点与实际情况，涵盖了项目的策划、组织、实施、监控与收尾等各个环节。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（三）综上所述，本项目的管理制度在执行过程中表现出了高度的有效性，既确保了项目的顺利进行，又实现了项目目标的有效达成。</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项目产出类指标包括产出数量、产出质量、产出时效、产出成本四方面的内容，由6个三级指标构成，权重分为40分，实际得分40分，得分率为100%。具体产出指标完成情况如下：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指标1：人员工资发放人数，指标值：=7人，实际完成值：7人，指标完成率 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指标2：人员工资发放人数，指标值：=12次，实际完成值：12次，指标完成率 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指标1：资金发放准确率，指标值：=100%，实际完成值：100%，指标完成率 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指标1：资金发放及时率，指标值：=100%，实际完成值：100%，指标完成率 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指标1：人均每月工资，指标值：&lt;=4486.89元/月，实际完成值：4486.89元/月，指标完成率 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指标2：办公运转经费，指标值：&lt;=3.78万元，实际完成值：3.78万元，指标完成率 100%。</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项目效益类指标包括项目实施效益和满意度两方面的内容，由1个三级指标构成，权重分为20分，实际得分20分，得分率为100%。具体效益指标及满意度指标完成情况如下：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指标1：保障各项工作正常开展，指标值：有效保障，实际完成值：有效保障，指标完成率 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（五）预算执行进度与绩效指标总体完成率偏差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2024年伊犁开放大学霍城分校运转项目(自有资金）项目年初预算41.75万元，全年预算41.75万元，实际支出41.75万元，预算执行率为100%，项目绩效指标总体完成率为100%，总体偏差率为0%，偏差原因无，改进措施无</w:t>
      </w:r>
    </w:p>
    <w:p>
      <w:pPr>
        <w:spacing w:line="540" w:lineRule="exact"/>
        <w:ind w:firstLine="567"/>
        <w:rPr>
          <w:rStyle w:val="Strong"/>
          <w:rFonts w:ascii="楷体" w:eastAsia="楷体" w:hAnsi="楷体"/>
          <w:spacing w:val="-4"/>
          <w:sz w:val="32"/>
          <w:szCs w:val="32"/>
        </w:rPr>
      </w:pPr>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rPr>
        <w:t xml:space="preserve">五、</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2.因轮岗、调动等因素使我单位绩效工作人员流动频繁，造成工作衔接不到位的情况。</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1.多进行有关绩效管理工作方面的培训。积极组织第三方开展绩效管理工作培训，进一步夯实业务基础，提高我单位绩效人员水平。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4.进一步完善项目评价过程中有关数据和资料的收集、整理、审核及分析。项目启动时同步做好档案的归纳与整理，及时整理、收集、汇总，健全档案资料。项目后续管理有待进一步加强和跟踪。</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3"/>
      <w:pgSz w:w="11906" w:h="16838" w:orient="portrait"/>
      <w:pgMar w:top="1440" w:right="1558" w:bottom="1440" w:left="1800" w:header="851" w:footer="992" w:gutter="0"/>
      <w:pgBorders/>
      <w:cols w:num="1" w:space="425">
        <w:col w:w="8548" w:space="425"/>
      </w:cols>
      <w:docGrid w:type="lines" w:linePitch="312"/>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rPr/>
        </w:pPr>
        <w:r>
          <w:fldChar w:fldCharType="begin"/>
        </w:r>
        <w:r>
          <w:instrText xml:space="preserve">PAGE   \* MERGEFORMAT</w:instrText>
        </w:r>
        <w:r>
          <w:fldChar w:fldCharType="separate"/>
        </w:r>
        <w:r>
          <w:rPr>
            <w:lang w:val="zh-CN"/>
          </w:rPr>
          <w:t xml:space="preserve">1</w:t>
        </w:r>
        <w:r>
          <w:fldChar w:fldCharType="end"/>
        </w:r>
      </w:p>
    </w:sdtContent>
  </w:sdt>
  <w:p>
    <w:pPr>
      <w:pStyle w:val="Footer"/>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20"/>
  <w:bordersDoNotSurroundFooter/>
  <w:bordersDoNotSurroundHead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kern w:val="2"/>
      <w:sz w:val="21"/>
      <w:szCs w:val="24"/>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styleId="BalloonText">
    <w:name w:val="Balloon Text"/>
    <w:basedOn w:val="Normal"/>
    <w:link w:val="批注框文本字符"/>
    <w:uiPriority w:val="99"/>
    <w:semiHidden/>
    <w:unhideWhenUsed/>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rPr>
      <w:rFonts w:ascii="Calibri" w:eastAsia="宋体" w:hAnsi="Calibri"/>
      <w:kern w:val="2"/>
      <w:sz w:val="18"/>
      <w:szCs w:val="18"/>
    </w:rPr>
  </w:style>
  <w:style w:type="character" w:customStyle="1" w:styleId="页脚字符">
    <w:name w:val="页脚 字符"/>
    <w:basedOn w:val="DefaultParagraphFont"/>
    <w:link w:val="Footer"/>
    <w:uiPriority w:val="99"/>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21EF0CDCB73D4B8D8FAC715995DB8275</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3</Pages>
  <Words>104</Words>
  <Characters>598</Characters>
  <Application>Microsoft Office Word</Application>
  <DocSecurity>0</DocSecurity>
  <Lines>4</Lines>
  <Paragraphs>1</Paragraphs>
  <Company>微软中国</Company>
  <CharactersWithSpaces>701</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2</cp:revision>
  <cp:lastPrinted>2018-12-31T10:56:00Z</cp:lastPrinted>
  <dcterms:created xsi:type="dcterms:W3CDTF">2025-03-11T03:27:00Z</dcterms:created>
  <dcterms:modified xsi:type="dcterms:W3CDTF">2025-03-11T03:27:00Z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2052-11.1.0.11365</vt:lpwstr>
  </property>
  <property fmtid="{D5CDD505-2E9C-101B-9397-08002B2CF9AE}" pid="3" name="ICV">
    <vt:lpwstr>21EF0CDCB73D4B8D8FAC715995DB8275</vt:lpwstr>
  </property>
</Properties>
</file>