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中国共产党霍城县委员会老干部局2024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981B0BA">
      <w:r>
        <w:br w:type="page"/>
      </w:r>
    </w:p>
    <w:p w14:paraId="5AE0500D">
      <w:pPr>
        <w:spacing w:line="640" w:lineRule="exact"/>
        <w:jc w:val="center"/>
        <w:outlineLvl w:val="1"/>
      </w:pPr>
      <w:r>
        <w:rPr>
          <w:rFonts w:ascii="黑体" w:hAnsi="黑体" w:eastAsia="黑体"/>
          <w:sz w:val="32"/>
        </w:rPr>
        <w:t>第一部分 单位概况</w:t>
      </w:r>
    </w:p>
    <w:p w14:paraId="79B8DEC3">
      <w:pPr>
        <w:spacing w:line="640" w:lineRule="exact"/>
        <w:ind w:firstLine="640"/>
        <w:jc w:val="both"/>
        <w:outlineLvl w:val="2"/>
      </w:pPr>
      <w:r>
        <w:rPr>
          <w:rFonts w:ascii="黑体" w:hAnsi="黑体" w:eastAsia="黑体"/>
          <w:sz w:val="32"/>
        </w:rPr>
        <w:t>一、主要职能</w:t>
      </w:r>
    </w:p>
    <w:p w14:paraId="5C24F8A5">
      <w:pPr>
        <w:spacing w:line="580" w:lineRule="exact"/>
        <w:ind w:firstLine="640"/>
        <w:jc w:val="both"/>
      </w:pPr>
      <w:r>
        <w:rPr>
          <w:rFonts w:ascii="仿宋_GB2312" w:hAnsi="仿宋_GB2312" w:eastAsia="仿宋_GB2312"/>
          <w:sz w:val="32"/>
        </w:rPr>
        <w:t>负责贯彻落实党中央、国务院关于离(退)休干部工作的方针、政策；了解、掌握全县老干部工作的基本情况，及时向县委反映重要问题并提出建议；执行老干部工作的政策和规定；协助各级党组织和组织部门抓好老干部党组织建设和思想政治工作；组织指导老干部政治学习、阅读文件、听重要报告、参加有关会议和重要政治活动；调查研究离退休干部的离退休费、医疗费等方面存在的问题，督促检查老干部生活待遇的落实；组织引导老干部积极参与“两个文明”建设，总结推广老干部发挥作用的先进事迹和经验，解决老干部在发挥作用中出现的问题；负责全县离(退)休干部的管理及节日慰问工作；负责离(退)休干部健康疗养、易地安置工作；负责办理离(退)休干部荣誉证书和老干部信访工作；组织宣传老干部工作的方针、政策，宣传老干部的历史功绩和现实作用，宣传老干部工作的经验；指导管理县老干部活动中心工作，指导全县老干部活动场所的建设，协调指导县老年大学、</w:t>
      </w:r>
      <w:bookmarkStart w:id="0" w:name="_GoBack"/>
      <w:r>
        <w:rPr>
          <w:rFonts w:ascii="仿宋_GB2312" w:hAnsi="仿宋_GB2312" w:eastAsia="仿宋_GB2312"/>
          <w:sz w:val="32"/>
        </w:rPr>
        <w:t>老干部各</w:t>
      </w:r>
      <w:bookmarkEnd w:id="0"/>
      <w:r>
        <w:rPr>
          <w:rFonts w:ascii="仿宋_GB2312" w:hAnsi="仿宋_GB2312" w:eastAsia="仿宋_GB2312"/>
          <w:sz w:val="32"/>
        </w:rPr>
        <w:t>协会学会开展工作；配合有关部门办理离休干部和副县级以上退休干部的丧葬和善后事宜；负责对全县离退休人员人数和离退休费标准及数额进行审核；组织离退休老同志开展关心教育下一代工作；负责本单位文书、保密、档案管理、老干部统计以</w:t>
      </w:r>
      <w:r>
        <w:rPr>
          <w:rFonts w:ascii="仿宋_GB2312" w:hAnsi="仿宋_GB2312" w:eastAsia="仿宋_GB2312"/>
          <w:w w:val="96"/>
          <w:sz w:val="32"/>
        </w:rPr>
        <w:t>及财务、固定资产管理等工作；完成县委、组织部交办的其他工作。</w:t>
      </w:r>
    </w:p>
    <w:p w14:paraId="7CC036B6">
      <w:pPr>
        <w:spacing w:line="640" w:lineRule="exact"/>
        <w:ind w:firstLine="640"/>
        <w:jc w:val="both"/>
        <w:outlineLvl w:val="2"/>
      </w:pPr>
      <w:r>
        <w:rPr>
          <w:rFonts w:ascii="黑体" w:hAnsi="黑体" w:eastAsia="黑体"/>
          <w:sz w:val="32"/>
        </w:rPr>
        <w:t>二、机构设置及人员情况</w:t>
      </w:r>
    </w:p>
    <w:p w14:paraId="629A9642">
      <w:pPr>
        <w:spacing w:line="580" w:lineRule="exact"/>
        <w:ind w:firstLine="640"/>
        <w:jc w:val="both"/>
      </w:pPr>
      <w:r>
        <w:rPr>
          <w:rFonts w:ascii="仿宋_GB2312" w:hAnsi="仿宋_GB2312" w:eastAsia="仿宋_GB2312"/>
          <w:sz w:val="32"/>
        </w:rPr>
        <w:t>中国共产党霍城县委员会老干部局2024年度，实有人数13人，其中：在职人员11人，增加1人；离休人员0人，增加0人；退休人员2人,增加0人。</w:t>
      </w:r>
    </w:p>
    <w:p w14:paraId="1100EE05">
      <w:pPr>
        <w:spacing w:line="580" w:lineRule="exact"/>
        <w:ind w:firstLine="640"/>
        <w:jc w:val="both"/>
      </w:pPr>
      <w:r>
        <w:rPr>
          <w:rFonts w:ascii="仿宋_GB2312" w:hAnsi="仿宋_GB2312" w:eastAsia="仿宋_GB2312"/>
          <w:sz w:val="32"/>
        </w:rPr>
        <w:t>中国共产党霍城县委员会老干部局无下属预算单位，下设2个科室，分别是：办公室、活动中心。</w:t>
      </w:r>
    </w:p>
    <w:p w14:paraId="452F047D">
      <w:r>
        <w:br w:type="page"/>
      </w:r>
    </w:p>
    <w:p w14:paraId="7F65BDCE">
      <w:pPr>
        <w:spacing w:line="240" w:lineRule="auto"/>
        <w:jc w:val="center"/>
        <w:outlineLvl w:val="1"/>
      </w:pPr>
      <w:r>
        <w:rPr>
          <w:rFonts w:ascii="黑体" w:hAnsi="黑体" w:eastAsia="黑体"/>
          <w:sz w:val="32"/>
        </w:rPr>
        <w:t>第二部分 部门决算情况说明</w:t>
      </w:r>
    </w:p>
    <w:p w14:paraId="3F4AEAA5">
      <w:pPr>
        <w:spacing w:line="640" w:lineRule="exact"/>
        <w:ind w:firstLine="640"/>
        <w:jc w:val="both"/>
        <w:outlineLvl w:val="2"/>
      </w:pPr>
      <w:r>
        <w:rPr>
          <w:rFonts w:ascii="黑体" w:hAnsi="黑体" w:eastAsia="黑体"/>
          <w:sz w:val="32"/>
        </w:rPr>
        <w:t>一、收入支出决算总体情况说明</w:t>
      </w:r>
    </w:p>
    <w:p w14:paraId="33AF8221">
      <w:pPr>
        <w:spacing w:line="580" w:lineRule="exact"/>
        <w:ind w:firstLine="640"/>
        <w:jc w:val="both"/>
      </w:pPr>
      <w:r>
        <w:rPr>
          <w:rFonts w:ascii="仿宋_GB2312" w:hAnsi="仿宋_GB2312" w:eastAsia="仿宋_GB2312"/>
          <w:b/>
          <w:sz w:val="32"/>
        </w:rPr>
        <w:t>2024年度收入总计296.34万元，</w:t>
      </w:r>
      <w:r>
        <w:rPr>
          <w:rFonts w:ascii="仿宋_GB2312" w:hAnsi="仿宋_GB2312" w:eastAsia="仿宋_GB2312"/>
          <w:b w:val="0"/>
          <w:sz w:val="32"/>
        </w:rPr>
        <w:t>其中：本年收入合计296.34万元，使用非财政拨款结余（含专用结余）0.00万元，年初结转和结余0.00万元。</w:t>
      </w:r>
    </w:p>
    <w:p w14:paraId="5C9AAC49">
      <w:pPr>
        <w:spacing w:line="580" w:lineRule="exact"/>
        <w:ind w:firstLine="640"/>
        <w:jc w:val="both"/>
      </w:pPr>
      <w:r>
        <w:rPr>
          <w:rFonts w:ascii="仿宋_GB2312" w:hAnsi="仿宋_GB2312" w:eastAsia="仿宋_GB2312"/>
          <w:b/>
          <w:sz w:val="32"/>
        </w:rPr>
        <w:t>2024年度支出总计296.34万元，</w:t>
      </w:r>
      <w:r>
        <w:rPr>
          <w:rFonts w:ascii="仿宋_GB2312" w:hAnsi="仿宋_GB2312" w:eastAsia="仿宋_GB2312"/>
          <w:b w:val="0"/>
          <w:sz w:val="32"/>
        </w:rPr>
        <w:t>其中：本年支出合计295.84万元，结余分配0.00万元，年末结转和结余0.50万元。</w:t>
      </w:r>
    </w:p>
    <w:p w14:paraId="2AB4A03D">
      <w:pPr>
        <w:spacing w:line="580" w:lineRule="exact"/>
        <w:ind w:firstLine="640"/>
        <w:jc w:val="both"/>
      </w:pPr>
      <w:r>
        <w:rPr>
          <w:rFonts w:ascii="仿宋_GB2312" w:hAnsi="仿宋_GB2312" w:eastAsia="仿宋_GB2312"/>
          <w:b w:val="0"/>
          <w:sz w:val="32"/>
        </w:rPr>
        <w:t>收入支出总体与上年相比，增加70.14万元，增长31.01%，主要原因是：本年援疆资金老干部交流交往资金、活动室改造和设备更新资金等增加；本年在职人员增加，在职人员工资调增、社保、公积金基数调增，人员经费增加，导致经费较上年增加。</w:t>
      </w:r>
    </w:p>
    <w:p w14:paraId="03712C14">
      <w:pPr>
        <w:spacing w:line="640" w:lineRule="exact"/>
        <w:ind w:firstLine="640"/>
        <w:jc w:val="both"/>
        <w:outlineLvl w:val="2"/>
      </w:pPr>
      <w:r>
        <w:rPr>
          <w:rFonts w:ascii="黑体" w:hAnsi="黑体" w:eastAsia="黑体"/>
          <w:sz w:val="32"/>
        </w:rPr>
        <w:t>二、收入决算情况说明</w:t>
      </w:r>
    </w:p>
    <w:p w14:paraId="40EBD95F">
      <w:pPr>
        <w:spacing w:line="580" w:lineRule="exact"/>
        <w:ind w:firstLine="640"/>
        <w:jc w:val="both"/>
      </w:pPr>
      <w:r>
        <w:rPr>
          <w:rFonts w:ascii="仿宋_GB2312" w:hAnsi="仿宋_GB2312" w:eastAsia="仿宋_GB2312"/>
          <w:b/>
          <w:sz w:val="32"/>
        </w:rPr>
        <w:t>本年收入296.34万元，</w:t>
      </w:r>
      <w:r>
        <w:rPr>
          <w:rFonts w:ascii="仿宋_GB2312" w:hAnsi="仿宋_GB2312" w:eastAsia="仿宋_GB2312"/>
          <w:b w:val="0"/>
          <w:sz w:val="32"/>
        </w:rPr>
        <w:t>其中：财政拨款收入251.49万元，占84.87%；上级补助收入0.00万元，占0.00%；事业收入0.00万元，占0.00%；经营收入0.00万元，占0.00%；附属单位上缴收入0.00万元，占0.00%；其他收入44.85万元，占15.13%。</w:t>
      </w:r>
    </w:p>
    <w:p w14:paraId="5B822A0A">
      <w:pPr>
        <w:spacing w:line="640" w:lineRule="exact"/>
        <w:ind w:firstLine="640"/>
        <w:jc w:val="both"/>
        <w:outlineLvl w:val="2"/>
      </w:pPr>
      <w:r>
        <w:rPr>
          <w:rFonts w:ascii="黑体" w:hAnsi="黑体" w:eastAsia="黑体"/>
          <w:sz w:val="32"/>
        </w:rPr>
        <w:t>三、支出决算情况说明</w:t>
      </w:r>
    </w:p>
    <w:p w14:paraId="027B1CF6">
      <w:pPr>
        <w:spacing w:line="580" w:lineRule="exact"/>
        <w:ind w:firstLine="640"/>
        <w:jc w:val="both"/>
      </w:pPr>
      <w:r>
        <w:rPr>
          <w:rFonts w:ascii="仿宋_GB2312" w:hAnsi="仿宋_GB2312" w:eastAsia="仿宋_GB2312"/>
          <w:b/>
          <w:sz w:val="32"/>
        </w:rPr>
        <w:t>本年支出295.84万元，</w:t>
      </w:r>
      <w:r>
        <w:rPr>
          <w:rFonts w:ascii="仿宋_GB2312" w:hAnsi="仿宋_GB2312" w:eastAsia="仿宋_GB2312"/>
          <w:b w:val="0"/>
          <w:sz w:val="32"/>
        </w:rPr>
        <w:t>其中：基本支出223.49万元，占75.54%；项目支出72.35万元，占24.46%；上缴上级支出0.00万元，占0.00%；经营支出0.00万元，占0.00%；对附属单位补助支出0.00万元，占0.00%。</w:t>
      </w:r>
    </w:p>
    <w:p w14:paraId="3EB185F9">
      <w:pPr>
        <w:spacing w:line="640" w:lineRule="exact"/>
        <w:ind w:firstLine="640"/>
        <w:jc w:val="both"/>
        <w:outlineLvl w:val="2"/>
      </w:pPr>
      <w:r>
        <w:rPr>
          <w:rFonts w:ascii="黑体" w:hAnsi="黑体" w:eastAsia="黑体"/>
          <w:sz w:val="32"/>
        </w:rPr>
        <w:t>四、财政拨款收入支出决算总体情况说明</w:t>
      </w:r>
    </w:p>
    <w:p w14:paraId="765491AE">
      <w:pPr>
        <w:spacing w:line="580" w:lineRule="exact"/>
        <w:ind w:firstLine="640"/>
        <w:jc w:val="both"/>
      </w:pPr>
      <w:r>
        <w:rPr>
          <w:rFonts w:ascii="仿宋_GB2312" w:hAnsi="仿宋_GB2312" w:eastAsia="仿宋_GB2312"/>
          <w:b/>
          <w:sz w:val="32"/>
        </w:rPr>
        <w:t>2024年度财政拨款收入总计251.49万元，</w:t>
      </w:r>
      <w:r>
        <w:rPr>
          <w:rFonts w:ascii="仿宋_GB2312" w:hAnsi="仿宋_GB2312" w:eastAsia="仿宋_GB2312"/>
          <w:b w:val="0"/>
          <w:sz w:val="32"/>
        </w:rPr>
        <w:t>其中：年初财政拨款结转和结余0.00万元，本年财政拨款收入251.49万元。</w:t>
      </w:r>
      <w:r>
        <w:rPr>
          <w:rFonts w:ascii="仿宋_GB2312" w:hAnsi="仿宋_GB2312" w:eastAsia="仿宋_GB2312"/>
          <w:b/>
          <w:sz w:val="32"/>
        </w:rPr>
        <w:t>财政拨款支出总计251.49万元，</w:t>
      </w:r>
      <w:r>
        <w:rPr>
          <w:rFonts w:ascii="仿宋_GB2312" w:hAnsi="仿宋_GB2312" w:eastAsia="仿宋_GB2312"/>
          <w:b w:val="0"/>
          <w:sz w:val="32"/>
        </w:rPr>
        <w:t>其中：年末财政拨款结转和结余0.00万元，本年财政拨款支出251.49万元。</w:t>
      </w:r>
    </w:p>
    <w:p w14:paraId="71FA95C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增加25.29万元，增长11.18%，主要原因是：本年在职人员增加，在职人员工资调增、社保、公积金基数调增，人员经费增加，导致经费较上年增加。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年初预算数213.70万元，决算数251.49万元，预决算差异率17.68%，主要原因是：年中追加人员工资、社保、公积金基数调增部分资金，导致预决算存在差异。</w:t>
      </w:r>
    </w:p>
    <w:p w14:paraId="20293D49">
      <w:pPr>
        <w:spacing w:line="640" w:lineRule="exact"/>
        <w:ind w:firstLine="640"/>
        <w:jc w:val="both"/>
        <w:outlineLvl w:val="2"/>
      </w:pPr>
      <w:r>
        <w:rPr>
          <w:rFonts w:ascii="黑体" w:hAnsi="黑体" w:eastAsia="黑体"/>
          <w:sz w:val="32"/>
        </w:rPr>
        <w:t>五、一般公共预算财政拨款支出决算情况说明</w:t>
      </w:r>
    </w:p>
    <w:p w14:paraId="67234D83">
      <w:pPr>
        <w:spacing w:line="640" w:lineRule="exact"/>
        <w:ind w:firstLine="640"/>
        <w:jc w:val="both"/>
        <w:outlineLvl w:val="3"/>
      </w:pPr>
      <w:r>
        <w:rPr>
          <w:rFonts w:ascii="楷体_GB2312" w:hAnsi="楷体_GB2312" w:eastAsia="楷体_GB2312"/>
          <w:b/>
          <w:sz w:val="32"/>
        </w:rPr>
        <w:t>（一）一般公共预算财政拨款支出决算总体情况</w:t>
      </w:r>
    </w:p>
    <w:p w14:paraId="1EE5966E">
      <w:pPr>
        <w:spacing w:line="580" w:lineRule="exact"/>
        <w:ind w:firstLine="640"/>
        <w:jc w:val="both"/>
      </w:pPr>
      <w:r>
        <w:rPr>
          <w:rFonts w:ascii="仿宋_GB2312" w:hAnsi="仿宋_GB2312" w:eastAsia="仿宋_GB2312"/>
          <w:b/>
          <w:sz w:val="32"/>
        </w:rPr>
        <w:t>2024年度一般公共预算财政拨款支出251.49万元，</w:t>
      </w:r>
      <w:r>
        <w:rPr>
          <w:rFonts w:ascii="仿宋_GB2312" w:hAnsi="仿宋_GB2312" w:eastAsia="仿宋_GB2312"/>
          <w:b w:val="0"/>
          <w:sz w:val="32"/>
        </w:rPr>
        <w:t>占本年支出合计的85.01%。</w:t>
      </w:r>
      <w:r>
        <w:rPr>
          <w:rFonts w:ascii="仿宋_GB2312" w:hAnsi="仿宋_GB2312" w:eastAsia="仿宋_GB2312"/>
          <w:b/>
          <w:sz w:val="32"/>
        </w:rPr>
        <w:t>与上年相比，</w:t>
      </w:r>
      <w:r>
        <w:rPr>
          <w:rFonts w:ascii="仿宋_GB2312" w:hAnsi="仿宋_GB2312" w:eastAsia="仿宋_GB2312"/>
          <w:b w:val="0"/>
          <w:sz w:val="32"/>
        </w:rPr>
        <w:t>增加25.29万元，增长11.18%，主要原因是：本年在职人员增加，在职人员工资调增、社保、公积金基数调增，人员经费增加，导致经费较上年增加。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年初预算数213.70万元，决算数251.49万元，预决算差异率17.68%，主要原因是：年中追加人员工资、社保、公积金基数调增部分资金，导致预决算存在差异。</w:t>
      </w:r>
    </w:p>
    <w:p w14:paraId="60B2814A">
      <w:pPr>
        <w:spacing w:line="640" w:lineRule="exact"/>
        <w:ind w:firstLine="640"/>
        <w:jc w:val="both"/>
        <w:outlineLvl w:val="3"/>
      </w:pPr>
      <w:r>
        <w:rPr>
          <w:rFonts w:ascii="楷体_GB2312" w:hAnsi="楷体_GB2312" w:eastAsia="楷体_GB2312"/>
          <w:b/>
          <w:sz w:val="32"/>
        </w:rPr>
        <w:t>（二）一般公共预算财政拨款支出决算结构情况</w:t>
      </w:r>
    </w:p>
    <w:p w14:paraId="52E547FE">
      <w:pPr>
        <w:spacing w:line="580" w:lineRule="exact"/>
        <w:ind w:firstLine="640"/>
        <w:jc w:val="both"/>
      </w:pPr>
      <w:r>
        <w:rPr>
          <w:rFonts w:ascii="仿宋_GB2312" w:hAnsi="仿宋_GB2312" w:eastAsia="仿宋_GB2312"/>
          <w:b w:val="0"/>
          <w:sz w:val="32"/>
        </w:rPr>
        <w:t>1.社会保障和就业支出(类)221.67万元,占88.14%。</w:t>
      </w:r>
    </w:p>
    <w:p w14:paraId="37447730">
      <w:pPr>
        <w:spacing w:line="580" w:lineRule="exact"/>
        <w:ind w:firstLine="640"/>
        <w:jc w:val="both"/>
      </w:pPr>
      <w:r>
        <w:rPr>
          <w:rFonts w:ascii="仿宋_GB2312" w:hAnsi="仿宋_GB2312" w:eastAsia="仿宋_GB2312"/>
          <w:b w:val="0"/>
          <w:sz w:val="32"/>
        </w:rPr>
        <w:t>2.卫生健康支出(类)14.41万元,占5.73%。</w:t>
      </w:r>
    </w:p>
    <w:p w14:paraId="6CBB8C24">
      <w:pPr>
        <w:spacing w:line="580" w:lineRule="exact"/>
        <w:ind w:firstLine="640"/>
        <w:jc w:val="both"/>
      </w:pPr>
      <w:r>
        <w:rPr>
          <w:rFonts w:ascii="仿宋_GB2312" w:hAnsi="仿宋_GB2312" w:eastAsia="仿宋_GB2312"/>
          <w:b w:val="0"/>
          <w:sz w:val="32"/>
        </w:rPr>
        <w:t>3.住房保障支出(类)15.42万元,占6.13%。</w:t>
      </w:r>
    </w:p>
    <w:p w14:paraId="3F1AC488">
      <w:pPr>
        <w:spacing w:line="640" w:lineRule="exact"/>
        <w:ind w:firstLine="640"/>
        <w:jc w:val="both"/>
        <w:outlineLvl w:val="3"/>
      </w:pPr>
      <w:r>
        <w:rPr>
          <w:rFonts w:ascii="楷体_GB2312" w:hAnsi="楷体_GB2312" w:eastAsia="楷体_GB2312"/>
          <w:b/>
          <w:sz w:val="32"/>
        </w:rPr>
        <w:t>（三）一般公共预算财政拨款支出决算具体情况</w:t>
      </w:r>
    </w:p>
    <w:p w14:paraId="043C0A60">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1.社会保障和就业支出(类)行政事业单位养老支出(款)行政单位离退休(项):支出决算数为1.50万元，比上年决算增加1.04万元，增长226.09%,主要原因是：本年增加退休人员基础绩效奖，退休费支出增加。</w:t>
      </w:r>
    </w:p>
    <w:p w14:paraId="56A6190E">
      <w:pPr>
        <w:spacing w:line="580" w:lineRule="exact"/>
        <w:ind w:firstLine="640"/>
        <w:jc w:val="both"/>
      </w:pPr>
      <w:r>
        <w:rPr>
          <w:rFonts w:ascii="仿宋_GB2312" w:hAnsi="仿宋_GB2312" w:eastAsia="仿宋_GB2312"/>
          <w:b w:val="0"/>
          <w:sz w:val="32"/>
        </w:rPr>
        <w:t>2.社会保障和就业支出(类)行政事业单位养老支出(款)离退休人员管理机构(项):支出决算数为201.24万元，比上年决算增加13.02万元，增长6.92%,主要原因是：本年在职</w:t>
      </w:r>
      <w:r>
        <w:rPr>
          <w:rFonts w:hint="eastAsia" w:ascii="仿宋_GB2312" w:hAnsi="仿宋_GB2312" w:eastAsia="仿宋_GB2312"/>
          <w:b w:val="0"/>
          <w:sz w:val="32"/>
          <w:lang w:eastAsia="zh-CN"/>
        </w:rPr>
        <w:t>人员</w:t>
      </w:r>
      <w:r>
        <w:rPr>
          <w:rFonts w:ascii="仿宋_GB2312" w:hAnsi="仿宋_GB2312" w:eastAsia="仿宋_GB2312"/>
          <w:b w:val="0"/>
          <w:sz w:val="32"/>
        </w:rPr>
        <w:t>工资基数调增，相应支出增加。</w:t>
      </w:r>
    </w:p>
    <w:p w14:paraId="1CD8FE9B">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3.社会保障和就业支出(类)行政事业单位养老支出(款)机关事业单位基本养老保险缴费支出(项):支出决算数为18.93万元，比上年决算增加3.46万元，增长22.37%,主要原因是：本年在职</w:t>
      </w:r>
      <w:r>
        <w:rPr>
          <w:rFonts w:hint="eastAsia" w:ascii="仿宋_GB2312" w:hAnsi="仿宋_GB2312" w:eastAsia="仿宋_GB2312"/>
          <w:b w:val="0"/>
          <w:sz w:val="32"/>
          <w:lang w:eastAsia="zh-CN"/>
        </w:rPr>
        <w:t>人员</w:t>
      </w:r>
      <w:r>
        <w:rPr>
          <w:rFonts w:ascii="仿宋_GB2312" w:hAnsi="仿宋_GB2312" w:eastAsia="仿宋_GB2312"/>
          <w:b w:val="0"/>
          <w:sz w:val="32"/>
        </w:rPr>
        <w:t>工资基数调增，养老缴费基数上涨，相应支出增加。</w:t>
      </w:r>
    </w:p>
    <w:p w14:paraId="789B37F5">
      <w:pPr>
        <w:spacing w:line="580" w:lineRule="exact"/>
        <w:ind w:firstLine="640"/>
        <w:jc w:val="both"/>
      </w:pPr>
      <w:r>
        <w:rPr>
          <w:rFonts w:ascii="仿宋_GB2312" w:hAnsi="仿宋_GB2312" w:eastAsia="仿宋_GB2312"/>
          <w:b w:val="0"/>
          <w:sz w:val="32"/>
        </w:rPr>
        <w:t>4.卫生健康支出(类)行政事业单位医疗(款)行政单位医疗(项):支出决算数为12.70万元，比上年决算增加6.20万元，增长95.38%,主要原因是：本年在职</w:t>
      </w:r>
      <w:r>
        <w:rPr>
          <w:rFonts w:hint="eastAsia" w:ascii="仿宋_GB2312" w:hAnsi="仿宋_GB2312" w:eastAsia="仿宋_GB2312"/>
          <w:b w:val="0"/>
          <w:sz w:val="32"/>
          <w:lang w:eastAsia="zh-CN"/>
        </w:rPr>
        <w:t>人员</w:t>
      </w:r>
      <w:r>
        <w:rPr>
          <w:rFonts w:ascii="仿宋_GB2312" w:hAnsi="仿宋_GB2312" w:eastAsia="仿宋_GB2312"/>
          <w:b w:val="0"/>
          <w:sz w:val="32"/>
        </w:rPr>
        <w:t>工资基数调增，医疗缴费基数上涨，相应支出增加。</w:t>
      </w:r>
    </w:p>
    <w:p w14:paraId="2862E842">
      <w:pPr>
        <w:spacing w:line="580" w:lineRule="exact"/>
        <w:ind w:firstLine="640"/>
        <w:jc w:val="both"/>
      </w:pPr>
      <w:r>
        <w:rPr>
          <w:rFonts w:ascii="仿宋_GB2312" w:hAnsi="仿宋_GB2312" w:eastAsia="仿宋_GB2312"/>
          <w:b w:val="0"/>
          <w:sz w:val="32"/>
        </w:rPr>
        <w:t>5.卫生健康支出(类)行政事业单位医疗(款)事业单位医疗(项):支出决算数为1.56万元，比上年决算减少0.84万元，下降35.00%,主要原因是：本年在职人员调入调出，人员职级不同，缴费基数不同，导致事业单位医疗较上年减少。</w:t>
      </w:r>
    </w:p>
    <w:p w14:paraId="3896B25F">
      <w:pPr>
        <w:spacing w:line="580" w:lineRule="exact"/>
        <w:ind w:firstLine="640"/>
        <w:jc w:val="both"/>
      </w:pPr>
      <w:r>
        <w:rPr>
          <w:rFonts w:ascii="仿宋_GB2312" w:hAnsi="仿宋_GB2312" w:eastAsia="仿宋_GB2312"/>
          <w:b w:val="0"/>
          <w:sz w:val="32"/>
        </w:rPr>
        <w:t>6.卫生健康支出(类)行政事业单位医疗(款)公务员医疗补助(项):支出决算数为0.15万元，比上年决算减少0.15万元，下降50.00%,主要原因是：本年在职人员调入调出，人员职级不同，缴费基数不同，导致公务员医疗补助较上年减少。</w:t>
      </w:r>
    </w:p>
    <w:p w14:paraId="6C41C281">
      <w:pPr>
        <w:spacing w:line="580" w:lineRule="exact"/>
        <w:ind w:firstLine="640"/>
        <w:jc w:val="both"/>
      </w:pPr>
      <w:r>
        <w:rPr>
          <w:rFonts w:ascii="仿宋_GB2312" w:hAnsi="仿宋_GB2312" w:eastAsia="仿宋_GB2312"/>
          <w:b w:val="0"/>
          <w:sz w:val="32"/>
        </w:rPr>
        <w:t>7.住房保障支出(类)住房改革支出(款)住房公积金(项):支出决算数为15.42万元，比上年决算增加2.57万元，增长20.00%,主要原因是：本年在职人员工资基数调增，公积金缴费基数上涨，相应支出增加。</w:t>
      </w:r>
    </w:p>
    <w:p w14:paraId="5A853B3A">
      <w:pPr>
        <w:spacing w:line="640" w:lineRule="exact"/>
        <w:ind w:firstLine="640"/>
        <w:jc w:val="both"/>
        <w:outlineLvl w:val="2"/>
      </w:pPr>
      <w:r>
        <w:rPr>
          <w:rFonts w:ascii="黑体" w:hAnsi="黑体" w:eastAsia="黑体"/>
          <w:sz w:val="32"/>
        </w:rPr>
        <w:t>六、一般公共预算财政拨款基本支出决算情况说明</w:t>
      </w:r>
    </w:p>
    <w:p w14:paraId="3816B2B2">
      <w:pPr>
        <w:spacing w:line="580" w:lineRule="exact"/>
        <w:ind w:firstLine="640"/>
        <w:jc w:val="both"/>
      </w:pPr>
      <w:r>
        <w:rPr>
          <w:rFonts w:ascii="仿宋_GB2312" w:hAnsi="仿宋_GB2312" w:eastAsia="仿宋_GB2312"/>
          <w:b w:val="0"/>
          <w:sz w:val="32"/>
        </w:rPr>
        <w:t>2024年度一般公共预算财政拨款基本支出223.49万元，其中：</w:t>
      </w:r>
      <w:r>
        <w:rPr>
          <w:rFonts w:ascii="仿宋_GB2312" w:hAnsi="仿宋_GB2312" w:eastAsia="仿宋_GB2312"/>
          <w:b/>
          <w:sz w:val="32"/>
        </w:rPr>
        <w:t>人员经费218.84万元，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其他工资福利支出、退休费、生活补助、医疗费补助。</w:t>
      </w:r>
    </w:p>
    <w:p w14:paraId="0F783971">
      <w:pPr>
        <w:spacing w:line="580" w:lineRule="exact"/>
        <w:ind w:firstLine="640"/>
        <w:jc w:val="both"/>
      </w:pPr>
      <w:r>
        <w:rPr>
          <w:rFonts w:ascii="仿宋_GB2312" w:hAnsi="仿宋_GB2312" w:eastAsia="仿宋_GB2312"/>
          <w:b/>
          <w:sz w:val="32"/>
        </w:rPr>
        <w:t>公用经费4.65万元，</w:t>
      </w:r>
      <w:r>
        <w:rPr>
          <w:rFonts w:ascii="仿宋_GB2312" w:hAnsi="仿宋_GB2312" w:eastAsia="仿宋_GB2312"/>
          <w:b w:val="0"/>
          <w:sz w:val="32"/>
        </w:rPr>
        <w:t>包括：办公费、电费、邮电费、物业管理费、租赁费、劳务费、工会经费、福利费。</w:t>
      </w:r>
    </w:p>
    <w:p w14:paraId="771CF7E9">
      <w:pPr>
        <w:spacing w:line="640" w:lineRule="exact"/>
        <w:ind w:firstLine="640"/>
        <w:jc w:val="both"/>
        <w:outlineLvl w:val="2"/>
      </w:pPr>
      <w:r>
        <w:rPr>
          <w:rFonts w:ascii="黑体" w:hAnsi="黑体" w:eastAsia="黑体"/>
          <w:sz w:val="32"/>
        </w:rPr>
        <w:t>七、政府性基金预算财政拨款收入支出决算情况说明</w:t>
      </w:r>
    </w:p>
    <w:p w14:paraId="1ABAC77B">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FD44104">
      <w:pPr>
        <w:spacing w:line="640" w:lineRule="exact"/>
        <w:ind w:firstLine="640"/>
        <w:jc w:val="both"/>
        <w:outlineLvl w:val="2"/>
      </w:pPr>
      <w:r>
        <w:rPr>
          <w:rFonts w:ascii="黑体" w:hAnsi="黑体" w:eastAsia="黑体"/>
          <w:sz w:val="32"/>
        </w:rPr>
        <w:t>八、国有资本经营预算财政拨款收入支出决算情况说明</w:t>
      </w:r>
    </w:p>
    <w:p w14:paraId="0829B91E">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B225345">
      <w:pPr>
        <w:spacing w:line="640" w:lineRule="exact"/>
        <w:ind w:firstLine="640"/>
        <w:jc w:val="both"/>
        <w:outlineLvl w:val="2"/>
      </w:pPr>
      <w:r>
        <w:rPr>
          <w:rFonts w:ascii="黑体" w:hAnsi="黑体" w:eastAsia="黑体"/>
          <w:sz w:val="32"/>
        </w:rPr>
        <w:t>九、财政拨款“三公”经费支出决算情况说明</w:t>
      </w:r>
    </w:p>
    <w:p w14:paraId="11D2FD50">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比上年减少0.12万元，下降100.00%，主要原因是：本年度未安</w:t>
      </w:r>
      <w:r>
        <w:rPr>
          <w:rFonts w:hint="eastAsia" w:ascii="仿宋_GB2312" w:hAnsi="仿宋_GB2312" w:eastAsia="仿宋_GB2312"/>
          <w:b w:val="0"/>
          <w:sz w:val="32"/>
          <w:lang w:eastAsia="zh-CN"/>
        </w:rPr>
        <w:t>排财</w:t>
      </w:r>
      <w:r>
        <w:rPr>
          <w:rFonts w:ascii="仿宋_GB2312" w:hAnsi="仿宋_GB2312" w:eastAsia="仿宋_GB2312"/>
          <w:b w:val="0"/>
          <w:sz w:val="32"/>
        </w:rPr>
        <w:t>政拨款“三公”经费支出。其中：因公出国（境）费支出0.00万元，占0.00%，比上年增加0.00万元，增长0.00%，主要原因是：2023年与2024年均未安排因公出国（境）费支出。公务用车购置及运行维护费支出0.00万元，占0.00%，比上年减少0.12万元，下降100.00%，主要原因是：本单位未安排公务用车运行维护费。公务接待费支出0.00万元，占0.00%，比上年增加0.00万元，增长0.00%，主要原因是：2023年与2024年均未安排公务接待费支出。</w:t>
      </w:r>
    </w:p>
    <w:p w14:paraId="5A824CF5">
      <w:pPr>
        <w:spacing w:line="580" w:lineRule="exact"/>
        <w:ind w:firstLine="640"/>
        <w:jc w:val="both"/>
      </w:pPr>
      <w:r>
        <w:rPr>
          <w:rFonts w:ascii="仿宋_GB2312" w:hAnsi="仿宋_GB2312" w:eastAsia="仿宋_GB2312"/>
          <w:b/>
          <w:sz w:val="32"/>
        </w:rPr>
        <w:t>具体情况如下：</w:t>
      </w:r>
    </w:p>
    <w:p w14:paraId="43B28200">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AAA9687">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09141103">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4980AB5">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72C1284F">
      <w:pPr>
        <w:spacing w:line="640" w:lineRule="exact"/>
        <w:ind w:firstLine="640"/>
        <w:jc w:val="both"/>
        <w:outlineLvl w:val="2"/>
      </w:pPr>
      <w:r>
        <w:rPr>
          <w:rFonts w:ascii="黑体" w:hAnsi="黑体" w:eastAsia="黑体"/>
          <w:sz w:val="32"/>
        </w:rPr>
        <w:t>十、其他重要事项的情况说明</w:t>
      </w:r>
    </w:p>
    <w:p w14:paraId="5BAF4764">
      <w:pPr>
        <w:spacing w:line="640" w:lineRule="exact"/>
        <w:ind w:firstLine="640"/>
        <w:jc w:val="both"/>
        <w:outlineLvl w:val="3"/>
      </w:pPr>
      <w:r>
        <w:rPr>
          <w:rFonts w:ascii="楷体_GB2312" w:hAnsi="楷体_GB2312" w:eastAsia="楷体_GB2312"/>
          <w:b/>
          <w:sz w:val="32"/>
        </w:rPr>
        <w:t>（一）机关运行经费及公用经费支出情况</w:t>
      </w:r>
    </w:p>
    <w:p w14:paraId="077DC7EB">
      <w:pPr>
        <w:spacing w:line="580" w:lineRule="exact"/>
        <w:ind w:firstLine="640"/>
        <w:jc w:val="both"/>
      </w:pPr>
      <w:r>
        <w:rPr>
          <w:rFonts w:ascii="仿宋_GB2312" w:hAnsi="仿宋_GB2312" w:eastAsia="仿宋_GB2312"/>
          <w:b w:val="0"/>
          <w:sz w:val="32"/>
        </w:rPr>
        <w:t>2024年度中国共产党霍城县委员会老干部局（行政单位和参照公务员法管理事业单位）机关运行经费支出4.65万元，比上年减少19.61万元，下降80.83%，主要原因是：本年减少老干部活动费，机关运行经费减少。</w:t>
      </w:r>
    </w:p>
    <w:p w14:paraId="1EB9E303">
      <w:pPr>
        <w:spacing w:line="640" w:lineRule="exact"/>
        <w:ind w:firstLine="640"/>
        <w:jc w:val="both"/>
        <w:outlineLvl w:val="3"/>
      </w:pPr>
      <w:r>
        <w:rPr>
          <w:rFonts w:ascii="楷体_GB2312" w:hAnsi="楷体_GB2312" w:eastAsia="楷体_GB2312"/>
          <w:b/>
          <w:sz w:val="32"/>
        </w:rPr>
        <w:t>（二）政府采购情况</w:t>
      </w:r>
    </w:p>
    <w:p w14:paraId="6156724A">
      <w:pPr>
        <w:spacing w:line="580" w:lineRule="exact"/>
        <w:ind w:firstLine="640"/>
        <w:jc w:val="both"/>
      </w:pPr>
      <w:r>
        <w:rPr>
          <w:rFonts w:ascii="仿宋_GB2312" w:hAnsi="仿宋_GB2312" w:eastAsia="仿宋_GB2312"/>
          <w:b w:val="0"/>
          <w:sz w:val="32"/>
        </w:rPr>
        <w:t>2024年度政府采购支出总额2.22万元，其中：政府采购货物支出2.22万元、政府采购工程支出0.00万元、政府采购服务支出0.00万元。</w:t>
      </w:r>
    </w:p>
    <w:p w14:paraId="6E32F604">
      <w:pPr>
        <w:spacing w:line="580" w:lineRule="exact"/>
        <w:ind w:firstLine="640"/>
        <w:jc w:val="both"/>
      </w:pPr>
      <w:r>
        <w:rPr>
          <w:rFonts w:ascii="仿宋_GB2312" w:hAnsi="仿宋_GB2312" w:eastAsia="仿宋_GB2312"/>
          <w:b w:val="0"/>
          <w:sz w:val="32"/>
        </w:rPr>
        <w:t>授予中小企业合同金额2.00万元，占政府采购支出总额的90.09%，其中：授予小微企业合同金额2.00万元，占政府采购支出总额的90.09%。</w:t>
      </w:r>
    </w:p>
    <w:p w14:paraId="579091D8">
      <w:pPr>
        <w:spacing w:line="640" w:lineRule="exact"/>
        <w:ind w:firstLine="640"/>
        <w:jc w:val="both"/>
        <w:outlineLvl w:val="3"/>
      </w:pPr>
      <w:r>
        <w:rPr>
          <w:rFonts w:ascii="楷体_GB2312" w:hAnsi="楷体_GB2312" w:eastAsia="楷体_GB2312"/>
          <w:b/>
          <w:sz w:val="32"/>
        </w:rPr>
        <w:t>（三）国有资产占用情况说明</w:t>
      </w:r>
    </w:p>
    <w:p w14:paraId="0CC44729">
      <w:pPr>
        <w:spacing w:line="580" w:lineRule="exact"/>
        <w:ind w:firstLine="640"/>
        <w:jc w:val="both"/>
      </w:pPr>
      <w:r>
        <w:rPr>
          <w:rFonts w:ascii="仿宋_GB2312" w:hAnsi="仿宋_GB2312" w:eastAsia="仿宋_GB2312"/>
          <w:b w:val="0"/>
          <w:sz w:val="32"/>
        </w:rPr>
        <w:t>截至2024年12月31日，房屋4,551.75平方米，价值998.38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60DB6383">
      <w:pPr>
        <w:spacing w:line="640" w:lineRule="exact"/>
        <w:ind w:firstLine="640"/>
        <w:jc w:val="both"/>
        <w:outlineLvl w:val="2"/>
      </w:pPr>
      <w:r>
        <w:rPr>
          <w:rFonts w:ascii="黑体" w:hAnsi="黑体" w:eastAsia="黑体"/>
          <w:sz w:val="32"/>
        </w:rPr>
        <w:t>十一、预算绩效的情况说明</w:t>
      </w:r>
    </w:p>
    <w:p w14:paraId="107994E2">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296.33万元，实际执行总额296.33万元；预算绩效评价项目2个，全年预算数46.78万元，全年执行数46.78万元。预算绩效管理取得的成效：一是本部门为加强预算管理，规范财务行为，已制定《霍城县人大预算绩效管理工作实施办法》《霍城县人大收支业务管理制度》《霍城县人大财务管理制度》等健全完整的各项管理制度，有效保障了我部门</w:t>
      </w:r>
      <w:r>
        <w:rPr>
          <w:rFonts w:hint="eastAsia" w:ascii="仿宋_GB2312" w:hAnsi="仿宋_GB2312" w:eastAsia="仿宋_GB2312"/>
          <w:b w:val="0"/>
          <w:sz w:val="32"/>
          <w:lang w:eastAsia="zh-CN"/>
        </w:rPr>
        <w:t>高效地</w:t>
      </w:r>
      <w:r>
        <w:rPr>
          <w:rFonts w:ascii="仿宋_GB2312" w:hAnsi="仿宋_GB2312" w:eastAsia="仿宋_GB2312"/>
          <w:b w:val="0"/>
          <w:sz w:val="32"/>
        </w:rPr>
        <w:t>履行工作职能，较</w:t>
      </w:r>
      <w:r>
        <w:rPr>
          <w:rFonts w:hint="eastAsia" w:ascii="仿宋_GB2312" w:hAnsi="仿宋_GB2312" w:eastAsia="仿宋_GB2312"/>
          <w:b w:val="0"/>
          <w:sz w:val="32"/>
          <w:lang w:eastAsia="zh-CN"/>
        </w:rPr>
        <w:t>好地</w:t>
      </w:r>
      <w:r>
        <w:rPr>
          <w:rFonts w:ascii="仿宋_GB2312" w:hAnsi="仿宋_GB2312" w:eastAsia="仿宋_GB2312"/>
          <w:b w:val="0"/>
          <w:sz w:val="32"/>
        </w:rPr>
        <w:t>促进事业发展；二是部门预算资金使用符合国家法规和财务管理制度；预算资金拨付有完整的审批程序和手续，符合项目预算批复或合同规定的用途；不存在截留、挤占、挪用、虚列支出等情况，确保我部门预算资金规范运行；三是部门预算资金使用符合国家法规和财务管理制度；预算资金拨付有完整的审批程序和手续，符合项目预算批复或合同规定的用途；不存在截留、挤占、挪用、虚列支出等情况，确保我部门预算资金规范运行。发现的问题及原因：一是绩效监控工作质量还有待提高。由于单位缺乏绩效综合知识专业人员和财务人员对绩效管理相关工作经验不足、业务水平较低导致该项工作总体质量不高，未能充分发挥绩效管理的导向作用。二是对绩效监控工作重视程度还有待进一步提高。因绩效管理工作是政策性较强的工作，绩效监控工作是其中的重要内容，做好绩效监控工作需要单位主要负责人的高度重视和对预算绩效监控工作政策的深入了解，这些方面还是做得不够到位。下一步改进措施：一是加强单位绩效管理，并明确各个负责人在绩效管理中的责任和要求，建立有效的相互制衡、激励奖惩的机制，充分调动整个绩效管理队伍的积极性，形成单位绩效管理人人参与、人人有责的良好氛围；二是提高财务人员素质是纠正绩效偏离的根本。单位绩效管理的成败根本因素在于单位成员素质的</w:t>
      </w:r>
      <w:r>
        <w:rPr>
          <w:rFonts w:hint="eastAsia" w:ascii="仿宋_GB2312" w:hAnsi="仿宋_GB2312" w:eastAsia="仿宋_GB2312"/>
          <w:b w:val="0"/>
          <w:sz w:val="32"/>
          <w:lang w:eastAsia="zh-CN"/>
        </w:rPr>
        <w:t>高低</w:t>
      </w:r>
      <w:r>
        <w:rPr>
          <w:rFonts w:ascii="仿宋_GB2312" w:hAnsi="仿宋_GB2312" w:eastAsia="仿宋_GB2312"/>
          <w:b w:val="0"/>
          <w:sz w:val="32"/>
        </w:rPr>
        <w:t>，尤其是财会人员。培训是提高财务人员素质的有效手段，通过培训使行政事业单位的会计人员政策法律意识不断增强，知识不断更新，技能不断提高，会计职业道德不断提升。有“能”才有“力”，只有财务人员素质提高了，其执行单位绩效的实际工作中，执行力和监督力才能不断增强。具体附整体支出绩效自评表，项目支出绩效自评表和评价报告。</w:t>
      </w:r>
    </w:p>
    <w:p w14:paraId="4DB4435C">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2B399BE2">
        <w:tblPrEx>
          <w:tblCellMar>
            <w:top w:w="0" w:type="dxa"/>
            <w:left w:w="108" w:type="dxa"/>
            <w:bottom w:w="0" w:type="dxa"/>
            <w:right w:w="108" w:type="dxa"/>
          </w:tblCellMar>
        </w:tblPrEx>
        <w:tc>
          <w:tcPr>
            <w:tcW w:w="8840" w:type="dxa"/>
            <w:gridSpan w:val="8"/>
            <w:vAlign w:val="center"/>
          </w:tcPr>
          <w:p w14:paraId="578B0CE0">
            <w:pPr>
              <w:jc w:val="center"/>
            </w:pPr>
            <w:r>
              <w:rPr>
                <w:rFonts w:ascii="宋体" w:hAnsi="宋体" w:eastAsia="宋体"/>
                <w:sz w:val="24"/>
              </w:rPr>
              <w:t>单位整体支出绩效自评表</w:t>
            </w:r>
          </w:p>
        </w:tc>
      </w:tr>
      <w:tr w14:paraId="3E6E154C">
        <w:tblPrEx>
          <w:tblCellMar>
            <w:top w:w="0" w:type="dxa"/>
            <w:left w:w="108" w:type="dxa"/>
            <w:bottom w:w="0" w:type="dxa"/>
            <w:right w:w="108" w:type="dxa"/>
          </w:tblCellMar>
        </w:tblPrEx>
        <w:tc>
          <w:tcPr>
            <w:tcW w:w="8840" w:type="dxa"/>
            <w:gridSpan w:val="8"/>
            <w:vAlign w:val="center"/>
          </w:tcPr>
          <w:p w14:paraId="313FB4B0">
            <w:pPr>
              <w:jc w:val="center"/>
            </w:pPr>
            <w:r>
              <w:rPr>
                <w:rFonts w:ascii="宋体" w:hAnsi="宋体" w:eastAsia="宋体"/>
                <w:sz w:val="24"/>
              </w:rPr>
              <w:t>（2024年度）</w:t>
            </w:r>
          </w:p>
        </w:tc>
      </w:tr>
      <w:tr w14:paraId="2F693F6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C7A66E">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9DA131">
            <w:pPr>
              <w:jc w:val="center"/>
            </w:pPr>
            <w:r>
              <w:rPr>
                <w:rFonts w:ascii="宋体" w:hAnsi="宋体" w:eastAsia="宋体"/>
                <w:sz w:val="16"/>
              </w:rPr>
              <w:t>中国共产党霍城县委员会老干部局</w:t>
            </w:r>
          </w:p>
        </w:tc>
      </w:tr>
      <w:tr w14:paraId="331DD9C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9F86FB">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C358B1">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07FA3B">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DD8043">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422C43">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88095B">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7D3BD3">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294AB0">
            <w:pPr>
              <w:jc w:val="center"/>
            </w:pPr>
            <w:r>
              <w:rPr>
                <w:rFonts w:ascii="宋体" w:hAnsi="宋体" w:eastAsia="宋体"/>
                <w:sz w:val="16"/>
              </w:rPr>
              <w:t>得分</w:t>
            </w:r>
          </w:p>
        </w:tc>
      </w:tr>
      <w:tr w14:paraId="19AC142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30E2F2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430268">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7CACAD">
            <w:pPr>
              <w:jc w:val="center"/>
            </w:pPr>
            <w:r>
              <w:rPr>
                <w:rFonts w:ascii="宋体" w:hAnsi="宋体" w:eastAsia="宋体"/>
                <w:sz w:val="16"/>
              </w:rPr>
              <w:t>213.70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56A7DD">
            <w:pPr>
              <w:jc w:val="center"/>
            </w:pPr>
            <w:r>
              <w:rPr>
                <w:rFonts w:ascii="宋体" w:hAnsi="宋体" w:eastAsia="宋体"/>
                <w:sz w:val="16"/>
              </w:rPr>
              <w:t>296.33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632182">
            <w:pPr>
              <w:jc w:val="center"/>
            </w:pPr>
            <w:r>
              <w:rPr>
                <w:rFonts w:ascii="宋体" w:hAnsi="宋体" w:eastAsia="宋体"/>
                <w:sz w:val="16"/>
              </w:rPr>
              <w:t>296.33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B2CAF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FBF36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5816A3">
            <w:pPr>
              <w:jc w:val="center"/>
            </w:pPr>
            <w:r>
              <w:rPr>
                <w:rFonts w:ascii="宋体" w:hAnsi="宋体" w:eastAsia="宋体"/>
                <w:sz w:val="16"/>
              </w:rPr>
              <w:t>10</w:t>
            </w:r>
          </w:p>
        </w:tc>
      </w:tr>
      <w:tr w14:paraId="714A7E2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F29C73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7AD575">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5974D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5C963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C8C4B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A805F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16F73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787B7C">
            <w:pPr>
              <w:jc w:val="center"/>
            </w:pPr>
            <w:r>
              <w:rPr>
                <w:rFonts w:ascii="宋体" w:hAnsi="宋体" w:eastAsia="宋体"/>
                <w:sz w:val="16"/>
              </w:rPr>
              <w:t>-</w:t>
            </w:r>
          </w:p>
        </w:tc>
      </w:tr>
      <w:tr w14:paraId="40327DD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3C08D2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451BD3">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1CF695">
            <w:pPr>
              <w:jc w:val="center"/>
            </w:pPr>
            <w:r>
              <w:rPr>
                <w:rFonts w:ascii="宋体" w:hAnsi="宋体" w:eastAsia="宋体"/>
                <w:sz w:val="16"/>
              </w:rPr>
              <w:t>213.70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5EE308">
            <w:pPr>
              <w:jc w:val="center"/>
            </w:pPr>
            <w:r>
              <w:rPr>
                <w:rFonts w:ascii="宋体" w:hAnsi="宋体" w:eastAsia="宋体"/>
                <w:sz w:val="16"/>
              </w:rPr>
              <w:t>251.49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4D72A2">
            <w:pPr>
              <w:jc w:val="center"/>
            </w:pPr>
            <w:r>
              <w:rPr>
                <w:rFonts w:ascii="宋体" w:hAnsi="宋体" w:eastAsia="宋体"/>
                <w:sz w:val="16"/>
              </w:rPr>
              <w:t>251.49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C0B61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0C8A8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D1BBC1">
            <w:pPr>
              <w:jc w:val="center"/>
            </w:pPr>
            <w:r>
              <w:rPr>
                <w:rFonts w:ascii="宋体" w:hAnsi="宋体" w:eastAsia="宋体"/>
                <w:sz w:val="16"/>
              </w:rPr>
              <w:t>-</w:t>
            </w:r>
          </w:p>
        </w:tc>
      </w:tr>
      <w:tr w14:paraId="1451FFF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442B43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FAB22C">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2F131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636A6B">
            <w:pPr>
              <w:jc w:val="center"/>
            </w:pPr>
            <w:r>
              <w:rPr>
                <w:rFonts w:ascii="宋体" w:hAnsi="宋体" w:eastAsia="宋体"/>
                <w:sz w:val="16"/>
              </w:rPr>
              <w:t>44.84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396877">
            <w:pPr>
              <w:jc w:val="center"/>
            </w:pPr>
            <w:r>
              <w:rPr>
                <w:rFonts w:ascii="宋体" w:hAnsi="宋体" w:eastAsia="宋体"/>
                <w:sz w:val="16"/>
              </w:rPr>
              <w:t>44.84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C8615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697B9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1BFA2B">
            <w:pPr>
              <w:jc w:val="center"/>
            </w:pPr>
            <w:r>
              <w:rPr>
                <w:rFonts w:ascii="宋体" w:hAnsi="宋体" w:eastAsia="宋体"/>
                <w:sz w:val="16"/>
              </w:rPr>
              <w:t>-</w:t>
            </w:r>
          </w:p>
        </w:tc>
      </w:tr>
      <w:tr w14:paraId="621BD94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C734F7">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83DB9B7">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D26F750">
            <w:pPr>
              <w:jc w:val="center"/>
            </w:pPr>
            <w:r>
              <w:rPr>
                <w:rFonts w:ascii="宋体" w:hAnsi="宋体" w:eastAsia="宋体"/>
                <w:sz w:val="16"/>
              </w:rPr>
              <w:t>实际完成情况</w:t>
            </w:r>
          </w:p>
        </w:tc>
      </w:tr>
      <w:tr w14:paraId="416A982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8A78ED0"/>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FBAC282">
            <w:pPr>
              <w:jc w:val="both"/>
            </w:pPr>
            <w:r>
              <w:rPr>
                <w:rFonts w:ascii="宋体" w:hAnsi="宋体" w:eastAsia="宋体"/>
                <w:sz w:val="16"/>
              </w:rPr>
              <w:t>深入贯彻落实习近平总书记关于老干部工作的重要论述，准确把握新时代老干部工作高质量发展新要求，一体推进离退休干部党的建设、发挥作用、服务管理和老干部工作部门自身建设，持续推动新时代老干部工作取得新成效。一是全面落实离退休干部“两项待遇”政策、“五必访”机制，用心用情服务老干部，让老干部充分感受到党和国家的关心关爱；二是聚焦深学细悟党的创新理论，切实抓好离退休干部思想政治建设。通过召开老干部通报会、座谈会、党课、参观考察、交流学习等形式抓好老干部思想政治教育，有力推动离退休干部党组织有形有效覆盖双提升；三是发挥老干部宣讲团专家团作用，组织开展基层宣讲、技术指导、文化下乡等活动为民服务；四是积极调动广大离退休干部优势作用，组织开展形式多样的各类系列活动，更好发挥“五老”作用，促进青少年茁壮成长；五是聚焦打造高素质专业化工作队伍，持续加强老干部工作部门自身建设，巩固深化在职干部全覆盖联系离休干部达到100%，推动老干部工作不断提高质量和水平。</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472477F">
            <w:pPr>
              <w:jc w:val="both"/>
            </w:pPr>
            <w:r>
              <w:rPr>
                <w:rFonts w:ascii="宋体" w:hAnsi="宋体" w:eastAsia="宋体"/>
                <w:sz w:val="16"/>
              </w:rPr>
              <w:t>通过对霍城县老干部活动中心活动场所及设施、办公环境进行维护，为老干部学习掌握党的路线、方针、政策,组织线上培训16期，开展理论学习、健康讲座、反诈骗宣传、医保政策解读10场次，专题党课4次，受教育老干部1493余人次</w:t>
            </w:r>
            <w:r>
              <w:rPr>
                <w:rFonts w:hint="eastAsia" w:ascii="宋体" w:hAnsi="宋体"/>
                <w:sz w:val="16"/>
                <w:lang w:eastAsia="zh-CN"/>
              </w:rPr>
              <w:t>；</w:t>
            </w:r>
            <w:r>
              <w:rPr>
                <w:rFonts w:ascii="宋体" w:hAnsi="宋体" w:eastAsia="宋体"/>
                <w:sz w:val="16"/>
              </w:rPr>
              <w:t>为老干部开展娱乐、休闲、健身等老年人活动,举办迎春茶话会、诗词朗诵、庆“三八”联谊会、庆祝重阳等活动7场次，不断丰富老干部精神文化生活需要；发挥“五老”人员</w:t>
            </w:r>
            <w:r>
              <w:rPr>
                <w:rFonts w:hint="eastAsia" w:ascii="宋体" w:hAnsi="宋体"/>
                <w:sz w:val="16"/>
                <w:lang w:eastAsia="zh-CN"/>
              </w:rPr>
              <w:t>优势</w:t>
            </w:r>
            <w:r>
              <w:rPr>
                <w:rFonts w:ascii="宋体" w:hAnsi="宋体" w:eastAsia="宋体"/>
                <w:sz w:val="16"/>
              </w:rPr>
              <w:t>，组织48名农林牧、教育、医疗卫生、公检法司等行业退休干部和年轻干部开展“一对一”帮带指导活动</w:t>
            </w:r>
            <w:r>
              <w:rPr>
                <w:rFonts w:hint="eastAsia" w:ascii="宋体" w:hAnsi="宋体"/>
                <w:sz w:val="16"/>
                <w:lang w:eastAsia="zh-CN"/>
              </w:rPr>
              <w:t>，全</w:t>
            </w:r>
            <w:r>
              <w:rPr>
                <w:rFonts w:ascii="宋体" w:hAnsi="宋体" w:eastAsia="宋体"/>
                <w:sz w:val="16"/>
              </w:rPr>
              <w:t>县各级关工委成员单位广泛开展“大手拉小手”、“把爱带回家-暖童心护成长”等关爱服务活动91场次。实现了老干部老有所乐、老有所学、老有所为，使老干部始终保持 “政治坚定、思想常新、理想永存”，为地方发展凝聚银发力量。</w:t>
            </w:r>
          </w:p>
        </w:tc>
      </w:tr>
      <w:tr w14:paraId="49326A6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91EEDB">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C8775F">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243D3A">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872A29">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89BE55">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2BB3EA">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2E1ECB">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9543C6">
            <w:pPr>
              <w:jc w:val="center"/>
            </w:pPr>
            <w:r>
              <w:rPr>
                <w:rFonts w:ascii="宋体" w:hAnsi="宋体" w:eastAsia="宋体"/>
                <w:sz w:val="16"/>
              </w:rPr>
              <w:t>得分</w:t>
            </w:r>
          </w:p>
        </w:tc>
      </w:tr>
      <w:tr w14:paraId="2990C60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B9DFF3">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5ABF42">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E0D57A">
            <w:pPr>
              <w:jc w:val="center"/>
            </w:pPr>
            <w:r>
              <w:rPr>
                <w:rFonts w:ascii="宋体" w:hAnsi="宋体" w:eastAsia="宋体"/>
                <w:sz w:val="16"/>
              </w:rPr>
              <w:t>组织老干部活动次数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59CD03">
            <w:pPr>
              <w:jc w:val="center"/>
            </w:pPr>
            <w:r>
              <w:rPr>
                <w:rFonts w:ascii="宋体" w:hAnsi="宋体" w:eastAsia="宋体"/>
                <w:sz w:val="16"/>
              </w:rPr>
              <w:t>&gt;=4次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E16D38">
            <w:pPr>
              <w:jc w:val="center"/>
            </w:pPr>
            <w:r>
              <w:rPr>
                <w:rFonts w:ascii="宋体" w:hAnsi="宋体" w:eastAsia="宋体"/>
                <w:sz w:val="16"/>
              </w:rPr>
              <w:t>霍城县委老干部局2024年工作计划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1E694C">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E4A0CB">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C8630B">
            <w:pPr>
              <w:jc w:val="center"/>
            </w:pPr>
            <w:r>
              <w:rPr>
                <w:rFonts w:ascii="宋体" w:hAnsi="宋体" w:eastAsia="宋体"/>
                <w:sz w:val="16"/>
              </w:rPr>
              <w:t>20</w:t>
            </w:r>
          </w:p>
        </w:tc>
      </w:tr>
      <w:tr w14:paraId="66D9403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DD058C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7A8B5D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C7ADD1">
            <w:pPr>
              <w:jc w:val="center"/>
            </w:pPr>
            <w:r>
              <w:rPr>
                <w:rFonts w:ascii="宋体" w:hAnsi="宋体" w:eastAsia="宋体"/>
                <w:sz w:val="16"/>
              </w:rPr>
              <w:t>老干部考察学习次数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DDEAB8">
            <w:pPr>
              <w:jc w:val="center"/>
            </w:pPr>
            <w:r>
              <w:rPr>
                <w:rFonts w:ascii="宋体" w:hAnsi="宋体" w:eastAsia="宋体"/>
                <w:sz w:val="16"/>
              </w:rPr>
              <w:t>&gt;=1次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ADBA8C">
            <w:pPr>
              <w:jc w:val="center"/>
            </w:pPr>
            <w:r>
              <w:rPr>
                <w:rFonts w:ascii="宋体" w:hAnsi="宋体" w:eastAsia="宋体"/>
                <w:sz w:val="16"/>
              </w:rPr>
              <w:t>霍城县委老干部局2024年工作计划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6D6C37">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6F8034">
            <w:pPr>
              <w:jc w:val="center"/>
            </w:pPr>
            <w:r>
              <w:rPr>
                <w:rFonts w:ascii="宋体" w:hAnsi="宋体" w:eastAsia="宋体"/>
                <w:sz w:val="16"/>
              </w:rPr>
              <w:t>1次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259F19">
            <w:pPr>
              <w:jc w:val="center"/>
            </w:pPr>
            <w:r>
              <w:rPr>
                <w:rFonts w:ascii="宋体" w:hAnsi="宋体" w:eastAsia="宋体"/>
                <w:sz w:val="16"/>
              </w:rPr>
              <w:t>20</w:t>
            </w:r>
          </w:p>
        </w:tc>
      </w:tr>
      <w:tr w14:paraId="3FF4FCE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3ACF5B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F948DB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727994">
            <w:pPr>
              <w:jc w:val="center"/>
            </w:pPr>
            <w:r>
              <w:rPr>
                <w:rFonts w:ascii="宋体" w:hAnsi="宋体" w:eastAsia="宋体"/>
                <w:sz w:val="16"/>
              </w:rPr>
              <w:t>组织老干部学习人次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EEE73E">
            <w:pPr>
              <w:jc w:val="center"/>
            </w:pPr>
            <w:r>
              <w:rPr>
                <w:rFonts w:ascii="宋体" w:hAnsi="宋体" w:eastAsia="宋体"/>
                <w:sz w:val="16"/>
              </w:rPr>
              <w:t>&gt;=400人次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F01143">
            <w:pPr>
              <w:jc w:val="center"/>
            </w:pPr>
            <w:r>
              <w:rPr>
                <w:rFonts w:ascii="宋体" w:hAnsi="宋体" w:eastAsia="宋体"/>
                <w:sz w:val="16"/>
              </w:rPr>
              <w:t>霍城县委老干部局2024年工作计划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FD8E5B">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EA1442">
            <w:pPr>
              <w:jc w:val="center"/>
            </w:pPr>
            <w:r>
              <w:rPr>
                <w:rFonts w:ascii="宋体" w:hAnsi="宋体" w:eastAsia="宋体"/>
                <w:sz w:val="16"/>
              </w:rPr>
              <w:t>400人/次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2CE8E5">
            <w:pPr>
              <w:jc w:val="center"/>
            </w:pPr>
            <w:r>
              <w:rPr>
                <w:rFonts w:ascii="宋体" w:hAnsi="宋体" w:eastAsia="宋体"/>
                <w:sz w:val="16"/>
              </w:rPr>
              <w:t>20</w:t>
            </w:r>
          </w:p>
        </w:tc>
      </w:tr>
      <w:tr w14:paraId="7730A76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0954D6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555195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9EFC1C">
            <w:pPr>
              <w:jc w:val="center"/>
            </w:pPr>
            <w:r>
              <w:rPr>
                <w:rFonts w:ascii="宋体" w:hAnsi="宋体" w:eastAsia="宋体"/>
                <w:sz w:val="16"/>
              </w:rPr>
              <w:t>走访慰问离休干部人次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B51D70">
            <w:pPr>
              <w:jc w:val="center"/>
            </w:pPr>
            <w:r>
              <w:rPr>
                <w:rFonts w:ascii="宋体" w:hAnsi="宋体" w:eastAsia="宋体"/>
                <w:sz w:val="16"/>
              </w:rPr>
              <w:t>&gt;=20人次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523B1F">
            <w:pPr>
              <w:jc w:val="center"/>
            </w:pPr>
            <w:r>
              <w:rPr>
                <w:rFonts w:ascii="宋体" w:hAnsi="宋体" w:eastAsia="宋体"/>
                <w:sz w:val="16"/>
              </w:rPr>
              <w:t>霍城县老干部24年工作计划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8FAC91">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6AEAF0">
            <w:pPr>
              <w:jc w:val="center"/>
            </w:pPr>
            <w:r>
              <w:rPr>
                <w:rFonts w:ascii="宋体" w:hAnsi="宋体" w:eastAsia="宋体"/>
                <w:sz w:val="16"/>
              </w:rPr>
              <w:t>20人/次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A70EA8">
            <w:pPr>
              <w:jc w:val="center"/>
            </w:pPr>
            <w:r>
              <w:rPr>
                <w:rFonts w:ascii="宋体" w:hAnsi="宋体" w:eastAsia="宋体"/>
                <w:sz w:val="16"/>
              </w:rPr>
              <w:t>15</w:t>
            </w:r>
          </w:p>
        </w:tc>
      </w:tr>
      <w:tr w14:paraId="2635889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0F9701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B33C4D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7373CC">
            <w:pPr>
              <w:jc w:val="center"/>
            </w:pPr>
            <w:r>
              <w:rPr>
                <w:rFonts w:ascii="宋体" w:hAnsi="宋体" w:eastAsia="宋体"/>
                <w:sz w:val="16"/>
              </w:rPr>
              <w:t>县乡老干部宣讲活动举办次数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987C67">
            <w:pPr>
              <w:jc w:val="center"/>
            </w:pPr>
            <w:r>
              <w:rPr>
                <w:rFonts w:ascii="宋体" w:hAnsi="宋体" w:eastAsia="宋体"/>
                <w:sz w:val="16"/>
              </w:rPr>
              <w:t>&gt;=40场次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D973CE">
            <w:pPr>
              <w:jc w:val="center"/>
            </w:pPr>
            <w:r>
              <w:rPr>
                <w:rFonts w:ascii="宋体" w:hAnsi="宋体" w:eastAsia="宋体"/>
                <w:sz w:val="16"/>
              </w:rPr>
              <w:t>霍城县委老干部局2024年工作计划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16C4DC">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A36192">
            <w:pPr>
              <w:jc w:val="center"/>
            </w:pPr>
            <w:r>
              <w:rPr>
                <w:rFonts w:ascii="宋体" w:hAnsi="宋体" w:eastAsia="宋体"/>
                <w:sz w:val="16"/>
              </w:rPr>
              <w:t>42场/次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196A0F">
            <w:pPr>
              <w:jc w:val="center"/>
            </w:pPr>
            <w:r>
              <w:rPr>
                <w:rFonts w:ascii="宋体" w:hAnsi="宋体" w:eastAsia="宋体"/>
                <w:sz w:val="16"/>
              </w:rPr>
              <w:t>15</w:t>
            </w:r>
          </w:p>
        </w:tc>
      </w:tr>
    </w:tbl>
    <w:p w14:paraId="7EB3B9BE">
      <w:r>
        <w:br w:type="page"/>
      </w:r>
    </w:p>
    <w:tbl>
      <w:tblPr>
        <w:tblStyle w:val="9"/>
        <w:tblW w:w="0" w:type="auto"/>
        <w:tblInd w:w="0" w:type="dxa"/>
        <w:tblLayout w:type="autofit"/>
        <w:tblCellMar>
          <w:top w:w="0" w:type="dxa"/>
          <w:left w:w="108" w:type="dxa"/>
          <w:bottom w:w="0" w:type="dxa"/>
          <w:right w:w="108" w:type="dxa"/>
        </w:tblCellMar>
      </w:tblPr>
      <w:tblGrid>
        <w:gridCol w:w="607"/>
        <w:gridCol w:w="564"/>
        <w:gridCol w:w="564"/>
        <w:gridCol w:w="564"/>
        <w:gridCol w:w="585"/>
        <w:gridCol w:w="936"/>
        <w:gridCol w:w="776"/>
        <w:gridCol w:w="776"/>
        <w:gridCol w:w="585"/>
        <w:gridCol w:w="564"/>
        <w:gridCol w:w="776"/>
        <w:gridCol w:w="568"/>
        <w:gridCol w:w="567"/>
        <w:gridCol w:w="628"/>
      </w:tblGrid>
      <w:tr w14:paraId="75F6A7CB">
        <w:tblPrEx>
          <w:tblCellMar>
            <w:top w:w="0" w:type="dxa"/>
            <w:left w:w="108" w:type="dxa"/>
            <w:bottom w:w="0" w:type="dxa"/>
            <w:right w:w="108" w:type="dxa"/>
          </w:tblCellMar>
        </w:tblPrEx>
        <w:tc>
          <w:tcPr>
            <w:tcW w:w="8848" w:type="dxa"/>
            <w:gridSpan w:val="14"/>
            <w:vAlign w:val="center"/>
          </w:tcPr>
          <w:p w14:paraId="0143DBF5">
            <w:pPr>
              <w:jc w:val="center"/>
            </w:pPr>
            <w:r>
              <w:rPr>
                <w:rFonts w:ascii="宋体" w:hAnsi="宋体" w:eastAsia="宋体"/>
                <w:sz w:val="24"/>
              </w:rPr>
              <w:t>项目支出绩效自评表</w:t>
            </w:r>
          </w:p>
        </w:tc>
      </w:tr>
      <w:tr w14:paraId="7C390207">
        <w:tblPrEx>
          <w:tblCellMar>
            <w:top w:w="0" w:type="dxa"/>
            <w:left w:w="108" w:type="dxa"/>
            <w:bottom w:w="0" w:type="dxa"/>
            <w:right w:w="108" w:type="dxa"/>
          </w:tblCellMar>
        </w:tblPrEx>
        <w:tc>
          <w:tcPr>
            <w:tcW w:w="8848" w:type="dxa"/>
            <w:gridSpan w:val="14"/>
            <w:vAlign w:val="center"/>
          </w:tcPr>
          <w:p w14:paraId="71A3FEDB">
            <w:pPr>
              <w:jc w:val="center"/>
            </w:pPr>
            <w:r>
              <w:rPr>
                <w:rFonts w:ascii="宋体" w:hAnsi="宋体" w:eastAsia="宋体"/>
                <w:sz w:val="24"/>
              </w:rPr>
              <w:t>(2024年度)</w:t>
            </w:r>
          </w:p>
        </w:tc>
      </w:tr>
      <w:tr w14:paraId="3725331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56D4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58E8BCF">
            <w:pPr>
              <w:jc w:val="center"/>
            </w:pPr>
            <w:r>
              <w:rPr>
                <w:rFonts w:ascii="宋体" w:hAnsi="宋体" w:eastAsia="宋体"/>
                <w:sz w:val="16"/>
              </w:rPr>
              <w:t>霍城县老干部活动费项目</w:t>
            </w:r>
          </w:p>
        </w:tc>
      </w:tr>
      <w:tr w14:paraId="6B6AFCD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1301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C3DFE2">
            <w:pPr>
              <w:jc w:val="center"/>
            </w:pPr>
            <w:r>
              <w:rPr>
                <w:rFonts w:ascii="宋体" w:hAnsi="宋体" w:eastAsia="宋体"/>
                <w:sz w:val="16"/>
              </w:rPr>
              <w:t>中国共产党霍城县委员会老干部局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EC05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9DCED9F">
            <w:pPr>
              <w:jc w:val="center"/>
            </w:pPr>
            <w:r>
              <w:rPr>
                <w:rFonts w:ascii="宋体" w:hAnsi="宋体" w:eastAsia="宋体"/>
                <w:sz w:val="16"/>
              </w:rPr>
              <w:t>中国共产党霍城县委员会老干部局</w:t>
            </w:r>
          </w:p>
        </w:tc>
      </w:tr>
      <w:tr w14:paraId="14146C8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4CC008">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E642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74132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ACC30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D44A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F6AF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32EB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24510">
            <w:pPr>
              <w:jc w:val="center"/>
            </w:pPr>
            <w:r>
              <w:rPr>
                <w:rFonts w:ascii="宋体" w:hAnsi="宋体" w:eastAsia="宋体"/>
                <w:sz w:val="16"/>
              </w:rPr>
              <w:t>得分</w:t>
            </w:r>
          </w:p>
        </w:tc>
      </w:tr>
      <w:tr w14:paraId="219712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41976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122FB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9E362">
            <w:pPr>
              <w:jc w:val="center"/>
            </w:pPr>
            <w:r>
              <w:rPr>
                <w:rFonts w:ascii="宋体" w:hAnsi="宋体" w:eastAsia="宋体"/>
                <w:sz w:val="16"/>
              </w:rPr>
              <w:t>28.00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51534">
            <w:pPr>
              <w:jc w:val="center"/>
            </w:pPr>
            <w:r>
              <w:rPr>
                <w:rFonts w:ascii="宋体" w:hAnsi="宋体" w:eastAsia="宋体"/>
                <w:sz w:val="16"/>
              </w:rPr>
              <w:t>28.00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1EE110">
            <w:pPr>
              <w:jc w:val="center"/>
            </w:pPr>
            <w:r>
              <w:rPr>
                <w:rFonts w:ascii="宋体" w:hAnsi="宋体" w:eastAsia="宋体"/>
                <w:sz w:val="16"/>
              </w:rPr>
              <w:t>28.00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4C16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69EC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ECC45">
            <w:pPr>
              <w:jc w:val="center"/>
            </w:pPr>
            <w:r>
              <w:rPr>
                <w:rFonts w:ascii="宋体" w:hAnsi="宋体" w:eastAsia="宋体"/>
                <w:sz w:val="16"/>
              </w:rPr>
              <w:t>10.00</w:t>
            </w:r>
          </w:p>
        </w:tc>
      </w:tr>
      <w:tr w14:paraId="56204C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9D822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1C93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3C7E96">
            <w:pPr>
              <w:jc w:val="center"/>
            </w:pPr>
            <w:r>
              <w:rPr>
                <w:rFonts w:ascii="宋体" w:hAnsi="宋体" w:eastAsia="宋体"/>
                <w:sz w:val="16"/>
              </w:rPr>
              <w:t>28.00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83EC8">
            <w:pPr>
              <w:jc w:val="center"/>
            </w:pPr>
            <w:r>
              <w:rPr>
                <w:rFonts w:ascii="宋体" w:hAnsi="宋体" w:eastAsia="宋体"/>
                <w:sz w:val="16"/>
              </w:rPr>
              <w:t>28.00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87166">
            <w:pPr>
              <w:jc w:val="center"/>
            </w:pPr>
            <w:r>
              <w:rPr>
                <w:rFonts w:ascii="宋体" w:hAnsi="宋体" w:eastAsia="宋体"/>
                <w:sz w:val="16"/>
              </w:rPr>
              <w:t>28.00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ACABC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2557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9EFEE">
            <w:pPr>
              <w:jc w:val="center"/>
            </w:pPr>
            <w:r>
              <w:rPr>
                <w:rFonts w:ascii="宋体" w:hAnsi="宋体" w:eastAsia="宋体"/>
                <w:sz w:val="16"/>
              </w:rPr>
              <w:t>—</w:t>
            </w:r>
          </w:p>
        </w:tc>
      </w:tr>
      <w:tr w14:paraId="2E96B9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28BF1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CAE5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8994D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5CB2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862AC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C2EC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C2DAE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DB32E">
            <w:pPr>
              <w:jc w:val="center"/>
            </w:pPr>
            <w:r>
              <w:rPr>
                <w:rFonts w:ascii="宋体" w:hAnsi="宋体" w:eastAsia="宋体"/>
                <w:sz w:val="16"/>
              </w:rPr>
              <w:t>—</w:t>
            </w:r>
          </w:p>
        </w:tc>
      </w:tr>
      <w:tr w14:paraId="75912A7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DE708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EB8E9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8695A07">
            <w:pPr>
              <w:jc w:val="center"/>
            </w:pPr>
            <w:r>
              <w:rPr>
                <w:rFonts w:ascii="宋体" w:hAnsi="宋体" w:eastAsia="宋体"/>
                <w:sz w:val="16"/>
              </w:rPr>
              <w:t>实际完成情况</w:t>
            </w:r>
          </w:p>
        </w:tc>
      </w:tr>
      <w:tr w14:paraId="6165B7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43318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5CFEA3">
            <w:pPr>
              <w:jc w:val="both"/>
            </w:pPr>
            <w:r>
              <w:rPr>
                <w:rFonts w:ascii="宋体" w:hAnsi="宋体" w:eastAsia="宋体"/>
                <w:sz w:val="16"/>
              </w:rPr>
              <w:t>通过对霍城县老干部活动中心活动场所及设施、办公环境进行维护，开展老干部活动,为老干部学习掌握党的路线、方针、政策搭建平台，为老干部开展娱乐、休闲、健身等老年人活动提供安全、舒适、宽松、优美的场所，不断满足老干部精神文化生活需要，实现老干部老有所乐、老有所学、老有所为，使老干部始终保持 “政治坚定、思想常新、理想永存”，在新形势下发挥独特优势、展示时代风采。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745F49">
            <w:pPr>
              <w:jc w:val="both"/>
            </w:pPr>
            <w:r>
              <w:rPr>
                <w:rFonts w:ascii="宋体" w:hAnsi="宋体" w:eastAsia="宋体"/>
                <w:sz w:val="16"/>
              </w:rPr>
              <w:t>完成对霍城县老干部活动中心活动场所及设施、办公环境进行维护，开展老干部学习掌握党的路线、方针、政策搭建平台，组织48名农林牧、教育、医疗卫生、公检法司等行业退休干部和年轻干部开展“一对一”帮带指导活动，县各级关工委成员单位广泛开展“大手拉小手”、“把爱带回家-暖童心护成长”等关爱服务活动7场次，161人；走访离休慰问12人次。实现了老干部老有所乐、老有所学、老有所为，使老干部始终保持 “政治坚定、思想常新、理想永存”，在新形势下发挥着他们独特优势。</w:t>
            </w:r>
          </w:p>
        </w:tc>
      </w:tr>
      <w:tr w14:paraId="54964E0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8B749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4668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55D7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D263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A5A3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C659E">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7011B">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10E5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30251">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DE4E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9D5A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BB0F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4C90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5101D">
            <w:pPr>
              <w:jc w:val="center"/>
            </w:pPr>
            <w:r>
              <w:rPr>
                <w:rFonts w:ascii="宋体" w:hAnsi="宋体" w:eastAsia="宋体"/>
                <w:sz w:val="16"/>
              </w:rPr>
              <w:t>偏差原因分析及改进措施</w:t>
            </w:r>
          </w:p>
        </w:tc>
      </w:tr>
      <w:tr w14:paraId="0CBB031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69EBA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ECAF5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CD6EF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467AF">
            <w:pPr>
              <w:jc w:val="center"/>
            </w:pPr>
            <w:r>
              <w:rPr>
                <w:rFonts w:ascii="宋体" w:hAnsi="宋体" w:eastAsia="宋体"/>
                <w:sz w:val="16"/>
              </w:rPr>
              <w:t>老干部活动人次数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54AD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1F3BF">
            <w:pPr>
              <w:jc w:val="center"/>
            </w:pPr>
            <w:r>
              <w:rPr>
                <w:rFonts w:ascii="宋体" w:hAnsi="宋体" w:eastAsia="宋体"/>
                <w:sz w:val="16"/>
              </w:rPr>
              <w:t>&gt;=150人次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0DEB8">
            <w:pPr>
              <w:jc w:val="center"/>
            </w:pPr>
            <w:r>
              <w:rPr>
                <w:rFonts w:ascii="宋体" w:hAnsi="宋体" w:eastAsia="宋体"/>
                <w:sz w:val="16"/>
              </w:rPr>
              <w:t>161人次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5F318">
            <w:pPr>
              <w:jc w:val="center"/>
            </w:pPr>
            <w:r>
              <w:rPr>
                <w:rFonts w:ascii="宋体" w:hAnsi="宋体" w:eastAsia="宋体"/>
                <w:sz w:val="16"/>
              </w:rPr>
              <w:t>107.33%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5E15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EDC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F6510">
            <w:pPr>
              <w:jc w:val="center"/>
            </w:pPr>
            <w:r>
              <w:rPr>
                <w:rFonts w:ascii="宋体" w:hAnsi="宋体" w:eastAsia="宋体"/>
                <w:sz w:val="16"/>
              </w:rPr>
              <w:t>150人次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006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F65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34D0B">
            <w:pPr>
              <w:jc w:val="center"/>
            </w:pPr>
            <w:r>
              <w:rPr>
                <w:rFonts w:ascii="宋体" w:hAnsi="宋体" w:eastAsia="宋体"/>
                <w:sz w:val="16"/>
              </w:rPr>
              <w:t>服务场所环境提升，参加人数增加。</w:t>
            </w:r>
          </w:p>
        </w:tc>
      </w:tr>
      <w:tr w14:paraId="16E09B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026F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C30A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669B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694E4">
            <w:pPr>
              <w:jc w:val="center"/>
            </w:pPr>
            <w:r>
              <w:rPr>
                <w:rFonts w:ascii="宋体" w:hAnsi="宋体" w:eastAsia="宋体"/>
                <w:sz w:val="16"/>
              </w:rPr>
              <w:t>组织开展老干部活动次数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1FF8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08EBB">
            <w:pPr>
              <w:jc w:val="center"/>
            </w:pPr>
            <w:r>
              <w:rPr>
                <w:rFonts w:ascii="宋体" w:hAnsi="宋体" w:eastAsia="宋体"/>
                <w:sz w:val="16"/>
              </w:rPr>
              <w:t>&gt;=7次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3B60C">
            <w:pPr>
              <w:jc w:val="center"/>
            </w:pPr>
            <w:r>
              <w:rPr>
                <w:rFonts w:ascii="宋体" w:hAnsi="宋体" w:eastAsia="宋体"/>
                <w:sz w:val="16"/>
              </w:rPr>
              <w:t>7次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F0A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EABD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DB5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8F0FF">
            <w:pPr>
              <w:jc w:val="center"/>
            </w:pPr>
            <w:r>
              <w:rPr>
                <w:rFonts w:ascii="宋体" w:hAnsi="宋体" w:eastAsia="宋体"/>
                <w:sz w:val="16"/>
              </w:rPr>
              <w: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1D3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509E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24FAE">
            <w:pPr>
              <w:jc w:val="center"/>
            </w:pPr>
          </w:p>
        </w:tc>
      </w:tr>
      <w:tr w14:paraId="444868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B6A5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2B55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1FF3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0D8D6">
            <w:pPr>
              <w:jc w:val="center"/>
            </w:pPr>
            <w:r>
              <w:rPr>
                <w:rFonts w:ascii="宋体" w:hAnsi="宋体" w:eastAsia="宋体"/>
                <w:sz w:val="16"/>
              </w:rPr>
              <w:t>走访离休干部人数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94DA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E7324">
            <w:pPr>
              <w:jc w:val="center"/>
            </w:pPr>
            <w:r>
              <w:rPr>
                <w:rFonts w:ascii="宋体" w:hAnsi="宋体" w:eastAsia="宋体"/>
                <w:sz w:val="16"/>
              </w:rPr>
              <w:t>&gt;=12次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128EB">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567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0E18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97B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E3F41">
            <w:pPr>
              <w:jc w:val="center"/>
            </w:pPr>
            <w:r>
              <w:rPr>
                <w:rFonts w:ascii="宋体" w:hAnsi="宋体" w:eastAsia="宋体"/>
                <w:sz w:val="16"/>
              </w:rPr>
              <w: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0B3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4505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E71D2">
            <w:pPr>
              <w:jc w:val="center"/>
            </w:pPr>
          </w:p>
        </w:tc>
      </w:tr>
      <w:tr w14:paraId="03FB3D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BDF1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725F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99A4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C9F85">
            <w:pPr>
              <w:jc w:val="center"/>
            </w:pPr>
            <w:r>
              <w:rPr>
                <w:rFonts w:ascii="宋体" w:hAnsi="宋体" w:eastAsia="宋体"/>
                <w:sz w:val="16"/>
              </w:rPr>
              <w:t>活动场所修缮建筑面积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94E0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A7451">
            <w:pPr>
              <w:jc w:val="center"/>
            </w:pPr>
            <w:r>
              <w:rPr>
                <w:rFonts w:ascii="宋体" w:hAnsi="宋体" w:eastAsia="宋体"/>
                <w:sz w:val="16"/>
              </w:rPr>
              <w:t>&gt;=4551.57平方米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CF6CE">
            <w:pPr>
              <w:jc w:val="center"/>
            </w:pPr>
            <w:r>
              <w:rPr>
                <w:rFonts w:ascii="宋体" w:hAnsi="宋体" w:eastAsia="宋体"/>
                <w:sz w:val="16"/>
              </w:rPr>
              <w:t>4551.57平方米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F75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65A1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826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EBF1F">
            <w:pPr>
              <w:jc w:val="center"/>
            </w:pPr>
            <w:r>
              <w:rPr>
                <w:rFonts w:ascii="宋体" w:hAnsi="宋体" w:eastAsia="宋体"/>
                <w:sz w:val="16"/>
              </w:rPr>
              <w:t>4551.57平方米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FBE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B15F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82AFA">
            <w:pPr>
              <w:jc w:val="center"/>
            </w:pPr>
          </w:p>
        </w:tc>
      </w:tr>
      <w:tr w14:paraId="0F087A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0BAF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03FAE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6C4F1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C5949">
            <w:pPr>
              <w:jc w:val="center"/>
            </w:pPr>
            <w:r>
              <w:rPr>
                <w:rFonts w:ascii="宋体" w:hAnsi="宋体" w:eastAsia="宋体"/>
                <w:sz w:val="16"/>
              </w:rPr>
              <w:t>老干部活动参与率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1CC9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8E08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E85E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097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C948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5A4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0F89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0BC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05C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15711">
            <w:pPr>
              <w:jc w:val="center"/>
            </w:pPr>
          </w:p>
        </w:tc>
      </w:tr>
      <w:tr w14:paraId="79A9C0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D98A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205C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42C9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F18E3">
            <w:pPr>
              <w:jc w:val="center"/>
            </w:pPr>
            <w:r>
              <w:rPr>
                <w:rFonts w:ascii="宋体" w:hAnsi="宋体" w:eastAsia="宋体"/>
                <w:sz w:val="16"/>
              </w:rPr>
              <w:t>走访离休干部覆盖率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7346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3921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7E6F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68C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B30D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74F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4861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4C5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CE88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52D64">
            <w:pPr>
              <w:jc w:val="center"/>
            </w:pPr>
          </w:p>
        </w:tc>
      </w:tr>
      <w:tr w14:paraId="0B5CCA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A29A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02D97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20C06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FC588">
            <w:pPr>
              <w:jc w:val="center"/>
            </w:pPr>
            <w:r>
              <w:rPr>
                <w:rFonts w:ascii="宋体" w:hAnsi="宋体" w:eastAsia="宋体"/>
                <w:sz w:val="16"/>
              </w:rPr>
              <w:t>开展老干部活动按时完成率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EEDD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3743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9693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4A5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9273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C8D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1DE8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FC9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0AD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7203C">
            <w:pPr>
              <w:jc w:val="center"/>
            </w:pPr>
          </w:p>
        </w:tc>
      </w:tr>
      <w:tr w14:paraId="1BBF08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C05E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F6B7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EE6D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8FAF4">
            <w:pPr>
              <w:jc w:val="center"/>
            </w:pPr>
            <w:r>
              <w:rPr>
                <w:rFonts w:ascii="宋体" w:hAnsi="宋体" w:eastAsia="宋体"/>
                <w:sz w:val="16"/>
              </w:rPr>
              <w:t>维修及暖气费支付及时率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2D64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7163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77B7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9A1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E922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267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88D7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32F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B3C4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9A1E3">
            <w:pPr>
              <w:jc w:val="center"/>
            </w:pPr>
          </w:p>
        </w:tc>
      </w:tr>
      <w:tr w14:paraId="11ED2C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F1829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E1C7C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A9DAD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65552">
            <w:pPr>
              <w:jc w:val="center"/>
            </w:pPr>
            <w:r>
              <w:rPr>
                <w:rFonts w:ascii="宋体" w:hAnsi="宋体" w:eastAsia="宋体"/>
                <w:sz w:val="16"/>
              </w:rPr>
              <w:t>暖气费用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9899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FB16B">
            <w:pPr>
              <w:jc w:val="center"/>
            </w:pPr>
            <w:r>
              <w:rPr>
                <w:rFonts w:ascii="宋体" w:hAnsi="宋体" w:eastAsia="宋体"/>
                <w:sz w:val="16"/>
              </w:rPr>
              <w:t>&lt;=8.56万元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73D48">
            <w:pPr>
              <w:jc w:val="center"/>
            </w:pPr>
            <w:r>
              <w:rPr>
                <w:rFonts w:ascii="宋体" w:hAnsi="宋体" w:eastAsia="宋体"/>
                <w:sz w:val="16"/>
              </w:rPr>
              <w:t>8.56万元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6DC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9B2F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1DB0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3D44E">
            <w:pPr>
              <w:jc w:val="center"/>
            </w:pPr>
            <w:r>
              <w:rPr>
                <w:rFonts w:ascii="宋体" w:hAnsi="宋体" w:eastAsia="宋体"/>
                <w:sz w:val="16"/>
              </w:rPr>
              <w:t>8.56万元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3CA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76C0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BF336">
            <w:pPr>
              <w:jc w:val="center"/>
            </w:pPr>
          </w:p>
        </w:tc>
      </w:tr>
      <w:tr w14:paraId="7BD3BA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4592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4905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2F79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D78A2">
            <w:pPr>
              <w:jc w:val="center"/>
            </w:pPr>
            <w:r>
              <w:rPr>
                <w:rFonts w:ascii="宋体" w:hAnsi="宋体" w:eastAsia="宋体"/>
                <w:sz w:val="16"/>
              </w:rPr>
              <w:t>活动中心运转及维修费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F8E2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7DE33">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AE150">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2B1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010B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E052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93961">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6CB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0E26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A2FCD">
            <w:pPr>
              <w:jc w:val="center"/>
            </w:pPr>
          </w:p>
        </w:tc>
      </w:tr>
      <w:tr w14:paraId="6417E3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E181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94B3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B4A0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48289">
            <w:pPr>
              <w:jc w:val="center"/>
            </w:pPr>
            <w:r>
              <w:rPr>
                <w:rFonts w:ascii="宋体" w:hAnsi="宋体" w:eastAsia="宋体"/>
                <w:sz w:val="16"/>
              </w:rPr>
              <w:t>开展老干部各项活动费用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9732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0A405">
            <w:pPr>
              <w:jc w:val="center"/>
            </w:pPr>
            <w:r>
              <w:rPr>
                <w:rFonts w:ascii="宋体" w:hAnsi="宋体" w:eastAsia="宋体"/>
                <w:sz w:val="16"/>
              </w:rPr>
              <w:t>&lt;=14.44万元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A7AE6">
            <w:pPr>
              <w:jc w:val="center"/>
            </w:pPr>
            <w:r>
              <w:rPr>
                <w:rFonts w:ascii="宋体" w:hAnsi="宋体" w:eastAsia="宋体"/>
                <w:sz w:val="16"/>
              </w:rPr>
              <w:t>14.44万元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A10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1B36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BA70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E571C">
            <w:pPr>
              <w:jc w:val="center"/>
            </w:pPr>
            <w:r>
              <w:rPr>
                <w:rFonts w:ascii="宋体" w:hAnsi="宋体" w:eastAsia="宋体"/>
                <w:sz w:val="16"/>
              </w:rPr>
              <w:t>11.44万元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E47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806C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CDCF1">
            <w:pPr>
              <w:jc w:val="center"/>
            </w:pPr>
          </w:p>
        </w:tc>
      </w:tr>
      <w:tr w14:paraId="701B4D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18A4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8A17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15D9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68C9E">
            <w:pPr>
              <w:jc w:val="center"/>
            </w:pPr>
            <w:r>
              <w:rPr>
                <w:rFonts w:ascii="宋体" w:hAnsi="宋体" w:eastAsia="宋体"/>
                <w:sz w:val="16"/>
              </w:rPr>
              <w:t>提高老干部幸福感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748C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1A135">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83C23">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045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00FB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3A2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AFED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B845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C41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1DD38">
            <w:pPr>
              <w:jc w:val="center"/>
            </w:pPr>
          </w:p>
        </w:tc>
      </w:tr>
      <w:tr w14:paraId="732E1B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70B8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AA5A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45AF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A0E1F">
            <w:pPr>
              <w:jc w:val="center"/>
            </w:pPr>
            <w:r>
              <w:rPr>
                <w:rFonts w:ascii="宋体" w:hAnsi="宋体" w:eastAsia="宋体"/>
                <w:sz w:val="16"/>
              </w:rPr>
              <w:t>活动参与人员满意度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BBE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2155C">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681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9D53A">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C976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679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2AD0B">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3CB7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C5C4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1A94B">
            <w:pPr>
              <w:jc w:val="center"/>
            </w:pPr>
            <w:r>
              <w:rPr>
                <w:rFonts w:ascii="宋体" w:hAnsi="宋体" w:eastAsia="宋体"/>
                <w:sz w:val="16"/>
              </w:rPr>
              <w:t>服务场所环境提升，参加人数增加。</w:t>
            </w:r>
          </w:p>
        </w:tc>
      </w:tr>
      <w:tr w14:paraId="4A98782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80120D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A71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A66ED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685F4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9675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A668E">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17AE4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1CB17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10D1A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6E526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C3757A"/>
        </w:tc>
      </w:tr>
    </w:tbl>
    <w:p w14:paraId="27656477">
      <w:r>
        <w:br w:type="page"/>
      </w:r>
    </w:p>
    <w:tbl>
      <w:tblPr>
        <w:tblStyle w:val="9"/>
        <w:tblW w:w="0" w:type="auto"/>
        <w:tblInd w:w="0" w:type="dxa"/>
        <w:tblLayout w:type="autofit"/>
        <w:tblCellMar>
          <w:top w:w="0" w:type="dxa"/>
          <w:left w:w="108" w:type="dxa"/>
          <w:bottom w:w="0" w:type="dxa"/>
          <w:right w:w="108" w:type="dxa"/>
        </w:tblCellMar>
      </w:tblPr>
      <w:tblGrid>
        <w:gridCol w:w="616"/>
        <w:gridCol w:w="588"/>
        <w:gridCol w:w="588"/>
        <w:gridCol w:w="588"/>
        <w:gridCol w:w="602"/>
        <w:gridCol w:w="1016"/>
        <w:gridCol w:w="856"/>
        <w:gridCol w:w="616"/>
        <w:gridCol w:w="602"/>
        <w:gridCol w:w="588"/>
        <w:gridCol w:w="588"/>
        <w:gridCol w:w="591"/>
        <w:gridCol w:w="591"/>
        <w:gridCol w:w="630"/>
      </w:tblGrid>
      <w:tr w14:paraId="16942045">
        <w:tblPrEx>
          <w:tblCellMar>
            <w:top w:w="0" w:type="dxa"/>
            <w:left w:w="108" w:type="dxa"/>
            <w:bottom w:w="0" w:type="dxa"/>
            <w:right w:w="108" w:type="dxa"/>
          </w:tblCellMar>
        </w:tblPrEx>
        <w:tc>
          <w:tcPr>
            <w:tcW w:w="8848" w:type="dxa"/>
            <w:gridSpan w:val="14"/>
            <w:vAlign w:val="center"/>
          </w:tcPr>
          <w:p w14:paraId="015C1297">
            <w:pPr>
              <w:jc w:val="center"/>
            </w:pPr>
            <w:r>
              <w:rPr>
                <w:rFonts w:ascii="宋体" w:hAnsi="宋体" w:eastAsia="宋体"/>
                <w:sz w:val="24"/>
              </w:rPr>
              <w:t>项目支出绩效自评表</w:t>
            </w:r>
          </w:p>
        </w:tc>
      </w:tr>
      <w:tr w14:paraId="38BA210B">
        <w:tblPrEx>
          <w:tblCellMar>
            <w:top w:w="0" w:type="dxa"/>
            <w:left w:w="108" w:type="dxa"/>
            <w:bottom w:w="0" w:type="dxa"/>
            <w:right w:w="108" w:type="dxa"/>
          </w:tblCellMar>
        </w:tblPrEx>
        <w:tc>
          <w:tcPr>
            <w:tcW w:w="8848" w:type="dxa"/>
            <w:gridSpan w:val="14"/>
            <w:vAlign w:val="center"/>
          </w:tcPr>
          <w:p w14:paraId="1BB171E3">
            <w:pPr>
              <w:jc w:val="center"/>
            </w:pPr>
            <w:r>
              <w:rPr>
                <w:rFonts w:ascii="宋体" w:hAnsi="宋体" w:eastAsia="宋体"/>
                <w:sz w:val="24"/>
              </w:rPr>
              <w:t>(2024年度)</w:t>
            </w:r>
          </w:p>
        </w:tc>
      </w:tr>
      <w:tr w14:paraId="3235CCB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FEA3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FE4265C">
            <w:pPr>
              <w:jc w:val="center"/>
            </w:pPr>
            <w:r>
              <w:rPr>
                <w:rFonts w:ascii="宋体" w:hAnsi="宋体" w:eastAsia="宋体"/>
                <w:sz w:val="16"/>
              </w:rPr>
              <w:t>霍城县老干部赴无锡、扬州交流交往(自有资金)</w:t>
            </w:r>
          </w:p>
        </w:tc>
      </w:tr>
      <w:tr w14:paraId="4B2E18C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FDAC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5E1CB9">
            <w:pPr>
              <w:jc w:val="center"/>
            </w:pPr>
            <w:r>
              <w:rPr>
                <w:rFonts w:ascii="宋体" w:hAnsi="宋体" w:eastAsia="宋体"/>
                <w:sz w:val="16"/>
              </w:rPr>
              <w:t>中国共产党霍城县委员会老干部局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7FD9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09C61CD">
            <w:pPr>
              <w:jc w:val="center"/>
            </w:pPr>
            <w:r>
              <w:rPr>
                <w:rFonts w:ascii="宋体" w:hAnsi="宋体" w:eastAsia="宋体"/>
                <w:sz w:val="16"/>
              </w:rPr>
              <w:t>中国共产党霍城县委员会老干部局</w:t>
            </w:r>
          </w:p>
        </w:tc>
      </w:tr>
      <w:tr w14:paraId="35C0C6F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D7A7B1">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A2398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7C03B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54A5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F17D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03D6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62A14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09964">
            <w:pPr>
              <w:jc w:val="center"/>
            </w:pPr>
            <w:r>
              <w:rPr>
                <w:rFonts w:ascii="宋体" w:hAnsi="宋体" w:eastAsia="宋体"/>
                <w:sz w:val="16"/>
              </w:rPr>
              <w:t>得分</w:t>
            </w:r>
          </w:p>
        </w:tc>
      </w:tr>
      <w:tr w14:paraId="2A4828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CD4CE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F0588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E1A0D1">
            <w:pPr>
              <w:jc w:val="center"/>
            </w:pPr>
            <w:r>
              <w:rPr>
                <w:rFonts w:ascii="宋体" w:hAnsi="宋体" w:eastAsia="宋体"/>
                <w:sz w:val="16"/>
              </w:rPr>
              <w:t>18.78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6F7E6">
            <w:pPr>
              <w:jc w:val="center"/>
            </w:pPr>
            <w:r>
              <w:rPr>
                <w:rFonts w:ascii="宋体" w:hAnsi="宋体" w:eastAsia="宋体"/>
                <w:sz w:val="16"/>
              </w:rPr>
              <w:t>18.78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69F81">
            <w:pPr>
              <w:jc w:val="center"/>
            </w:pPr>
            <w:r>
              <w:rPr>
                <w:rFonts w:ascii="宋体" w:hAnsi="宋体" w:eastAsia="宋体"/>
                <w:sz w:val="16"/>
              </w:rPr>
              <w:t>18.78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8E50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B90F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17CAC">
            <w:pPr>
              <w:jc w:val="center"/>
            </w:pPr>
            <w:r>
              <w:rPr>
                <w:rFonts w:ascii="宋体" w:hAnsi="宋体" w:eastAsia="宋体"/>
                <w:sz w:val="16"/>
              </w:rPr>
              <w:t>10.00</w:t>
            </w:r>
          </w:p>
        </w:tc>
      </w:tr>
      <w:tr w14:paraId="66CA46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B68A0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992A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44DE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4105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5614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2651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C6C7B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24A8B">
            <w:pPr>
              <w:jc w:val="center"/>
            </w:pPr>
            <w:r>
              <w:rPr>
                <w:rFonts w:ascii="宋体" w:hAnsi="宋体" w:eastAsia="宋体"/>
                <w:sz w:val="16"/>
              </w:rPr>
              <w:t>—</w:t>
            </w:r>
          </w:p>
        </w:tc>
      </w:tr>
      <w:tr w14:paraId="671F2B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82EF4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1914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A5C20">
            <w:pPr>
              <w:jc w:val="center"/>
            </w:pPr>
            <w:r>
              <w:rPr>
                <w:rFonts w:ascii="宋体" w:hAnsi="宋体" w:eastAsia="宋体"/>
                <w:sz w:val="16"/>
              </w:rPr>
              <w:t>18.78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D4B70B">
            <w:pPr>
              <w:jc w:val="center"/>
            </w:pPr>
            <w:r>
              <w:rPr>
                <w:rFonts w:ascii="宋体" w:hAnsi="宋体" w:eastAsia="宋体"/>
                <w:sz w:val="16"/>
              </w:rPr>
              <w:t>18.78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724DC">
            <w:pPr>
              <w:jc w:val="center"/>
            </w:pPr>
            <w:r>
              <w:rPr>
                <w:rFonts w:ascii="宋体" w:hAnsi="宋体" w:eastAsia="宋体"/>
                <w:sz w:val="16"/>
              </w:rPr>
              <w:t>18.78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68CC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89B2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F8952">
            <w:pPr>
              <w:jc w:val="center"/>
            </w:pPr>
            <w:r>
              <w:rPr>
                <w:rFonts w:ascii="宋体" w:hAnsi="宋体" w:eastAsia="宋体"/>
                <w:sz w:val="16"/>
              </w:rPr>
              <w:t>—</w:t>
            </w:r>
          </w:p>
        </w:tc>
      </w:tr>
      <w:tr w14:paraId="5A83EE4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B35705">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898A8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93358C">
            <w:pPr>
              <w:jc w:val="center"/>
            </w:pPr>
            <w:r>
              <w:rPr>
                <w:rFonts w:ascii="宋体" w:hAnsi="宋体" w:eastAsia="宋体"/>
                <w:sz w:val="16"/>
              </w:rPr>
              <w:t>实际完成情况</w:t>
            </w:r>
          </w:p>
        </w:tc>
      </w:tr>
      <w:tr w14:paraId="02C84F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D6324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E22C83">
            <w:pPr>
              <w:jc w:val="both"/>
            </w:pPr>
            <w:r>
              <w:rPr>
                <w:rFonts w:ascii="宋体" w:hAnsi="宋体" w:eastAsia="宋体"/>
                <w:sz w:val="16"/>
              </w:rPr>
              <w:t>进一步落实好老干部的政治待遇，丰富老干部精神文化生活，继续为建设社会主义现代化幸福美丽霍城持续建好言、献好策。组织20名老干部赴江苏省无锡市、扬州市等地，深入学习宣传20多年来江苏产业援疆、文化援疆、教育医疗援疆、干部人才援疆等方面政策规划、成果成效，重温两地交流发展情况。</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01401E">
            <w:pPr>
              <w:jc w:val="both"/>
            </w:pPr>
            <w:r>
              <w:rPr>
                <w:rFonts w:ascii="宋体" w:hAnsi="宋体" w:eastAsia="宋体"/>
                <w:sz w:val="16"/>
              </w:rPr>
              <w:t>通过学习考察无锡市、江阴市、扬州市的典型经验、明确差距短板，进一步拓宽工作思路、激发奋进力量，有效提升了霍城县老干部工作队伍的硬实力与战斗力。老同志们一致表示，将始终保持离岗不离党、退休不褪色的政治本色，继续发挥自身优势和作用，主动担当作为，努力建言献策，讲好新时代新疆故事、讲好新征程援疆故事，为伊犁，霍城高质量发展积极贡献“银发”力量。</w:t>
            </w:r>
          </w:p>
        </w:tc>
      </w:tr>
      <w:tr w14:paraId="41C90FD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33516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2BE2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3F89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EF53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A806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39D60">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82995">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21D1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60FDA">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9AE9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2096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E9DA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6C15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8000E">
            <w:pPr>
              <w:jc w:val="center"/>
            </w:pPr>
            <w:r>
              <w:rPr>
                <w:rFonts w:ascii="宋体" w:hAnsi="宋体" w:eastAsia="宋体"/>
                <w:sz w:val="16"/>
              </w:rPr>
              <w:t>偏差原因分析及改进措施</w:t>
            </w:r>
          </w:p>
        </w:tc>
      </w:tr>
      <w:tr w14:paraId="6CDA1DB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91993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CD320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D11C7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EF20A">
            <w:pPr>
              <w:jc w:val="center"/>
            </w:pPr>
            <w:r>
              <w:rPr>
                <w:rFonts w:ascii="宋体" w:hAnsi="宋体" w:eastAsia="宋体"/>
                <w:sz w:val="16"/>
              </w:rPr>
              <w:t>交流交往人数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3E16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B608D">
            <w:pPr>
              <w:jc w:val="center"/>
            </w:pPr>
            <w:r>
              <w:rPr>
                <w:rFonts w:ascii="宋体" w:hAnsi="宋体" w:eastAsia="宋体"/>
                <w:sz w:val="16"/>
              </w:rPr>
              <w:t>=17人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86915">
            <w:pPr>
              <w:jc w:val="center"/>
            </w:pPr>
            <w:r>
              <w:rPr>
                <w:rFonts w:ascii="宋体" w:hAnsi="宋体" w:eastAsia="宋体"/>
                <w:sz w:val="16"/>
              </w:rPr>
              <w:t>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07C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78A6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05D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3C3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E4E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F57B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76B05">
            <w:pPr>
              <w:jc w:val="center"/>
            </w:pPr>
          </w:p>
        </w:tc>
      </w:tr>
      <w:tr w14:paraId="7C2E17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D453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8E96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A049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56A00">
            <w:pPr>
              <w:jc w:val="center"/>
            </w:pPr>
            <w:r>
              <w:rPr>
                <w:rFonts w:ascii="宋体" w:hAnsi="宋体" w:eastAsia="宋体"/>
                <w:sz w:val="16"/>
              </w:rPr>
              <w:t>交流交往次数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0171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8235E">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480CB">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96A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44B8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0B7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CE16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B60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0B0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B17BD">
            <w:pPr>
              <w:jc w:val="center"/>
            </w:pPr>
          </w:p>
        </w:tc>
      </w:tr>
      <w:tr w14:paraId="7A98BE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A46A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774F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3BC2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CF4E9">
            <w:pPr>
              <w:jc w:val="center"/>
            </w:pPr>
            <w:r>
              <w:rPr>
                <w:rFonts w:ascii="宋体" w:hAnsi="宋体" w:eastAsia="宋体"/>
                <w:sz w:val="16"/>
              </w:rPr>
              <w:t>交流交往天数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AB81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84494">
            <w:pPr>
              <w:jc w:val="center"/>
            </w:pPr>
            <w:r>
              <w:rPr>
                <w:rFonts w:ascii="宋体" w:hAnsi="宋体" w:eastAsia="宋体"/>
                <w:sz w:val="16"/>
              </w:rPr>
              <w:t>&gt;=7天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76C6B">
            <w:pPr>
              <w:jc w:val="center"/>
            </w:pPr>
            <w:r>
              <w:rPr>
                <w:rFonts w:ascii="宋体" w:hAnsi="宋体" w:eastAsia="宋体"/>
                <w:sz w:val="16"/>
              </w:rPr>
              <w:t>7天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695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ABAD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8BB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EE47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3D1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289F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E00F7">
            <w:pPr>
              <w:jc w:val="center"/>
            </w:pPr>
          </w:p>
        </w:tc>
      </w:tr>
      <w:tr w14:paraId="657AE7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AB7F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E8F2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A60E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1862C">
            <w:pPr>
              <w:jc w:val="center"/>
            </w:pPr>
            <w:r>
              <w:rPr>
                <w:rFonts w:ascii="宋体" w:hAnsi="宋体" w:eastAsia="宋体"/>
                <w:sz w:val="16"/>
              </w:rPr>
              <w:t>人员交流交往出席率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79E0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1BEE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4A04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B53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283C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D20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014A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10D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5E01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DCD24">
            <w:pPr>
              <w:jc w:val="center"/>
            </w:pPr>
          </w:p>
        </w:tc>
      </w:tr>
      <w:tr w14:paraId="2CDF27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9D75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0199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C5F0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C6039">
            <w:pPr>
              <w:jc w:val="center"/>
            </w:pPr>
            <w:r>
              <w:rPr>
                <w:rFonts w:ascii="宋体" w:hAnsi="宋体" w:eastAsia="宋体"/>
                <w:sz w:val="16"/>
              </w:rPr>
              <w:t>交流活动完成及时率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C39A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5FD2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C84E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A44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0EBF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8BF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EEE9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054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2FF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E90CC">
            <w:pPr>
              <w:jc w:val="center"/>
            </w:pPr>
          </w:p>
        </w:tc>
      </w:tr>
      <w:tr w14:paraId="308F1F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69A45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D9FB4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A04FB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A361F">
            <w:pPr>
              <w:jc w:val="center"/>
            </w:pPr>
            <w:r>
              <w:rPr>
                <w:rFonts w:ascii="宋体" w:hAnsi="宋体" w:eastAsia="宋体"/>
                <w:sz w:val="16"/>
              </w:rPr>
              <w:t>交流交往食宿支出成本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F6B8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1B248">
            <w:pPr>
              <w:jc w:val="center"/>
            </w:pPr>
            <w:r>
              <w:rPr>
                <w:rFonts w:ascii="宋体" w:hAnsi="宋体" w:eastAsia="宋体"/>
                <w:sz w:val="16"/>
              </w:rPr>
              <w:t>&lt;=49669元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7264C">
            <w:pPr>
              <w:jc w:val="center"/>
            </w:pPr>
            <w:r>
              <w:rPr>
                <w:rFonts w:ascii="宋体" w:hAnsi="宋体" w:eastAsia="宋体"/>
                <w:sz w:val="16"/>
              </w:rPr>
              <w:t>49669元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975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1C85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1D1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FA0A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A06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EEE8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2EA17">
            <w:pPr>
              <w:jc w:val="center"/>
            </w:pPr>
          </w:p>
        </w:tc>
      </w:tr>
      <w:tr w14:paraId="2EF734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C355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CEFB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919D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D2A4F">
            <w:pPr>
              <w:jc w:val="center"/>
            </w:pPr>
            <w:r>
              <w:rPr>
                <w:rFonts w:ascii="宋体" w:hAnsi="宋体" w:eastAsia="宋体"/>
                <w:sz w:val="16"/>
              </w:rPr>
              <w:t>交流交往往返机票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B163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BB846">
            <w:pPr>
              <w:jc w:val="center"/>
            </w:pPr>
            <w:r>
              <w:rPr>
                <w:rFonts w:ascii="宋体" w:hAnsi="宋体" w:eastAsia="宋体"/>
                <w:sz w:val="16"/>
              </w:rPr>
              <w:t>&lt;=118821元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9859A">
            <w:pPr>
              <w:jc w:val="center"/>
            </w:pPr>
            <w:r>
              <w:rPr>
                <w:rFonts w:ascii="宋体" w:hAnsi="宋体" w:eastAsia="宋体"/>
                <w:sz w:val="16"/>
              </w:rPr>
              <w:t>118821元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C32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8AFB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F62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0889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F9B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1567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3E857">
            <w:pPr>
              <w:jc w:val="center"/>
            </w:pPr>
          </w:p>
        </w:tc>
      </w:tr>
      <w:tr w14:paraId="13F6DC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C9E3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3ABB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A7CB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EC6C1">
            <w:pPr>
              <w:jc w:val="center"/>
            </w:pPr>
            <w:r>
              <w:rPr>
                <w:rFonts w:ascii="宋体" w:hAnsi="宋体" w:eastAsia="宋体"/>
                <w:sz w:val="16"/>
              </w:rPr>
              <w:t>交流交往保险费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9F6F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42077">
            <w:pPr>
              <w:jc w:val="center"/>
            </w:pPr>
            <w:r>
              <w:rPr>
                <w:rFonts w:ascii="宋体" w:hAnsi="宋体" w:eastAsia="宋体"/>
                <w:sz w:val="16"/>
              </w:rPr>
              <w:t>&lt;=1800元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C417B">
            <w:pPr>
              <w:jc w:val="center"/>
            </w:pPr>
            <w:r>
              <w:rPr>
                <w:rFonts w:ascii="宋体" w:hAnsi="宋体" w:eastAsia="宋体"/>
                <w:sz w:val="16"/>
              </w:rPr>
              <w:t>1800元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0FC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82EB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D40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FCFE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4AE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E20A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BAB92">
            <w:pPr>
              <w:jc w:val="center"/>
            </w:pPr>
          </w:p>
        </w:tc>
      </w:tr>
      <w:tr w14:paraId="0FEEF7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5FBB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AC53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4AF8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B09F2">
            <w:pPr>
              <w:jc w:val="center"/>
            </w:pPr>
            <w:r>
              <w:rPr>
                <w:rFonts w:ascii="宋体" w:hAnsi="宋体" w:eastAsia="宋体"/>
                <w:sz w:val="16"/>
              </w:rPr>
              <w:t>交流交往学习其他成本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3CB2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0D278">
            <w:pPr>
              <w:jc w:val="center"/>
            </w:pPr>
            <w:r>
              <w:rPr>
                <w:rFonts w:ascii="宋体" w:hAnsi="宋体" w:eastAsia="宋体"/>
                <w:sz w:val="16"/>
              </w:rPr>
              <w:t>&lt;=17461.63元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F75AA">
            <w:pPr>
              <w:jc w:val="center"/>
            </w:pPr>
            <w:r>
              <w:rPr>
                <w:rFonts w:ascii="宋体" w:hAnsi="宋体" w:eastAsia="宋体"/>
                <w:sz w:val="16"/>
              </w:rPr>
              <w:t>17461.63元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C7D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7B92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E0A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6BF7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B82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4033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DF040">
            <w:pPr>
              <w:jc w:val="center"/>
            </w:pPr>
          </w:p>
        </w:tc>
      </w:tr>
      <w:tr w14:paraId="295FAC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40DB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30B8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B8B9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B887E">
            <w:pPr>
              <w:jc w:val="center"/>
            </w:pPr>
            <w:r>
              <w:rPr>
                <w:rFonts w:ascii="宋体" w:hAnsi="宋体" w:eastAsia="宋体"/>
                <w:sz w:val="16"/>
              </w:rPr>
              <w:t>提升老干部建言献策的能力水平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D816A">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34C8E">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EE7CE">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6E4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19071">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6B3D1">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43B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5EFC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41B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B52E5">
            <w:pPr>
              <w:jc w:val="center"/>
            </w:pPr>
          </w:p>
        </w:tc>
      </w:tr>
      <w:tr w14:paraId="6633E0B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CC10D7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D1B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B39EF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9B663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ABA4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40B1B">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740AC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E652D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85D6C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FBA83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F829AF"/>
        </w:tc>
      </w:tr>
    </w:tbl>
    <w:p w14:paraId="070C8EB1">
      <w:r>
        <w:br w:type="page"/>
      </w:r>
    </w:p>
    <w:p w14:paraId="5AB8418F">
      <w:pPr>
        <w:spacing w:line="640" w:lineRule="exact"/>
        <w:ind w:firstLine="640"/>
        <w:jc w:val="both"/>
        <w:outlineLvl w:val="2"/>
      </w:pPr>
      <w:r>
        <w:rPr>
          <w:rFonts w:ascii="黑体" w:hAnsi="黑体" w:eastAsia="黑体"/>
          <w:sz w:val="32"/>
        </w:rPr>
        <w:t>十二、其他需说明的事项</w:t>
      </w:r>
    </w:p>
    <w:p w14:paraId="1EDA574A">
      <w:pPr>
        <w:spacing w:line="580" w:lineRule="exact"/>
        <w:ind w:firstLine="640"/>
        <w:jc w:val="both"/>
      </w:pPr>
      <w:r>
        <w:rPr>
          <w:rFonts w:ascii="仿宋_GB2312" w:hAnsi="仿宋_GB2312" w:eastAsia="仿宋_GB2312"/>
          <w:b w:val="0"/>
          <w:sz w:val="32"/>
        </w:rPr>
        <w:t>本单位无其他需说明的事项。</w:t>
      </w:r>
    </w:p>
    <w:p w14:paraId="4DA90B05">
      <w:r>
        <w:br w:type="page"/>
      </w:r>
    </w:p>
    <w:p w14:paraId="197870BE">
      <w:pPr>
        <w:spacing w:line="240" w:lineRule="auto"/>
        <w:jc w:val="center"/>
        <w:outlineLvl w:val="1"/>
      </w:pPr>
      <w:r>
        <w:rPr>
          <w:rFonts w:ascii="黑体" w:hAnsi="黑体" w:eastAsia="黑体"/>
          <w:sz w:val="32"/>
        </w:rPr>
        <w:t>第三部分 专业名词解释</w:t>
      </w:r>
    </w:p>
    <w:p w14:paraId="271D3717">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E84FA48">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458C97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7EB3532">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2D68282">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73938F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C228E2B">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F2685DD">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A5BA98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B7F69D3">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9CF2F36">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3C182F5">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E4B915A">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85F158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F8E4F05">
      <w:r>
        <w:br w:type="page"/>
      </w:r>
    </w:p>
    <w:p w14:paraId="703EB27E">
      <w:pPr>
        <w:spacing w:line="240" w:lineRule="auto"/>
        <w:jc w:val="center"/>
        <w:outlineLvl w:val="1"/>
      </w:pPr>
      <w:r>
        <w:rPr>
          <w:rFonts w:ascii="黑体" w:hAnsi="黑体" w:eastAsia="黑体"/>
          <w:sz w:val="32"/>
        </w:rPr>
        <w:t>第四部分 部门决算报表（见附表）</w:t>
      </w:r>
    </w:p>
    <w:p w14:paraId="59E73909">
      <w:pPr>
        <w:spacing w:line="240" w:lineRule="auto"/>
        <w:ind w:firstLine="640"/>
        <w:jc w:val="both"/>
      </w:pPr>
      <w:r>
        <w:rPr>
          <w:rFonts w:ascii="仿宋_GB2312" w:hAnsi="仿宋_GB2312" w:eastAsia="仿宋_GB2312"/>
          <w:b w:val="0"/>
          <w:sz w:val="32"/>
        </w:rPr>
        <w:t>一、《收入支出决算总表》</w:t>
      </w:r>
    </w:p>
    <w:p w14:paraId="6A2A8139">
      <w:pPr>
        <w:spacing w:line="240" w:lineRule="auto"/>
        <w:ind w:firstLine="640"/>
        <w:jc w:val="both"/>
      </w:pPr>
      <w:r>
        <w:rPr>
          <w:rFonts w:ascii="仿宋_GB2312" w:hAnsi="仿宋_GB2312" w:eastAsia="仿宋_GB2312"/>
          <w:b w:val="0"/>
          <w:sz w:val="32"/>
        </w:rPr>
        <w:t>二、《收入决算表》</w:t>
      </w:r>
    </w:p>
    <w:p w14:paraId="286BBA27">
      <w:pPr>
        <w:spacing w:line="240" w:lineRule="auto"/>
        <w:ind w:firstLine="640"/>
        <w:jc w:val="both"/>
      </w:pPr>
      <w:r>
        <w:rPr>
          <w:rFonts w:ascii="仿宋_GB2312" w:hAnsi="仿宋_GB2312" w:eastAsia="仿宋_GB2312"/>
          <w:b w:val="0"/>
          <w:sz w:val="32"/>
        </w:rPr>
        <w:t>三、《支出决算表》</w:t>
      </w:r>
    </w:p>
    <w:p w14:paraId="274A1103">
      <w:pPr>
        <w:spacing w:line="240" w:lineRule="auto"/>
        <w:ind w:firstLine="640"/>
        <w:jc w:val="both"/>
      </w:pPr>
      <w:r>
        <w:rPr>
          <w:rFonts w:ascii="仿宋_GB2312" w:hAnsi="仿宋_GB2312" w:eastAsia="仿宋_GB2312"/>
          <w:b w:val="0"/>
          <w:sz w:val="32"/>
        </w:rPr>
        <w:t>四、《财政拨款收入支出决算总表》</w:t>
      </w:r>
    </w:p>
    <w:p w14:paraId="16AE9AB1">
      <w:pPr>
        <w:spacing w:line="240" w:lineRule="auto"/>
        <w:ind w:firstLine="640"/>
        <w:jc w:val="both"/>
      </w:pPr>
      <w:r>
        <w:rPr>
          <w:rFonts w:ascii="仿宋_GB2312" w:hAnsi="仿宋_GB2312" w:eastAsia="仿宋_GB2312"/>
          <w:b w:val="0"/>
          <w:sz w:val="32"/>
        </w:rPr>
        <w:t>五、《一般公共预算财政拨款支出决算表》</w:t>
      </w:r>
    </w:p>
    <w:p w14:paraId="28ECD465">
      <w:pPr>
        <w:spacing w:line="240" w:lineRule="auto"/>
        <w:ind w:firstLine="640"/>
        <w:jc w:val="both"/>
      </w:pPr>
      <w:r>
        <w:rPr>
          <w:rFonts w:ascii="仿宋_GB2312" w:hAnsi="仿宋_GB2312" w:eastAsia="仿宋_GB2312"/>
          <w:b w:val="0"/>
          <w:sz w:val="32"/>
        </w:rPr>
        <w:t>六、《一般公共预算财政拨款基本支出决算表》</w:t>
      </w:r>
    </w:p>
    <w:p w14:paraId="65C5ED89">
      <w:pPr>
        <w:spacing w:line="240" w:lineRule="auto"/>
        <w:ind w:firstLine="640"/>
        <w:jc w:val="both"/>
      </w:pPr>
      <w:r>
        <w:rPr>
          <w:rFonts w:ascii="仿宋_GB2312" w:hAnsi="仿宋_GB2312" w:eastAsia="仿宋_GB2312"/>
          <w:b w:val="0"/>
          <w:sz w:val="32"/>
        </w:rPr>
        <w:t>七、《政府性基金预算财政拨款收入支出决算表》</w:t>
      </w:r>
    </w:p>
    <w:p w14:paraId="2B78DCAE">
      <w:pPr>
        <w:spacing w:line="240" w:lineRule="auto"/>
        <w:ind w:firstLine="640"/>
        <w:jc w:val="both"/>
      </w:pPr>
      <w:r>
        <w:rPr>
          <w:rFonts w:ascii="仿宋_GB2312" w:hAnsi="仿宋_GB2312" w:eastAsia="仿宋_GB2312"/>
          <w:b w:val="0"/>
          <w:sz w:val="32"/>
        </w:rPr>
        <w:t>八、《国有资本经营预算财政拨款收入支出决算表》</w:t>
      </w:r>
    </w:p>
    <w:p w14:paraId="2E4A8EA4">
      <w:pPr>
        <w:spacing w:line="240" w:lineRule="auto"/>
        <w:ind w:firstLine="640"/>
        <w:jc w:val="both"/>
      </w:pPr>
      <w:r>
        <w:rPr>
          <w:rFonts w:ascii="仿宋_GB2312" w:hAnsi="仿宋_GB2312" w:eastAsia="仿宋_GB2312"/>
          <w:b w:val="0"/>
          <w:sz w:val="32"/>
        </w:rPr>
        <w:t>九、《财政拨款“三公”经费支出决算表》</w:t>
      </w:r>
    </w:p>
    <w:p w14:paraId="774FA13A">
      <w:pPr>
        <w:spacing w:line="240" w:lineRule="auto"/>
        <w:ind w:firstLine="640"/>
        <w:jc w:val="both"/>
      </w:pPr>
    </w:p>
    <w:p w14:paraId="137313EF">
      <w:pPr>
        <w:spacing w:line="240" w:lineRule="auto"/>
        <w:ind w:firstLine="640"/>
        <w:jc w:val="both"/>
      </w:pPr>
    </w:p>
    <w:p w14:paraId="05C770B4">
      <w:pPr>
        <w:spacing w:line="240" w:lineRule="auto"/>
        <w:ind w:firstLine="640"/>
        <w:jc w:val="both"/>
      </w:pPr>
    </w:p>
    <w:p w14:paraId="71236CC0">
      <w:pPr>
        <w:spacing w:line="240" w:lineRule="auto"/>
        <w:ind w:firstLine="640"/>
        <w:jc w:val="both"/>
      </w:pPr>
    </w:p>
    <w:p w14:paraId="3F938633">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B5EBBC9-8443-442E-8791-D6E4BBB3F07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D50B777B-1D27-487D-98E7-75BE767214CF}"/>
  </w:font>
  <w:font w:name="仿宋_GB2312">
    <w:panose1 w:val="02010609030101010101"/>
    <w:charset w:val="86"/>
    <w:family w:val="modern"/>
    <w:pitch w:val="default"/>
    <w:sig w:usb0="00000001" w:usb1="080E0000" w:usb2="00000000" w:usb3="00000000" w:csb0="00040000" w:csb1="00000000"/>
    <w:embedRegular r:id="rId3" w:fontKey="{133BC352-F43C-4617-930D-8560E5DFA336}"/>
  </w:font>
  <w:font w:name="楷体_GB2312">
    <w:panose1 w:val="02010609030101010101"/>
    <w:charset w:val="86"/>
    <w:family w:val="auto"/>
    <w:pitch w:val="default"/>
    <w:sig w:usb0="00000001" w:usb1="080E0000" w:usb2="00000000" w:usb3="00000000" w:csb0="00040000" w:csb1="00000000"/>
    <w:embedRegular r:id="rId4" w:fontKey="{D7B0E738-9CA2-401E-BE10-FC4206F90451}"/>
  </w:font>
  <w:font w:name="WPSEMBED3">
    <w:panose1 w:val="02010609030101010101"/>
    <w:charset w:val="86"/>
    <w:family w:val="auto"/>
    <w:pitch w:val="default"/>
    <w:sig w:usb0="00000001" w:usb1="080E0000" w:usb2="00000000" w:usb3="00000000" w:csb0="00040000" w:csb1="00000000"/>
  </w:font>
  <w:font w:name="WPSEMBED4">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4177C38"/>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952A39"/>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5295</Words>
  <Characters>5917</Characters>
  <Lines>0</Lines>
  <Paragraphs>0</Paragraphs>
  <TotalTime>7</TotalTime>
  <ScaleCrop>false</ScaleCrop>
  <LinksUpToDate>false</LinksUpToDate>
  <CharactersWithSpaces>5925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2025-09-25T08:01:21Z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