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4236F7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中国共产党霍城县委员会政法委员会</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37E4EC3">
      <w:r>
        <w:br w:type="page"/>
      </w:r>
    </w:p>
    <w:p w14:paraId="7F59C159">
      <w:pPr>
        <w:spacing w:line="640" w:lineRule="exact"/>
        <w:jc w:val="center"/>
        <w:outlineLvl w:val="1"/>
      </w:pPr>
      <w:r>
        <w:rPr>
          <w:rFonts w:ascii="黑体" w:hAnsi="黑体" w:eastAsia="黑体"/>
          <w:sz w:val="32"/>
        </w:rPr>
        <w:t>第一部分 单位概况</w:t>
      </w:r>
    </w:p>
    <w:p w14:paraId="7F751EA9">
      <w:pPr>
        <w:spacing w:line="640" w:lineRule="exact"/>
        <w:ind w:firstLine="640"/>
        <w:jc w:val="both"/>
        <w:outlineLvl w:val="2"/>
      </w:pPr>
      <w:r>
        <w:rPr>
          <w:rFonts w:ascii="黑体" w:hAnsi="黑体" w:eastAsia="黑体"/>
          <w:sz w:val="32"/>
        </w:rPr>
        <w:t>一、主要职能</w:t>
      </w:r>
    </w:p>
    <w:p w14:paraId="6732383E">
      <w:pPr>
        <w:spacing w:line="580" w:lineRule="exact"/>
        <w:ind w:firstLine="640"/>
        <w:jc w:val="both"/>
      </w:pPr>
      <w:r>
        <w:rPr>
          <w:rFonts w:ascii="仿宋_GB2312" w:hAnsi="仿宋_GB2312" w:eastAsia="仿宋_GB2312"/>
          <w:sz w:val="32"/>
        </w:rPr>
        <w:t>在县委统一领导下，深入贯彻落实党中央决定和自治区党委、自治州党委、县委工作要求，对政法工作研究提出全局性部署，推进平安霍城、法治霍城建设，加强过硬队伍建设，深化智能化建设，坚决维护国家政治安全、确保社会大局稳定、促进社会公平正义、保障人民安居乐业。了解掌握和分析研判政法工作情况动态，分析社会稳定形势，创新完善多部门参与的综治工作机制。加强对政法工作的督导，统筹协调社会治安综合治理、维护社会稳定、反邪教等有关法律法规政策的实施工作。组织做好政法领域调查研究，研究拟订政法工作方针政策和重大措施，及时向县委提出建议。掌握分析舆情动态，指导协调政法部门媒体网络宣传工作，指导政法部门做好涉及政法工作的重大宣传工作。监督和支持政法各部门依法行使职权，指导和协调政法各部门密切配合，研究和协调重大、疑难案件，推进严格执法、公正司法。组织研究政法改革中带有方向性、倾向性和普遍性的重大问题，深化政法改革。指导推动政法系统党的建设和政法队伍建设，代管法学会。完成县委交办的其他任务。</w:t>
      </w:r>
    </w:p>
    <w:p w14:paraId="60357154">
      <w:pPr>
        <w:spacing w:line="640" w:lineRule="exact"/>
        <w:ind w:firstLine="640"/>
        <w:jc w:val="both"/>
        <w:outlineLvl w:val="2"/>
      </w:pPr>
      <w:r>
        <w:rPr>
          <w:rFonts w:ascii="黑体" w:hAnsi="黑体" w:eastAsia="黑体"/>
          <w:sz w:val="32"/>
        </w:rPr>
        <w:t>二、机构设置及人员情况</w:t>
      </w:r>
    </w:p>
    <w:p w14:paraId="409E17B6">
      <w:pPr>
        <w:spacing w:line="580" w:lineRule="exact"/>
        <w:ind w:firstLine="640"/>
        <w:jc w:val="both"/>
      </w:pPr>
      <w:r>
        <w:rPr>
          <w:rFonts w:ascii="仿宋_GB2312" w:hAnsi="仿宋_GB2312" w:eastAsia="仿宋_GB2312"/>
          <w:sz w:val="32"/>
        </w:rPr>
        <w:t>中国共产党霍城县委员会政法委员会2024年度，实有人数32人，其中：在职人员26人，增加2人；离休人员0人，增加0人；退休人员6人,增加0人。</w:t>
      </w:r>
    </w:p>
    <w:p w14:paraId="65E3CF1D">
      <w:pPr>
        <w:spacing w:line="580" w:lineRule="exact"/>
        <w:ind w:firstLine="640"/>
        <w:jc w:val="both"/>
      </w:pPr>
      <w:r>
        <w:rPr>
          <w:rFonts w:ascii="仿宋_GB2312" w:hAnsi="仿宋_GB2312" w:eastAsia="仿宋_GB2312"/>
          <w:sz w:val="32"/>
        </w:rPr>
        <w:t>中国共产党霍城县委员会政法委员会无下属预算单位，下设7个科室，分别是：办公室、协调科、指导科、综治督导科、执法监督室、信息资源管理科、事务协调管理科。</w:t>
      </w:r>
    </w:p>
    <w:p w14:paraId="5D852256">
      <w:r>
        <w:br w:type="page"/>
      </w:r>
    </w:p>
    <w:p w14:paraId="1159FC19">
      <w:pPr>
        <w:spacing w:line="240" w:lineRule="auto"/>
        <w:jc w:val="center"/>
        <w:outlineLvl w:val="1"/>
      </w:pPr>
      <w:r>
        <w:rPr>
          <w:rFonts w:ascii="黑体" w:hAnsi="黑体" w:eastAsia="黑体"/>
          <w:sz w:val="32"/>
        </w:rPr>
        <w:t>第二部分 部门决算情况说明</w:t>
      </w:r>
    </w:p>
    <w:p w14:paraId="2AF4ABAD">
      <w:pPr>
        <w:spacing w:line="640" w:lineRule="exact"/>
        <w:ind w:firstLine="640"/>
        <w:jc w:val="both"/>
        <w:outlineLvl w:val="2"/>
      </w:pPr>
      <w:r>
        <w:rPr>
          <w:rFonts w:ascii="黑体" w:hAnsi="黑体" w:eastAsia="黑体"/>
          <w:sz w:val="32"/>
        </w:rPr>
        <w:t>一、收入支出决算总体情况说明</w:t>
      </w:r>
    </w:p>
    <w:p w14:paraId="19BA193C">
      <w:pPr>
        <w:spacing w:line="580" w:lineRule="exact"/>
        <w:ind w:firstLine="640"/>
        <w:jc w:val="both"/>
      </w:pPr>
      <w:r>
        <w:rPr>
          <w:rFonts w:ascii="仿宋_GB2312" w:hAnsi="仿宋_GB2312" w:eastAsia="仿宋_GB2312"/>
          <w:b/>
          <w:sz w:val="32"/>
        </w:rPr>
        <w:t>2024年度收入总计6,431.32万元，</w:t>
      </w:r>
      <w:r>
        <w:rPr>
          <w:rFonts w:ascii="仿宋_GB2312" w:hAnsi="仿宋_GB2312" w:eastAsia="仿宋_GB2312"/>
          <w:b w:val="0"/>
          <w:sz w:val="32"/>
        </w:rPr>
        <w:t>其中：本年收入合计6,431.32万元，使用非财政拨款结余（含专用结余）0.00万元，年初结转和结余0.00万元。</w:t>
      </w:r>
    </w:p>
    <w:p w14:paraId="744F4275">
      <w:pPr>
        <w:spacing w:line="580" w:lineRule="exact"/>
        <w:ind w:firstLine="640"/>
        <w:jc w:val="both"/>
      </w:pPr>
      <w:r>
        <w:rPr>
          <w:rFonts w:ascii="仿宋_GB2312" w:hAnsi="仿宋_GB2312" w:eastAsia="仿宋_GB2312"/>
          <w:b/>
          <w:sz w:val="32"/>
        </w:rPr>
        <w:t>2024年度支出总计6,431.32万元，</w:t>
      </w:r>
      <w:r>
        <w:rPr>
          <w:rFonts w:ascii="仿宋_GB2312" w:hAnsi="仿宋_GB2312" w:eastAsia="仿宋_GB2312"/>
          <w:b w:val="0"/>
          <w:sz w:val="32"/>
        </w:rPr>
        <w:t>其中：本年支出合计6,431.32万元，结余分配0.00万元，年末结转和结余0.00万元。</w:t>
      </w:r>
    </w:p>
    <w:p w14:paraId="6B706F4D">
      <w:pPr>
        <w:spacing w:line="580" w:lineRule="exact"/>
        <w:ind w:firstLine="640"/>
        <w:jc w:val="both"/>
      </w:pPr>
      <w:r>
        <w:rPr>
          <w:rFonts w:ascii="仿宋_GB2312" w:hAnsi="仿宋_GB2312" w:eastAsia="仿宋_GB2312"/>
          <w:b w:val="0"/>
          <w:sz w:val="32"/>
        </w:rPr>
        <w:t>收入支出总体与上年相比，减少1,188.79万元，下降15.60%，主要原因是：本年减少视联网建设运维项目费用和三大运营商视频网络等项目费用。</w:t>
      </w:r>
    </w:p>
    <w:p w14:paraId="0D473058">
      <w:pPr>
        <w:spacing w:line="640" w:lineRule="exact"/>
        <w:ind w:firstLine="640"/>
        <w:jc w:val="both"/>
        <w:outlineLvl w:val="2"/>
      </w:pPr>
      <w:r>
        <w:rPr>
          <w:rFonts w:ascii="黑体" w:hAnsi="黑体" w:eastAsia="黑体"/>
          <w:sz w:val="32"/>
        </w:rPr>
        <w:t>二、收入决算情况说明</w:t>
      </w:r>
    </w:p>
    <w:p w14:paraId="4ED2FD7B">
      <w:pPr>
        <w:spacing w:line="580" w:lineRule="exact"/>
        <w:ind w:firstLine="640"/>
        <w:jc w:val="both"/>
      </w:pPr>
      <w:r>
        <w:rPr>
          <w:rFonts w:ascii="仿宋_GB2312" w:hAnsi="仿宋_GB2312" w:eastAsia="仿宋_GB2312"/>
          <w:b/>
          <w:sz w:val="32"/>
        </w:rPr>
        <w:t>本年收入6,431.32万元，</w:t>
      </w:r>
      <w:r>
        <w:rPr>
          <w:rFonts w:ascii="仿宋_GB2312" w:hAnsi="仿宋_GB2312" w:eastAsia="仿宋_GB2312"/>
          <w:b w:val="0"/>
          <w:sz w:val="32"/>
        </w:rPr>
        <w:t>其中：财政拨款收入6,400.36万元，占99.52%；上级补助收入0.00万元，占0.00%；事业收入0.00万元，占0.00%；经营收入0.00万元，占0.00%；附属单位上缴收入0.00万元，占0.00%；其他收入30.97万元，占0.48%。</w:t>
      </w:r>
    </w:p>
    <w:p w14:paraId="61AEDFDF">
      <w:pPr>
        <w:spacing w:line="640" w:lineRule="exact"/>
        <w:ind w:firstLine="640"/>
        <w:jc w:val="both"/>
        <w:outlineLvl w:val="2"/>
      </w:pPr>
      <w:r>
        <w:rPr>
          <w:rFonts w:ascii="黑体" w:hAnsi="黑体" w:eastAsia="黑体"/>
          <w:sz w:val="32"/>
        </w:rPr>
        <w:t>三、支出决算情况说明</w:t>
      </w:r>
    </w:p>
    <w:p w14:paraId="2AB05F7C">
      <w:pPr>
        <w:spacing w:line="580" w:lineRule="exact"/>
        <w:ind w:firstLine="640"/>
        <w:jc w:val="both"/>
      </w:pPr>
      <w:r>
        <w:rPr>
          <w:rFonts w:ascii="仿宋_GB2312" w:hAnsi="仿宋_GB2312" w:eastAsia="仿宋_GB2312"/>
          <w:b/>
          <w:sz w:val="32"/>
        </w:rPr>
        <w:t>本年支出6,431.32万元，</w:t>
      </w:r>
      <w:r>
        <w:rPr>
          <w:rFonts w:ascii="仿宋_GB2312" w:hAnsi="仿宋_GB2312" w:eastAsia="仿宋_GB2312"/>
          <w:b w:val="0"/>
          <w:sz w:val="32"/>
        </w:rPr>
        <w:t>其中：基本支出3,728.70万元，占57.98%；项目支出2,702.63万元，占42.02%；上缴上级支出0.00万元，占0.00%；经营支出0.00万元，占0.00%；对附属单位补助支出0.00万元，占0.00%。</w:t>
      </w:r>
    </w:p>
    <w:p w14:paraId="5F509A95">
      <w:pPr>
        <w:spacing w:line="640" w:lineRule="exact"/>
        <w:ind w:firstLine="640"/>
        <w:jc w:val="both"/>
        <w:outlineLvl w:val="2"/>
      </w:pPr>
      <w:r>
        <w:rPr>
          <w:rFonts w:ascii="黑体" w:hAnsi="黑体" w:eastAsia="黑体"/>
          <w:sz w:val="32"/>
        </w:rPr>
        <w:t>四、财政拨款收入支出决算总体情况说明</w:t>
      </w:r>
    </w:p>
    <w:p w14:paraId="6A238695">
      <w:pPr>
        <w:spacing w:line="580" w:lineRule="exact"/>
        <w:ind w:firstLine="640"/>
        <w:jc w:val="both"/>
      </w:pPr>
      <w:r>
        <w:rPr>
          <w:rFonts w:ascii="仿宋_GB2312" w:hAnsi="仿宋_GB2312" w:eastAsia="仿宋_GB2312"/>
          <w:b/>
          <w:sz w:val="32"/>
        </w:rPr>
        <w:t>2024年度财政拨款收入总计6,400.36万元，</w:t>
      </w:r>
      <w:r>
        <w:rPr>
          <w:rFonts w:ascii="仿宋_GB2312" w:hAnsi="仿宋_GB2312" w:eastAsia="仿宋_GB2312"/>
          <w:b w:val="0"/>
          <w:sz w:val="32"/>
        </w:rPr>
        <w:t>其中：年初财政拨款结转和结余0.00万元，本年财政拨款收入6,400.36万元。</w:t>
      </w:r>
      <w:r>
        <w:rPr>
          <w:rFonts w:ascii="仿宋_GB2312" w:hAnsi="仿宋_GB2312" w:eastAsia="仿宋_GB2312"/>
          <w:b/>
          <w:sz w:val="32"/>
        </w:rPr>
        <w:t>财政拨款支出总计6,400.36万元，</w:t>
      </w:r>
      <w:r>
        <w:rPr>
          <w:rFonts w:ascii="仿宋_GB2312" w:hAnsi="仿宋_GB2312" w:eastAsia="仿宋_GB2312"/>
          <w:b w:val="0"/>
          <w:sz w:val="32"/>
        </w:rPr>
        <w:t>其中：年末财政拨款结转和结余0.00万元，本年财政拨款支出6,400.36万元。</w:t>
      </w:r>
    </w:p>
    <w:p w14:paraId="1E9E100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增加1,706.76万元，增长36.36%，主要原因是：本年增加专用项目、边海防基础设施维护费，导致经费较上年增加。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年初预算数3,439.93万元，决算数6,400.36万元，预决算差异率86.06%，主要原因是：年中追加专用项目经费，导致预决算存在差异。</w:t>
      </w:r>
    </w:p>
    <w:p w14:paraId="6A00C71C">
      <w:pPr>
        <w:spacing w:line="640" w:lineRule="exact"/>
        <w:ind w:firstLine="640"/>
        <w:jc w:val="both"/>
        <w:outlineLvl w:val="2"/>
      </w:pPr>
      <w:r>
        <w:rPr>
          <w:rFonts w:ascii="黑体" w:hAnsi="黑体" w:eastAsia="黑体"/>
          <w:sz w:val="32"/>
        </w:rPr>
        <w:t>五、一般公共预算财政拨款支出决算情况说明</w:t>
      </w:r>
    </w:p>
    <w:p w14:paraId="0452C7C7">
      <w:pPr>
        <w:spacing w:line="640" w:lineRule="exact"/>
        <w:ind w:firstLine="640"/>
        <w:jc w:val="both"/>
        <w:outlineLvl w:val="3"/>
      </w:pPr>
      <w:r>
        <w:rPr>
          <w:rFonts w:ascii="楷体_GB2312" w:hAnsi="楷体_GB2312" w:eastAsia="楷体_GB2312"/>
          <w:b/>
          <w:sz w:val="32"/>
        </w:rPr>
        <w:t>（一）一般公共预算财政拨款支出决算总体情况</w:t>
      </w:r>
    </w:p>
    <w:p w14:paraId="550EFA29">
      <w:pPr>
        <w:spacing w:line="580" w:lineRule="exact"/>
        <w:ind w:firstLine="640"/>
        <w:jc w:val="both"/>
      </w:pPr>
      <w:r>
        <w:rPr>
          <w:rFonts w:ascii="仿宋_GB2312" w:hAnsi="仿宋_GB2312" w:eastAsia="仿宋_GB2312"/>
          <w:b/>
          <w:sz w:val="32"/>
        </w:rPr>
        <w:t>2024年度一般公共预算财政拨款支出6,400.36万元，</w:t>
      </w:r>
      <w:r>
        <w:rPr>
          <w:rFonts w:ascii="仿宋_GB2312" w:hAnsi="仿宋_GB2312" w:eastAsia="仿宋_GB2312"/>
          <w:b w:val="0"/>
          <w:sz w:val="32"/>
        </w:rPr>
        <w:t>占本年支出合计的99.52%。</w:t>
      </w:r>
      <w:r>
        <w:rPr>
          <w:rFonts w:ascii="仿宋_GB2312" w:hAnsi="仿宋_GB2312" w:eastAsia="仿宋_GB2312"/>
          <w:b/>
          <w:sz w:val="32"/>
        </w:rPr>
        <w:t>与上年相比，</w:t>
      </w:r>
      <w:r>
        <w:rPr>
          <w:rFonts w:ascii="仿宋_GB2312" w:hAnsi="仿宋_GB2312" w:eastAsia="仿宋_GB2312"/>
          <w:b w:val="0"/>
          <w:sz w:val="32"/>
        </w:rPr>
        <w:t>增加1,706.76万元，增长36.36%，主要原因是：本年增加专用项目、边海防基础设施维护费，导致经费较上年增加。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年初预算数3,439.93万元，决算数6,400.36万元，预决算差异率86.06%，主要原因是：年中追加专用项目经费，导致预决算存在差异。</w:t>
      </w:r>
    </w:p>
    <w:p w14:paraId="00961EAE">
      <w:pPr>
        <w:spacing w:line="640" w:lineRule="exact"/>
        <w:ind w:firstLine="640"/>
        <w:jc w:val="both"/>
        <w:outlineLvl w:val="3"/>
      </w:pPr>
      <w:r>
        <w:rPr>
          <w:rFonts w:ascii="楷体_GB2312" w:hAnsi="楷体_GB2312" w:eastAsia="楷体_GB2312"/>
          <w:b/>
          <w:sz w:val="32"/>
        </w:rPr>
        <w:t>（二）一般公共预算财政拨款支出决算结构情况</w:t>
      </w:r>
    </w:p>
    <w:p w14:paraId="5405D9B3">
      <w:pPr>
        <w:spacing w:line="580" w:lineRule="exact"/>
        <w:ind w:firstLine="640"/>
        <w:jc w:val="both"/>
      </w:pPr>
      <w:r>
        <w:rPr>
          <w:rFonts w:ascii="仿宋_GB2312" w:hAnsi="仿宋_GB2312" w:eastAsia="仿宋_GB2312"/>
          <w:b w:val="0"/>
          <w:sz w:val="32"/>
        </w:rPr>
        <w:t>1.一般公共服务支出(类)2,913.24万元,占45.52%。</w:t>
      </w:r>
    </w:p>
    <w:p w14:paraId="6E6DC0B6">
      <w:pPr>
        <w:spacing w:line="580" w:lineRule="exact"/>
        <w:ind w:firstLine="640"/>
        <w:jc w:val="both"/>
      </w:pPr>
      <w:r>
        <w:rPr>
          <w:rFonts w:ascii="仿宋_GB2312" w:hAnsi="仿宋_GB2312" w:eastAsia="仿宋_GB2312"/>
          <w:b w:val="0"/>
          <w:sz w:val="32"/>
        </w:rPr>
        <w:t>2.国防支出(类)156.76万元,占2.45%。</w:t>
      </w:r>
    </w:p>
    <w:p w14:paraId="4A4B68D0">
      <w:pPr>
        <w:spacing w:line="580" w:lineRule="exact"/>
        <w:ind w:firstLine="640"/>
        <w:jc w:val="both"/>
      </w:pPr>
      <w:r>
        <w:rPr>
          <w:rFonts w:ascii="仿宋_GB2312" w:hAnsi="仿宋_GB2312" w:eastAsia="仿宋_GB2312"/>
          <w:b w:val="0"/>
          <w:sz w:val="32"/>
        </w:rPr>
        <w:t>3.公共安全支出(类)3,089.89万元,占48.28%。</w:t>
      </w:r>
    </w:p>
    <w:p w14:paraId="2F7075E1">
      <w:pPr>
        <w:spacing w:line="580" w:lineRule="exact"/>
        <w:ind w:firstLine="640"/>
        <w:jc w:val="both"/>
      </w:pPr>
      <w:r>
        <w:rPr>
          <w:rFonts w:ascii="仿宋_GB2312" w:hAnsi="仿宋_GB2312" w:eastAsia="仿宋_GB2312"/>
          <w:b w:val="0"/>
          <w:sz w:val="32"/>
        </w:rPr>
        <w:t>4.科学技术支出(类)42.20万元,占0.66%。</w:t>
      </w:r>
    </w:p>
    <w:p w14:paraId="3152E0B3">
      <w:pPr>
        <w:spacing w:line="580" w:lineRule="exact"/>
        <w:ind w:firstLine="640"/>
        <w:jc w:val="both"/>
      </w:pPr>
      <w:r>
        <w:rPr>
          <w:rFonts w:ascii="仿宋_GB2312" w:hAnsi="仿宋_GB2312" w:eastAsia="仿宋_GB2312"/>
          <w:b w:val="0"/>
          <w:sz w:val="32"/>
        </w:rPr>
        <w:t>5.社会保障和就业支出(类)142.50万元,占2.23%。</w:t>
      </w:r>
    </w:p>
    <w:p w14:paraId="37AA9851">
      <w:pPr>
        <w:spacing w:line="580" w:lineRule="exact"/>
        <w:ind w:firstLine="640"/>
        <w:jc w:val="both"/>
      </w:pPr>
      <w:r>
        <w:rPr>
          <w:rFonts w:ascii="仿宋_GB2312" w:hAnsi="仿宋_GB2312" w:eastAsia="仿宋_GB2312"/>
          <w:b w:val="0"/>
          <w:sz w:val="32"/>
        </w:rPr>
        <w:t>6.卫生健康支出(类)21.64万元,占0.34%。</w:t>
      </w:r>
    </w:p>
    <w:p w14:paraId="01E6541E">
      <w:pPr>
        <w:spacing w:line="580" w:lineRule="exact"/>
        <w:ind w:firstLine="640"/>
        <w:jc w:val="both"/>
      </w:pPr>
      <w:r>
        <w:rPr>
          <w:rFonts w:ascii="仿宋_GB2312" w:hAnsi="仿宋_GB2312" w:eastAsia="仿宋_GB2312"/>
          <w:b w:val="0"/>
          <w:sz w:val="32"/>
        </w:rPr>
        <w:t>7.住房保障支出(类)34.13万元,占0.53%。</w:t>
      </w:r>
    </w:p>
    <w:p w14:paraId="15FEFED8">
      <w:pPr>
        <w:spacing w:line="640" w:lineRule="exact"/>
        <w:ind w:firstLine="640"/>
        <w:jc w:val="both"/>
        <w:outlineLvl w:val="3"/>
      </w:pPr>
      <w:r>
        <w:rPr>
          <w:rFonts w:ascii="楷体_GB2312" w:hAnsi="楷体_GB2312" w:eastAsia="楷体_GB2312"/>
          <w:b/>
          <w:sz w:val="32"/>
        </w:rPr>
        <w:t>（三）一般公共预算财政拨款支出决算具体情况</w:t>
      </w:r>
    </w:p>
    <w:p w14:paraId="148BBE46">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1.一般公共服务支出(类)党委办公厅（室）及相关机构事务(款)行政运行(项):支出决算数为281.14万元，比上年决算减少65.12万元，下降18.81%,主要原因是：本年减少运行经费，导致经费较上年减少。</w:t>
      </w:r>
    </w:p>
    <w:p w14:paraId="031BF9D5">
      <w:pPr>
        <w:spacing w:line="580" w:lineRule="exact"/>
        <w:ind w:firstLine="640"/>
        <w:jc w:val="both"/>
      </w:pPr>
      <w:r>
        <w:rPr>
          <w:rFonts w:ascii="仿宋_GB2312" w:hAnsi="仿宋_GB2312" w:eastAsia="仿宋_GB2312"/>
          <w:b w:val="0"/>
          <w:sz w:val="32"/>
        </w:rPr>
        <w:t>2.一般公共服务支出(类)党委办公厅（室）及相关机构事务(款)事业运行(项):支出决算数为133.73万元，比上年决算增加25.83万元，增长23.94%,主要原因是：本年在职人员工资调增，导致相关人员经费较上年有所增加。同时本年新增在职人员，人员经费增加，导致经费较上年有所增加。</w:t>
      </w:r>
    </w:p>
    <w:p w14:paraId="6E8EF909">
      <w:pPr>
        <w:spacing w:line="580" w:lineRule="exact"/>
        <w:ind w:firstLine="640"/>
        <w:jc w:val="both"/>
      </w:pPr>
      <w:r>
        <w:rPr>
          <w:rFonts w:ascii="仿宋_GB2312" w:hAnsi="仿宋_GB2312" w:eastAsia="仿宋_GB2312"/>
          <w:b w:val="0"/>
          <w:sz w:val="32"/>
        </w:rPr>
        <w:t>3.一般公共服务支出(类)其他共产党事务支出(款)其他共产党事务支出(项):支出决算数为2,498.37万元，比上年决算减少10.23万元，下降0.41%,主要原因是：本年减少代发人员补助，导致经费较上年减少。</w:t>
      </w:r>
    </w:p>
    <w:p w14:paraId="599FBD7B">
      <w:pPr>
        <w:spacing w:line="580" w:lineRule="exact"/>
        <w:ind w:firstLine="640"/>
        <w:jc w:val="both"/>
      </w:pPr>
      <w:r>
        <w:rPr>
          <w:rFonts w:ascii="仿宋_GB2312" w:hAnsi="仿宋_GB2312" w:eastAsia="仿宋_GB2312"/>
          <w:b w:val="0"/>
          <w:sz w:val="32"/>
        </w:rPr>
        <w:t>4.国防支出(类)国防动员(款)边海防(项):支出决算数为156.76万元，比上年决算增加66.01万元，增长72.74%,主要原因是：本年增加边海防基础设施维护费，导致经费较上年增加。</w:t>
      </w:r>
    </w:p>
    <w:p w14:paraId="4FC5127F">
      <w:pPr>
        <w:spacing w:line="580" w:lineRule="exact"/>
        <w:ind w:firstLine="640"/>
        <w:jc w:val="both"/>
      </w:pPr>
      <w:r>
        <w:rPr>
          <w:rFonts w:ascii="仿宋_GB2312" w:hAnsi="仿宋_GB2312" w:eastAsia="仿宋_GB2312"/>
          <w:b w:val="0"/>
          <w:sz w:val="32"/>
        </w:rPr>
        <w:t>5.公共安全支出(类)公安(款)其他公安支出(项):支出决算数为3,089.89万元，比上年决算增加2,532.85万元，增长454.70%,主要原因是：本年增加专用项目费用。</w:t>
      </w:r>
    </w:p>
    <w:p w14:paraId="07E3654E">
      <w:pPr>
        <w:spacing w:line="580" w:lineRule="exact"/>
        <w:ind w:firstLine="640"/>
        <w:jc w:val="both"/>
      </w:pPr>
      <w:r>
        <w:rPr>
          <w:rFonts w:ascii="仿宋_GB2312" w:hAnsi="仿宋_GB2312" w:eastAsia="仿宋_GB2312"/>
          <w:b w:val="0"/>
          <w:sz w:val="32"/>
        </w:rPr>
        <w:t>6.科学技术支出(类)科技条件与服务(款)其他科技条件与服务支出(项):支出决算数为42.20万元，比上年决算减少945.00万元，下降95.73%,主要原因是：本年减少视联网建设运维项目费用和三大运营商视频网络等项目费用。</w:t>
      </w:r>
    </w:p>
    <w:p w14:paraId="6E8D9557">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7.社会保障和就业支出(类)行政事业单位养老支出(款)行政单位离退休(项):支出决算数为4.99万元，比上年决算增加3.31万元，增长197.02%,主要原因是：本年增加退休人员基础绩效奖，退休费支出增加。</w:t>
      </w:r>
    </w:p>
    <w:p w14:paraId="07E200A4">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42.16万元，比上年决算增加6.67万元，增长18.79%,主要原因是：本年在职人员工资基数调增，养老缴费基数上涨，相应支出增加。</w:t>
      </w:r>
    </w:p>
    <w:p w14:paraId="06B75E71">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0.00万元，比上年决算减少7.52万元，下降100.00%,主要原因是：本年无新增退休人员，职业年金缴费较上年减少。</w:t>
      </w:r>
    </w:p>
    <w:p w14:paraId="486527B1">
      <w:pPr>
        <w:spacing w:line="580" w:lineRule="exact"/>
        <w:ind w:firstLine="640"/>
        <w:jc w:val="both"/>
      </w:pPr>
      <w:r>
        <w:rPr>
          <w:rFonts w:ascii="仿宋_GB2312" w:hAnsi="仿宋_GB2312" w:eastAsia="仿宋_GB2312"/>
          <w:b w:val="0"/>
          <w:sz w:val="32"/>
        </w:rPr>
        <w:t>10.社会保障和就业支出(类)其他社会保障和就业支出(款)其他社会保障和就业支出(项):支出决算数为95.35万元，比上年决算增加95.35万元，增长100.00%,主要原因是：本年增加HBY人员补助，导致经费较上年增加。</w:t>
      </w:r>
    </w:p>
    <w:p w14:paraId="0D6B7CBC">
      <w:pPr>
        <w:spacing w:line="580" w:lineRule="exact"/>
        <w:ind w:firstLine="640"/>
        <w:jc w:val="both"/>
      </w:pPr>
      <w:r>
        <w:rPr>
          <w:rFonts w:ascii="仿宋_GB2312" w:hAnsi="仿宋_GB2312" w:eastAsia="仿宋_GB2312"/>
          <w:b w:val="0"/>
          <w:sz w:val="32"/>
        </w:rPr>
        <w:t>11.卫生健康支出(类)行政事业单位医疗(款)行政单位医疗(项):支出决算数为13.78万元，比上年决算减少1.75万元，下降11.27%,主要原因是：因退休人员医疗保险制度改革，退休人员基本医疗不再由单位缴纳，导致经费较上年减少。</w:t>
      </w:r>
    </w:p>
    <w:p w14:paraId="59A1F7AA">
      <w:pPr>
        <w:spacing w:line="580" w:lineRule="exact"/>
        <w:ind w:firstLine="640"/>
        <w:jc w:val="both"/>
      </w:pPr>
      <w:r>
        <w:rPr>
          <w:rFonts w:ascii="仿宋_GB2312" w:hAnsi="仿宋_GB2312" w:eastAsia="仿宋_GB2312"/>
          <w:b w:val="0"/>
          <w:sz w:val="32"/>
        </w:rPr>
        <w:t>12.卫生健康支出(类)行政事业单位医疗(款)事业单位医疗(项):支出决算数为7.53万元，比上年决算增加1.93万元，增长34.46%,主要原因是：本年在职人员增加，事业单位医疗支出较上年增加。</w:t>
      </w:r>
    </w:p>
    <w:p w14:paraId="20DD67A6">
      <w:pPr>
        <w:spacing w:line="580" w:lineRule="exact"/>
        <w:ind w:firstLine="640"/>
        <w:jc w:val="both"/>
      </w:pPr>
      <w:r>
        <w:rPr>
          <w:rFonts w:ascii="仿宋_GB2312" w:hAnsi="仿宋_GB2312" w:eastAsia="仿宋_GB2312"/>
          <w:b w:val="0"/>
          <w:sz w:val="32"/>
        </w:rPr>
        <w:t>13.卫生健康支出(类)行政事业单位医疗(款)公务员医疗补助(项):支出决算数为0.33万元，比上年决算减少0.32万元，下降49.23%,主要原因是：因退休人员医疗保险制度改革，退休人员基本医疗不再由单位缴纳，导致经费较上年减少。</w:t>
      </w:r>
    </w:p>
    <w:p w14:paraId="4A3F37F4">
      <w:pPr>
        <w:spacing w:line="580" w:lineRule="exact"/>
        <w:ind w:firstLine="640"/>
        <w:jc w:val="both"/>
      </w:pPr>
      <w:r>
        <w:rPr>
          <w:rFonts w:ascii="仿宋_GB2312" w:hAnsi="仿宋_GB2312" w:eastAsia="仿宋_GB2312"/>
          <w:b w:val="0"/>
          <w:sz w:val="32"/>
        </w:rPr>
        <w:t>14.住房保障支出(类)住房改革支出(款)住房公积金(项):支出决算数为34.13万元，比上年决算增加4.75万元，增长16.17%,主要原因是：本年在职人员工资基数调增，公积金缴费基数上涨，相应支出增加。同时，本年在职人员增加，住房公积金支出较上年增加。</w:t>
      </w:r>
    </w:p>
    <w:p w14:paraId="6D3743F5">
      <w:pPr>
        <w:spacing w:line="640" w:lineRule="exact"/>
        <w:ind w:firstLine="640"/>
        <w:jc w:val="both"/>
        <w:outlineLvl w:val="2"/>
      </w:pPr>
      <w:r>
        <w:rPr>
          <w:rFonts w:ascii="黑体" w:hAnsi="黑体" w:eastAsia="黑体"/>
          <w:sz w:val="32"/>
        </w:rPr>
        <w:t>六、一般公共预算财政拨款基本支出决算情况说明</w:t>
      </w:r>
    </w:p>
    <w:p w14:paraId="1E2CC390">
      <w:pPr>
        <w:spacing w:line="580" w:lineRule="exact"/>
        <w:ind w:firstLine="640"/>
        <w:jc w:val="both"/>
      </w:pPr>
      <w:r>
        <w:rPr>
          <w:rFonts w:ascii="仿宋_GB2312" w:hAnsi="仿宋_GB2312" w:eastAsia="仿宋_GB2312"/>
          <w:b w:val="0"/>
          <w:sz w:val="32"/>
        </w:rPr>
        <w:t>2024年度一般公共预算财政拨款基本支出3,697.73万元，其中：</w:t>
      </w:r>
      <w:r>
        <w:rPr>
          <w:rFonts w:ascii="仿宋_GB2312" w:hAnsi="仿宋_GB2312" w:eastAsia="仿宋_GB2312"/>
          <w:b/>
          <w:sz w:val="32"/>
        </w:rPr>
        <w:t>人员经费3,168.65万元，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生活补助、奖励金、其他对个人和家庭的补助。</w:t>
      </w:r>
    </w:p>
    <w:p w14:paraId="06B6DC50">
      <w:pPr>
        <w:spacing w:line="580" w:lineRule="exact"/>
        <w:ind w:firstLine="640"/>
        <w:jc w:val="both"/>
      </w:pPr>
      <w:r>
        <w:rPr>
          <w:rFonts w:ascii="仿宋_GB2312" w:hAnsi="仿宋_GB2312" w:eastAsia="仿宋_GB2312"/>
          <w:b/>
          <w:sz w:val="32"/>
        </w:rPr>
        <w:t>公用经费529.08万元，</w:t>
      </w:r>
      <w:r>
        <w:rPr>
          <w:rFonts w:ascii="仿宋_GB2312" w:hAnsi="仿宋_GB2312" w:eastAsia="仿宋_GB2312"/>
          <w:b w:val="0"/>
          <w:sz w:val="32"/>
        </w:rPr>
        <w:t>包括：办公费、电费、邮电费、差旅费、维修（护）费、工会经费、福利费、公务用车运行维护费。</w:t>
      </w:r>
    </w:p>
    <w:p w14:paraId="41A2AF3B">
      <w:pPr>
        <w:spacing w:line="640" w:lineRule="exact"/>
        <w:ind w:firstLine="640"/>
        <w:jc w:val="both"/>
        <w:outlineLvl w:val="2"/>
      </w:pPr>
      <w:r>
        <w:rPr>
          <w:rFonts w:ascii="黑体" w:hAnsi="黑体" w:eastAsia="黑体"/>
          <w:sz w:val="32"/>
        </w:rPr>
        <w:t>七、政府性基金预算财政拨款收入支出决算情况说明</w:t>
      </w:r>
    </w:p>
    <w:p w14:paraId="22383DD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9E4A26D">
      <w:pPr>
        <w:spacing w:line="640" w:lineRule="exact"/>
        <w:ind w:firstLine="640"/>
        <w:jc w:val="both"/>
        <w:outlineLvl w:val="2"/>
      </w:pPr>
      <w:r>
        <w:rPr>
          <w:rFonts w:ascii="黑体" w:hAnsi="黑体" w:eastAsia="黑体"/>
          <w:sz w:val="32"/>
        </w:rPr>
        <w:t>八、国有资本经营预算财政拨款收入支出决算情况说明</w:t>
      </w:r>
    </w:p>
    <w:p w14:paraId="5F000C1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1D44460">
      <w:pPr>
        <w:spacing w:line="640" w:lineRule="exact"/>
        <w:ind w:firstLine="640"/>
        <w:jc w:val="both"/>
        <w:outlineLvl w:val="2"/>
      </w:pPr>
      <w:r>
        <w:rPr>
          <w:rFonts w:ascii="黑体" w:hAnsi="黑体" w:eastAsia="黑体"/>
          <w:sz w:val="32"/>
        </w:rPr>
        <w:t>九、财政拨款“三公”经费支出决算情况说明</w:t>
      </w:r>
    </w:p>
    <w:p w14:paraId="4C54BB98">
      <w:pPr>
        <w:spacing w:line="580" w:lineRule="exact"/>
        <w:ind w:firstLine="640"/>
        <w:jc w:val="both"/>
      </w:pPr>
      <w:r>
        <w:rPr>
          <w:rFonts w:ascii="仿宋_GB2312" w:hAnsi="仿宋_GB2312" w:eastAsia="仿宋_GB2312"/>
          <w:b/>
          <w:sz w:val="32"/>
        </w:rPr>
        <w:t>2024年度财政拨款“三公”经费支出16.86万元，</w:t>
      </w:r>
      <w:r>
        <w:rPr>
          <w:rFonts w:ascii="仿宋_GB2312" w:hAnsi="仿宋_GB2312" w:eastAsia="仿宋_GB2312"/>
          <w:b w:val="0"/>
          <w:sz w:val="32"/>
        </w:rPr>
        <w:t>比上年减少15.67万元，下降48.17%，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16.86万元，占100.00%，比上年减少15.67万元，下降48.17%，主要原因是：严格落实中央八项规定精神，厉行节约，减少公务用车运行维护费。公务接待费支出0.00万元，占0.00%，比上年增加0.00万元，增长0.00%，主要原因是：2023年与2024年均未安排公务接待费支出。</w:t>
      </w:r>
    </w:p>
    <w:p w14:paraId="54676DF0">
      <w:pPr>
        <w:spacing w:line="580" w:lineRule="exact"/>
        <w:ind w:firstLine="640"/>
        <w:jc w:val="both"/>
      </w:pPr>
      <w:r>
        <w:rPr>
          <w:rFonts w:ascii="仿宋_GB2312" w:hAnsi="仿宋_GB2312" w:eastAsia="仿宋_GB2312"/>
          <w:b/>
          <w:sz w:val="32"/>
        </w:rPr>
        <w:t>具体情况如下：</w:t>
      </w:r>
    </w:p>
    <w:p w14:paraId="6D2D0B7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BB0D6BE">
      <w:pPr>
        <w:spacing w:line="580" w:lineRule="exact"/>
        <w:ind w:firstLine="640"/>
        <w:jc w:val="both"/>
      </w:pPr>
      <w:r>
        <w:rPr>
          <w:rFonts w:ascii="仿宋_GB2312" w:hAnsi="仿宋_GB2312" w:eastAsia="仿宋_GB2312"/>
          <w:b w:val="0"/>
          <w:sz w:val="32"/>
        </w:rPr>
        <w:t>公务用车购置及运行维护费16.86万元，其中：公务用车购置费0.00万元，公务用车运行维护费16.86万元。公务用车运行维护费开支内容包括车辆加油费、维修费、保险费、审车费、过路费等。公务用车购置数0辆，公务用车保有量12辆。国有资产占用情况中固定资产车辆12辆，与公务用车保有量差异原因是：本单位固定资产车辆与公务用车保有量一致无差异。</w:t>
      </w:r>
    </w:p>
    <w:p w14:paraId="2351F4D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193216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16.86万元，决算数16.86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16.86万元，决算数16.86万元，预决算差异率0.00%，主要原因是：严格按照预算执行，预决算无差异。公务接待费全年预算数0.00万元，决算数0.00万元，预决算差异率0.00%，主要原因是：本单位无公务接待费。</w:t>
      </w:r>
    </w:p>
    <w:p w14:paraId="65CB22E4">
      <w:pPr>
        <w:spacing w:line="640" w:lineRule="exact"/>
        <w:ind w:firstLine="640"/>
        <w:jc w:val="both"/>
        <w:outlineLvl w:val="2"/>
      </w:pPr>
      <w:r>
        <w:rPr>
          <w:rFonts w:ascii="黑体" w:hAnsi="黑体" w:eastAsia="黑体"/>
          <w:sz w:val="32"/>
        </w:rPr>
        <w:t>十、其他重要事项的情况说明</w:t>
      </w:r>
    </w:p>
    <w:p w14:paraId="68BEBC37">
      <w:pPr>
        <w:spacing w:line="640" w:lineRule="exact"/>
        <w:ind w:firstLine="640"/>
        <w:jc w:val="both"/>
        <w:outlineLvl w:val="3"/>
      </w:pPr>
      <w:r>
        <w:rPr>
          <w:rFonts w:ascii="楷体_GB2312" w:hAnsi="楷体_GB2312" w:eastAsia="楷体_GB2312"/>
          <w:b/>
          <w:sz w:val="32"/>
        </w:rPr>
        <w:t>（一）机关运行经费及公用经费支出情况</w:t>
      </w:r>
    </w:p>
    <w:p w14:paraId="073A05F3">
      <w:pPr>
        <w:spacing w:line="580" w:lineRule="exact"/>
        <w:ind w:firstLine="640"/>
        <w:jc w:val="both"/>
      </w:pPr>
      <w:r>
        <w:rPr>
          <w:rFonts w:ascii="仿宋_GB2312" w:hAnsi="仿宋_GB2312" w:eastAsia="仿宋_GB2312"/>
          <w:b w:val="0"/>
          <w:sz w:val="32"/>
        </w:rPr>
        <w:t>2024年度中国共产党霍城县委员会政法委员会（行政单位和参照公务员法管理事业单位）机关运行经费支出529.08万元，比上年减少53.40万元，下降9.17%，主要原因是：严控经费支出，厉行节约，减少办公费、差旅费、会议费、公务用车运行费、其他商品和服务支出等，导致机关运行经费支出较上年减少。</w:t>
      </w:r>
    </w:p>
    <w:p w14:paraId="12E7304A">
      <w:pPr>
        <w:spacing w:line="640" w:lineRule="exact"/>
        <w:ind w:firstLine="640"/>
        <w:jc w:val="both"/>
        <w:outlineLvl w:val="3"/>
      </w:pPr>
      <w:r>
        <w:rPr>
          <w:rFonts w:ascii="楷体_GB2312" w:hAnsi="楷体_GB2312" w:eastAsia="楷体_GB2312"/>
          <w:b/>
          <w:sz w:val="32"/>
        </w:rPr>
        <w:t>（二）政府采购情况</w:t>
      </w:r>
    </w:p>
    <w:p w14:paraId="7B2B97F1">
      <w:pPr>
        <w:spacing w:line="580" w:lineRule="exact"/>
        <w:ind w:firstLine="640"/>
        <w:jc w:val="both"/>
      </w:pPr>
      <w:r>
        <w:rPr>
          <w:rFonts w:ascii="仿宋_GB2312" w:hAnsi="仿宋_GB2312" w:eastAsia="仿宋_GB2312"/>
          <w:b w:val="0"/>
          <w:sz w:val="32"/>
        </w:rPr>
        <w:t>2024年度政府采购支出总额79.89万元，其中：政府采购货物支出17.10万元、政府采购工程支出0.00万元、政府采购服务支出62.78万元。</w:t>
      </w:r>
    </w:p>
    <w:p w14:paraId="3B92CEE6">
      <w:pPr>
        <w:spacing w:line="580" w:lineRule="exact"/>
        <w:ind w:firstLine="640"/>
        <w:jc w:val="both"/>
      </w:pPr>
      <w:r>
        <w:rPr>
          <w:rFonts w:ascii="仿宋_GB2312" w:hAnsi="仿宋_GB2312" w:eastAsia="仿宋_GB2312"/>
          <w:b w:val="0"/>
          <w:sz w:val="32"/>
        </w:rPr>
        <w:t>授予中小企业合同金额79.89万元，占政府采购支出总额的100.00%，其中：授予小微企业合同金额69.48万元，占政府采购支出总额的86.97%。</w:t>
      </w:r>
    </w:p>
    <w:p w14:paraId="08039734">
      <w:pPr>
        <w:spacing w:line="640" w:lineRule="exact"/>
        <w:ind w:firstLine="640"/>
        <w:jc w:val="both"/>
        <w:outlineLvl w:val="3"/>
      </w:pPr>
      <w:r>
        <w:rPr>
          <w:rFonts w:ascii="楷体_GB2312" w:hAnsi="楷体_GB2312" w:eastAsia="楷体_GB2312"/>
          <w:b/>
          <w:sz w:val="32"/>
        </w:rPr>
        <w:t>（三）国有资产占用情况说明</w:t>
      </w:r>
    </w:p>
    <w:p w14:paraId="5E6D0A8B">
      <w:pPr>
        <w:spacing w:line="580" w:lineRule="exact"/>
        <w:ind w:firstLine="640"/>
        <w:jc w:val="both"/>
      </w:pPr>
      <w:r>
        <w:rPr>
          <w:rFonts w:ascii="仿宋_GB2312" w:hAnsi="仿宋_GB2312" w:eastAsia="仿宋_GB2312"/>
          <w:b w:val="0"/>
          <w:sz w:val="32"/>
        </w:rPr>
        <w:t>截至2024年12月31日，房屋62,013.58平方米，价值4,330.07万元。车辆12辆，价值162.32万元，其中：副部（省）级及以上领导用车0辆、主要负责人用车0辆、机要通信用车0辆、应急保障用车0辆、执法执勤用车7辆、特种专业技术用车0辆、离退休干部服务用车0辆、其他用车5辆，其他用车主要是：公务用车、督导检查用车。单价100万元（含）以上设备（不含车辆）0台（套）。</w:t>
      </w:r>
    </w:p>
    <w:p w14:paraId="6E14ECE4">
      <w:pPr>
        <w:spacing w:line="640" w:lineRule="exact"/>
        <w:ind w:firstLine="640"/>
        <w:jc w:val="both"/>
        <w:outlineLvl w:val="2"/>
      </w:pPr>
      <w:r>
        <w:rPr>
          <w:rFonts w:ascii="黑体" w:hAnsi="黑体" w:eastAsia="黑体"/>
          <w:sz w:val="32"/>
        </w:rPr>
        <w:t>十一、预算绩效的情况说明</w:t>
      </w:r>
    </w:p>
    <w:p w14:paraId="4F07164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w:t>
      </w:r>
      <w:r>
        <w:rPr>
          <w:rFonts w:hint="eastAsia" w:ascii="仿宋_GB2312" w:hAnsi="仿宋_GB2312" w:eastAsia="仿宋_GB2312"/>
          <w:b w:val="0"/>
          <w:sz w:val="32"/>
          <w:lang w:val="en-US" w:eastAsia="zh-CN"/>
        </w:rPr>
        <w:t>6,431.32</w:t>
      </w:r>
      <w:r>
        <w:rPr>
          <w:rFonts w:ascii="仿宋_GB2312" w:hAnsi="仿宋_GB2312" w:eastAsia="仿宋_GB2312"/>
          <w:b w:val="0"/>
          <w:sz w:val="32"/>
        </w:rPr>
        <w:t>万元，实际执行总额</w:t>
      </w:r>
      <w:r>
        <w:rPr>
          <w:rFonts w:hint="eastAsia" w:ascii="仿宋_GB2312" w:hAnsi="仿宋_GB2312" w:eastAsia="仿宋_GB2312"/>
          <w:b w:val="0"/>
          <w:sz w:val="32"/>
          <w:lang w:val="en-US" w:eastAsia="zh-CN"/>
        </w:rPr>
        <w:t>6,</w:t>
      </w:r>
      <w:bookmarkStart w:id="0" w:name="_GoBack"/>
      <w:bookmarkEnd w:id="0"/>
      <w:r>
        <w:rPr>
          <w:rFonts w:hint="eastAsia" w:ascii="仿宋_GB2312" w:hAnsi="仿宋_GB2312" w:eastAsia="仿宋_GB2312"/>
          <w:b w:val="0"/>
          <w:sz w:val="32"/>
          <w:lang w:val="en-US" w:eastAsia="zh-CN"/>
        </w:rPr>
        <w:t>431.32</w:t>
      </w:r>
      <w:r>
        <w:rPr>
          <w:rFonts w:ascii="仿宋_GB2312" w:hAnsi="仿宋_GB2312" w:eastAsia="仿宋_GB2312"/>
          <w:b w:val="0"/>
          <w:sz w:val="32"/>
        </w:rPr>
        <w:t>万元；预算绩效评价项目</w:t>
      </w:r>
      <w:r>
        <w:rPr>
          <w:rFonts w:hint="eastAsia" w:ascii="仿宋_GB2312" w:hAnsi="仿宋_GB2312" w:eastAsia="仿宋_GB2312"/>
          <w:b w:val="0"/>
          <w:sz w:val="32"/>
          <w:lang w:val="en-US" w:eastAsia="zh-CN"/>
        </w:rPr>
        <w:t>5</w:t>
      </w:r>
      <w:r>
        <w:rPr>
          <w:rFonts w:ascii="仿宋_GB2312" w:hAnsi="仿宋_GB2312" w:eastAsia="仿宋_GB2312"/>
          <w:b w:val="0"/>
          <w:sz w:val="32"/>
        </w:rPr>
        <w:t>个，全年预算数3</w:t>
      </w:r>
      <w:r>
        <w:rPr>
          <w:rFonts w:hint="eastAsia" w:ascii="仿宋_GB2312" w:hAnsi="仿宋_GB2312" w:eastAsia="仿宋_GB2312"/>
          <w:b w:val="0"/>
          <w:sz w:val="32"/>
          <w:lang w:val="en-US" w:eastAsia="zh-CN"/>
        </w:rPr>
        <w:t>,</w:t>
      </w:r>
      <w:r>
        <w:rPr>
          <w:rFonts w:ascii="仿宋_GB2312" w:hAnsi="仿宋_GB2312" w:eastAsia="仿宋_GB2312"/>
          <w:b w:val="0"/>
          <w:sz w:val="32"/>
        </w:rPr>
        <w:t>279.81万元，全年执行数3</w:t>
      </w:r>
      <w:r>
        <w:rPr>
          <w:rFonts w:hint="eastAsia" w:ascii="仿宋_GB2312" w:hAnsi="仿宋_GB2312" w:eastAsia="仿宋_GB2312"/>
          <w:b w:val="0"/>
          <w:sz w:val="32"/>
          <w:lang w:val="en-US" w:eastAsia="zh-CN"/>
        </w:rPr>
        <w:t>,</w:t>
      </w:r>
      <w:r>
        <w:rPr>
          <w:rFonts w:ascii="仿宋_GB2312" w:hAnsi="仿宋_GB2312" w:eastAsia="仿宋_GB2312"/>
          <w:b w:val="0"/>
          <w:sz w:val="32"/>
        </w:rPr>
        <w:t>270.48万元。预算绩效管理取得的成效：一是合理设置年初绩效目标，严格按资金具体用途将产出数量目标全部量化至三级指标，据此开展绩效监控和绩效自评工作；二是坚持专款专用的原则，严格按年初拟定的资金使用计划安排支出，不随意突破计划、改变计划或进行无计划的支出，提高财政资金支出的计划性与可控性。发现的问题及原因：一是对绩效目标的设定和各项指标的理解、认识尚有欠缺，导致目标与产出的数量指标、质量指标在对应性上还不够明确、不够量化，可衡量性水平还有待提升；二是预算编制与绩效评价工作在平衡性上还有待加强，重项目争取，轻预算管理，重资金分配，轻绩效评价。下一步改进措施：一是提高对预算绩效的认识，充分理解财政绩效评价指标体系，注重绩效目标、评价指标的关联性，依据部门职责和年度工作重点，更加科学合理地确定部门绩效目标和评价目标，注重各项指标的可衡量性和科学合理配置；二是强化全过程预算绩效管理理念，强化部门项目选择与部门职责的相关性，细化预算编制，加强预算项目事前、事中、事后管控，做到事前有评估、事中有监控、事后有评价，并且按预期绩效目标完成程度考核项目实施效果。</w:t>
      </w:r>
    </w:p>
    <w:p w14:paraId="1CA66E33">
      <w:r>
        <w:br w:type="page"/>
      </w:r>
    </w:p>
    <w:p w14:paraId="3918FA0E">
      <w:pPr>
        <w:spacing w:line="640" w:lineRule="exact"/>
        <w:ind w:firstLine="640"/>
        <w:jc w:val="both"/>
        <w:outlineLvl w:val="2"/>
      </w:pPr>
      <w:r>
        <w:rPr>
          <w:rFonts w:ascii="黑体" w:hAnsi="黑体" w:eastAsia="黑体"/>
          <w:sz w:val="32"/>
        </w:rPr>
        <w:t>十二、其他需说明的事项</w:t>
      </w:r>
    </w:p>
    <w:p w14:paraId="16EB62D3">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本年度本单位整体绩效自评表不予公开。</w:t>
      </w:r>
    </w:p>
    <w:p w14:paraId="528B8D33">
      <w:pPr>
        <w:spacing w:line="580" w:lineRule="exact"/>
        <w:ind w:firstLine="640"/>
        <w:jc w:val="both"/>
      </w:pPr>
      <w:r>
        <w:rPr>
          <w:rFonts w:ascii="仿宋_GB2312" w:hAnsi="仿宋_GB2312" w:eastAsia="仿宋_GB2312"/>
          <w:b w:val="0"/>
          <w:sz w:val="32"/>
        </w:rPr>
        <w:t>本年本单位SM项目5个，全年预算数3279.81万元，全年执行数3270.48万元。</w:t>
      </w:r>
    </w:p>
    <w:p w14:paraId="71487775">
      <w:r>
        <w:br w:type="page"/>
      </w:r>
    </w:p>
    <w:p w14:paraId="01C3C0F5">
      <w:pPr>
        <w:spacing w:line="240" w:lineRule="auto"/>
        <w:jc w:val="center"/>
        <w:outlineLvl w:val="1"/>
      </w:pPr>
      <w:r>
        <w:rPr>
          <w:rFonts w:ascii="黑体" w:hAnsi="黑体" w:eastAsia="黑体"/>
          <w:sz w:val="32"/>
        </w:rPr>
        <w:t>第三部分 专业名词解释</w:t>
      </w:r>
    </w:p>
    <w:p w14:paraId="763D06C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6FAE93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CF8102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C61FBC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51FB3E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D49EA4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00FE23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D6B25A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A04AE1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3C2E20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648C8E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B2CB2D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7A6778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2F4939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4561AA3">
      <w:r>
        <w:br w:type="page"/>
      </w:r>
    </w:p>
    <w:p w14:paraId="76DA154C">
      <w:pPr>
        <w:spacing w:line="240" w:lineRule="auto"/>
        <w:jc w:val="center"/>
        <w:outlineLvl w:val="1"/>
      </w:pPr>
      <w:r>
        <w:rPr>
          <w:rFonts w:ascii="黑体" w:hAnsi="黑体" w:eastAsia="黑体"/>
          <w:sz w:val="32"/>
        </w:rPr>
        <w:t>第四部分 部门决算报表（见附表）</w:t>
      </w:r>
    </w:p>
    <w:p w14:paraId="146314E9">
      <w:pPr>
        <w:spacing w:line="240" w:lineRule="auto"/>
        <w:ind w:firstLine="640"/>
        <w:jc w:val="both"/>
      </w:pPr>
      <w:r>
        <w:rPr>
          <w:rFonts w:ascii="仿宋_GB2312" w:hAnsi="仿宋_GB2312" w:eastAsia="仿宋_GB2312"/>
          <w:b w:val="0"/>
          <w:sz w:val="32"/>
        </w:rPr>
        <w:t>一、《收入支出决算总表》</w:t>
      </w:r>
    </w:p>
    <w:p w14:paraId="7F4C5324">
      <w:pPr>
        <w:spacing w:line="240" w:lineRule="auto"/>
        <w:ind w:firstLine="640"/>
        <w:jc w:val="both"/>
      </w:pPr>
      <w:r>
        <w:rPr>
          <w:rFonts w:ascii="仿宋_GB2312" w:hAnsi="仿宋_GB2312" w:eastAsia="仿宋_GB2312"/>
          <w:b w:val="0"/>
          <w:sz w:val="32"/>
        </w:rPr>
        <w:t>二、《收入决算表》</w:t>
      </w:r>
    </w:p>
    <w:p w14:paraId="3F0F4C48">
      <w:pPr>
        <w:spacing w:line="240" w:lineRule="auto"/>
        <w:ind w:firstLine="640"/>
        <w:jc w:val="both"/>
      </w:pPr>
      <w:r>
        <w:rPr>
          <w:rFonts w:ascii="仿宋_GB2312" w:hAnsi="仿宋_GB2312" w:eastAsia="仿宋_GB2312"/>
          <w:b w:val="0"/>
          <w:sz w:val="32"/>
        </w:rPr>
        <w:t>三、《支出决算表》</w:t>
      </w:r>
    </w:p>
    <w:p w14:paraId="03402CA6">
      <w:pPr>
        <w:spacing w:line="240" w:lineRule="auto"/>
        <w:ind w:firstLine="640"/>
        <w:jc w:val="both"/>
      </w:pPr>
      <w:r>
        <w:rPr>
          <w:rFonts w:ascii="仿宋_GB2312" w:hAnsi="仿宋_GB2312" w:eastAsia="仿宋_GB2312"/>
          <w:b w:val="0"/>
          <w:sz w:val="32"/>
        </w:rPr>
        <w:t>四、《财政拨款收入支出决算总表》</w:t>
      </w:r>
    </w:p>
    <w:p w14:paraId="4DCA6BBC">
      <w:pPr>
        <w:spacing w:line="240" w:lineRule="auto"/>
        <w:ind w:firstLine="640"/>
        <w:jc w:val="both"/>
      </w:pPr>
      <w:r>
        <w:rPr>
          <w:rFonts w:ascii="仿宋_GB2312" w:hAnsi="仿宋_GB2312" w:eastAsia="仿宋_GB2312"/>
          <w:b w:val="0"/>
          <w:sz w:val="32"/>
        </w:rPr>
        <w:t>五、《一般公共预算财政拨款支出决算表》</w:t>
      </w:r>
    </w:p>
    <w:p w14:paraId="39D8D775">
      <w:pPr>
        <w:spacing w:line="240" w:lineRule="auto"/>
        <w:ind w:firstLine="640"/>
        <w:jc w:val="both"/>
      </w:pPr>
      <w:r>
        <w:rPr>
          <w:rFonts w:ascii="仿宋_GB2312" w:hAnsi="仿宋_GB2312" w:eastAsia="仿宋_GB2312"/>
          <w:b w:val="0"/>
          <w:sz w:val="32"/>
        </w:rPr>
        <w:t>六、《一般公共预算财政拨款基本支出决算表》</w:t>
      </w:r>
    </w:p>
    <w:p w14:paraId="1740F40F">
      <w:pPr>
        <w:spacing w:line="240" w:lineRule="auto"/>
        <w:ind w:firstLine="640"/>
        <w:jc w:val="both"/>
      </w:pPr>
      <w:r>
        <w:rPr>
          <w:rFonts w:ascii="仿宋_GB2312" w:hAnsi="仿宋_GB2312" w:eastAsia="仿宋_GB2312"/>
          <w:b w:val="0"/>
          <w:sz w:val="32"/>
        </w:rPr>
        <w:t>七、《政府性基金预算财政拨款收入支出决算表》</w:t>
      </w:r>
    </w:p>
    <w:p w14:paraId="6C8BA2BC">
      <w:pPr>
        <w:spacing w:line="240" w:lineRule="auto"/>
        <w:ind w:firstLine="640"/>
        <w:jc w:val="both"/>
      </w:pPr>
      <w:r>
        <w:rPr>
          <w:rFonts w:ascii="仿宋_GB2312" w:hAnsi="仿宋_GB2312" w:eastAsia="仿宋_GB2312"/>
          <w:b w:val="0"/>
          <w:sz w:val="32"/>
        </w:rPr>
        <w:t>八、《国有资本经营预算财政拨款收入支出决算表》</w:t>
      </w:r>
    </w:p>
    <w:p w14:paraId="25CE827D">
      <w:pPr>
        <w:spacing w:line="240" w:lineRule="auto"/>
        <w:ind w:firstLine="640"/>
        <w:jc w:val="both"/>
      </w:pPr>
      <w:r>
        <w:rPr>
          <w:rFonts w:ascii="仿宋_GB2312" w:hAnsi="仿宋_GB2312" w:eastAsia="仿宋_GB2312"/>
          <w:b w:val="0"/>
          <w:sz w:val="32"/>
        </w:rPr>
        <w:t>九、《财政拨款“三公”经费支出决算表》</w:t>
      </w:r>
    </w:p>
    <w:p w14:paraId="0FD9AE3E">
      <w:pPr>
        <w:spacing w:line="240" w:lineRule="auto"/>
        <w:ind w:firstLine="640"/>
        <w:jc w:val="both"/>
      </w:pPr>
    </w:p>
    <w:p w14:paraId="47A0C721">
      <w:pPr>
        <w:spacing w:line="240" w:lineRule="auto"/>
        <w:ind w:firstLine="640"/>
        <w:jc w:val="both"/>
      </w:pPr>
    </w:p>
    <w:p w14:paraId="63A49D96">
      <w:pPr>
        <w:spacing w:line="240" w:lineRule="auto"/>
        <w:ind w:firstLine="640"/>
        <w:jc w:val="both"/>
      </w:pPr>
    </w:p>
    <w:p w14:paraId="550BCD4F">
      <w:pPr>
        <w:spacing w:line="240" w:lineRule="auto"/>
        <w:ind w:firstLine="640"/>
        <w:jc w:val="both"/>
      </w:pPr>
    </w:p>
    <w:p w14:paraId="113703E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DCC75A0-FBBF-401D-B9AF-323121AC955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C152AC3-FC65-440B-AE4C-B1B5EE9FE92F}"/>
  </w:font>
  <w:font w:name="仿宋_GB2312">
    <w:panose1 w:val="02010609030101010101"/>
    <w:charset w:val="86"/>
    <w:family w:val="modern"/>
    <w:pitch w:val="default"/>
    <w:sig w:usb0="00000001" w:usb1="080E0000" w:usb2="00000000" w:usb3="00000000" w:csb0="00040000" w:csb1="00000000"/>
    <w:embedRegular r:id="rId3" w:fontKey="{90867250-E8F5-4FE5-AF54-FE410F6C4F72}"/>
  </w:font>
  <w:font w:name="楷体_GB2312">
    <w:panose1 w:val="02010609030101010101"/>
    <w:charset w:val="86"/>
    <w:family w:val="auto"/>
    <w:pitch w:val="default"/>
    <w:sig w:usb0="00000001" w:usb1="080E0000" w:usb2="00000000" w:usb3="00000000" w:csb0="00040000" w:csb1="00000000"/>
    <w:embedRegular r:id="rId4" w:fontKey="{F1B3B981-63CB-4C8B-B012-842E23F3A20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091689"/>
    <w:rsid w:val="021B7195"/>
    <w:rsid w:val="02F73D26"/>
    <w:rsid w:val="034D4FEF"/>
    <w:rsid w:val="043E5B56"/>
    <w:rsid w:val="06792773"/>
    <w:rsid w:val="09A729D8"/>
    <w:rsid w:val="0A2F1CE4"/>
    <w:rsid w:val="0A3C58E8"/>
    <w:rsid w:val="0A7B4867"/>
    <w:rsid w:val="0B8C3ECC"/>
    <w:rsid w:val="0C3613A3"/>
    <w:rsid w:val="0C7227A7"/>
    <w:rsid w:val="0DCA6EF7"/>
    <w:rsid w:val="0E4B1576"/>
    <w:rsid w:val="0EA04331"/>
    <w:rsid w:val="0F9811B3"/>
    <w:rsid w:val="0FB83603"/>
    <w:rsid w:val="11E15093"/>
    <w:rsid w:val="120E0809"/>
    <w:rsid w:val="159D34F2"/>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185145"/>
    <w:rsid w:val="282459E2"/>
    <w:rsid w:val="29116777"/>
    <w:rsid w:val="29CF146A"/>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5C71E0"/>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6637</Words>
  <Characters>7527</Characters>
  <Lines>0</Lines>
  <Paragraphs>0</Paragraphs>
  <TotalTime>7</TotalTime>
  <ScaleCrop>false</ScaleCrop>
  <LinksUpToDate>false</LinksUpToDate>
  <CharactersWithSpaces>7537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2025-09-25T08:07:56Z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