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中国共产党霍城县委员会宣传部2024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BA81D05">
      <w:r>
        <w:br w:type="page"/>
      </w:r>
    </w:p>
    <w:p w14:paraId="74A92D82">
      <w:pPr>
        <w:spacing w:line="640" w:lineRule="exact"/>
        <w:jc w:val="center"/>
        <w:outlineLvl w:val="1"/>
      </w:pPr>
      <w:r>
        <w:rPr>
          <w:rFonts w:ascii="黑体" w:hAnsi="黑体" w:eastAsia="黑体"/>
          <w:sz w:val="32"/>
        </w:rPr>
        <w:t>第一部分 单位概况</w:t>
      </w:r>
    </w:p>
    <w:p w14:paraId="39D25163">
      <w:pPr>
        <w:spacing w:line="640" w:lineRule="exact"/>
        <w:ind w:firstLine="640"/>
        <w:jc w:val="both"/>
        <w:outlineLvl w:val="2"/>
      </w:pPr>
      <w:r>
        <w:rPr>
          <w:rFonts w:ascii="黑体" w:hAnsi="黑体" w:eastAsia="黑体"/>
          <w:sz w:val="32"/>
        </w:rPr>
        <w:t>一、主要职能</w:t>
      </w:r>
    </w:p>
    <w:p w14:paraId="5BB46C89">
      <w:pPr>
        <w:spacing w:line="580" w:lineRule="exact"/>
        <w:ind w:firstLine="640"/>
        <w:jc w:val="both"/>
      </w:pPr>
      <w:r>
        <w:rPr>
          <w:rFonts w:ascii="仿宋_GB2312" w:hAnsi="仿宋_GB2312" w:eastAsia="仿宋_GB2312"/>
          <w:sz w:val="32"/>
        </w:rPr>
        <w:t>（1）负责指导全县理论研究、理论学习、理论宣传工作；贯彻落实党的宣传工作方针政策。</w:t>
      </w:r>
    </w:p>
    <w:p w14:paraId="0C428FF2">
      <w:pPr>
        <w:spacing w:line="580" w:lineRule="exact"/>
        <w:ind w:firstLine="640"/>
        <w:jc w:val="both"/>
      </w:pPr>
      <w:r>
        <w:rPr>
          <w:rFonts w:ascii="仿宋_GB2312" w:hAnsi="仿宋_GB2312" w:eastAsia="仿宋_GB2312"/>
          <w:sz w:val="32"/>
        </w:rPr>
        <w:t>（2）负责引导社会舆论，指导、协调文广局等部门的工作，对广播电影电视的工作实施方针政策的指导。</w:t>
      </w:r>
    </w:p>
    <w:p w14:paraId="13A5324D">
      <w:pPr>
        <w:spacing w:line="580" w:lineRule="exact"/>
        <w:ind w:firstLine="640"/>
        <w:jc w:val="both"/>
      </w:pPr>
      <w:r>
        <w:rPr>
          <w:rFonts w:ascii="仿宋_GB2312" w:hAnsi="仿宋_GB2312" w:eastAsia="仿宋_GB2312"/>
          <w:sz w:val="32"/>
        </w:rPr>
        <w:t>（3）负责从宏观上指导精神产品的生产和文化市场管理。加强文化部门在政治方向、方针政策方面的领导。</w:t>
      </w:r>
    </w:p>
    <w:p w14:paraId="5FE55658">
      <w:pPr>
        <w:spacing w:line="580" w:lineRule="exact"/>
        <w:ind w:firstLine="640"/>
        <w:jc w:val="both"/>
      </w:pPr>
      <w:r>
        <w:rPr>
          <w:rFonts w:ascii="仿宋_GB2312" w:hAnsi="仿宋_GB2312" w:eastAsia="仿宋_GB2312"/>
          <w:sz w:val="32"/>
        </w:rPr>
        <w:t>（4）负责规划、部署我县思想政治工作任务和群众性的社会主义精神文明建设活动；配合宣传部做好党员教育工作；会同有关部门研究和改进群众思想教育工作。</w:t>
      </w:r>
    </w:p>
    <w:p w14:paraId="5CF8A53F">
      <w:pPr>
        <w:spacing w:line="580" w:lineRule="exact"/>
        <w:ind w:firstLine="640"/>
        <w:jc w:val="both"/>
      </w:pPr>
      <w:r>
        <w:rPr>
          <w:rFonts w:ascii="仿宋_GB2312" w:hAnsi="仿宋_GB2312" w:eastAsia="仿宋_GB2312"/>
          <w:sz w:val="32"/>
        </w:rPr>
        <w:t>（5）负责全县机关单位党报、党刊的征订工作，做好党员干部理论教育教材的组织编印工作。</w:t>
      </w:r>
    </w:p>
    <w:p w14:paraId="17336602">
      <w:pPr>
        <w:spacing w:line="580" w:lineRule="exact"/>
        <w:ind w:firstLine="640"/>
        <w:jc w:val="both"/>
      </w:pPr>
      <w:r>
        <w:rPr>
          <w:rFonts w:ascii="仿宋_GB2312" w:hAnsi="仿宋_GB2312" w:eastAsia="仿宋_GB2312"/>
          <w:sz w:val="32"/>
        </w:rPr>
        <w:t>（6）加强宣传队伍的建设，会同宣传部制定我县宣传干部队伍的培训计划并负责实施。</w:t>
      </w:r>
    </w:p>
    <w:p w14:paraId="793CA5D9">
      <w:pPr>
        <w:spacing w:line="580" w:lineRule="exact"/>
        <w:ind w:firstLine="640"/>
        <w:jc w:val="both"/>
      </w:pPr>
      <w:r>
        <w:rPr>
          <w:rFonts w:ascii="仿宋_GB2312" w:hAnsi="仿宋_GB2312" w:eastAsia="仿宋_GB2312"/>
          <w:sz w:val="32"/>
        </w:rPr>
        <w:t>（7）负责提出我县宣传文化事业发展的指导方针，按县委统一的工作部署，协调宣传文化系统各部门之间的关系。</w:t>
      </w:r>
    </w:p>
    <w:p w14:paraId="624141CA">
      <w:pPr>
        <w:spacing w:line="580" w:lineRule="exact"/>
        <w:ind w:firstLine="640"/>
        <w:jc w:val="both"/>
      </w:pPr>
      <w:r>
        <w:rPr>
          <w:rFonts w:ascii="仿宋_GB2312" w:hAnsi="仿宋_GB2312" w:eastAsia="仿宋_GB2312"/>
          <w:sz w:val="32"/>
        </w:rPr>
        <w:t>（8）加强社会主义精神文明建设。</w:t>
      </w:r>
    </w:p>
    <w:p w14:paraId="041EE6D0">
      <w:pPr>
        <w:spacing w:line="580" w:lineRule="exact"/>
        <w:ind w:firstLine="640"/>
        <w:jc w:val="both"/>
      </w:pPr>
      <w:r>
        <w:rPr>
          <w:rFonts w:ascii="仿宋_GB2312" w:hAnsi="仿宋_GB2312" w:eastAsia="仿宋_GB2312"/>
          <w:sz w:val="32"/>
        </w:rPr>
        <w:t>（9）霍城县文学艺术界联合会工作。</w:t>
      </w:r>
    </w:p>
    <w:p w14:paraId="3E1676DC">
      <w:pPr>
        <w:spacing w:line="580" w:lineRule="exact"/>
        <w:ind w:firstLine="640"/>
        <w:jc w:val="both"/>
      </w:pPr>
      <w:r>
        <w:rPr>
          <w:rFonts w:ascii="仿宋_GB2312" w:hAnsi="仿宋_GB2312" w:eastAsia="仿宋_GB2312"/>
          <w:sz w:val="32"/>
        </w:rPr>
        <w:t>（10）加强社会科学工作，负责开展社会科学研究及宣传普及工作，指导和管理当地社会科学界各类学术团体工作。</w:t>
      </w:r>
    </w:p>
    <w:p w14:paraId="1B0FB3CB">
      <w:pPr>
        <w:spacing w:line="580" w:lineRule="exact"/>
        <w:ind w:firstLine="640"/>
        <w:jc w:val="both"/>
      </w:pPr>
      <w:r>
        <w:rPr>
          <w:rFonts w:ascii="仿宋_GB2312" w:hAnsi="仿宋_GB2312" w:eastAsia="仿宋_GB2312"/>
          <w:sz w:val="32"/>
        </w:rPr>
        <w:t>（11）加强对外宣传工作，承担对外宣传、新闻发布，以及网络与强监看和收集</w:t>
      </w:r>
      <w:r>
        <w:rPr>
          <w:rFonts w:hint="eastAsia" w:ascii="仿宋_GB2312" w:hAnsi="仿宋_GB2312" w:eastAsia="仿宋_GB2312"/>
          <w:sz w:val="32"/>
          <w:lang w:eastAsia="zh-CN"/>
        </w:rPr>
        <w:t>信息职</w:t>
      </w:r>
      <w:r>
        <w:rPr>
          <w:rFonts w:ascii="仿宋_GB2312" w:hAnsi="仿宋_GB2312" w:eastAsia="仿宋_GB2312"/>
          <w:sz w:val="32"/>
        </w:rPr>
        <w:t>责。</w:t>
      </w:r>
    </w:p>
    <w:p w14:paraId="27BD9F9A">
      <w:pPr>
        <w:spacing w:line="640" w:lineRule="exact"/>
        <w:ind w:firstLine="640"/>
        <w:jc w:val="both"/>
        <w:outlineLvl w:val="2"/>
      </w:pPr>
      <w:r>
        <w:rPr>
          <w:rFonts w:ascii="黑体" w:hAnsi="黑体" w:eastAsia="黑体"/>
          <w:sz w:val="32"/>
        </w:rPr>
        <w:t>二、机构设置及人员情况</w:t>
      </w:r>
    </w:p>
    <w:p w14:paraId="4737FFFE">
      <w:pPr>
        <w:spacing w:line="580" w:lineRule="exact"/>
        <w:ind w:firstLine="640"/>
        <w:jc w:val="both"/>
      </w:pPr>
      <w:r>
        <w:rPr>
          <w:rFonts w:ascii="仿宋_GB2312" w:hAnsi="仿宋_GB2312" w:eastAsia="仿宋_GB2312"/>
          <w:sz w:val="32"/>
        </w:rPr>
        <w:t>中国共产党霍城县委员会宣传部2024年度，实有人数36人，其中：在职人员21人，增加1人；离休人员0人，增加0人；退休人员15人,增加9人。</w:t>
      </w:r>
    </w:p>
    <w:p w14:paraId="2CA3C352">
      <w:pPr>
        <w:spacing w:line="580" w:lineRule="exact"/>
        <w:ind w:firstLine="640"/>
        <w:jc w:val="both"/>
      </w:pPr>
      <w:r>
        <w:rPr>
          <w:rFonts w:ascii="仿宋_GB2312" w:hAnsi="仿宋_GB2312" w:eastAsia="仿宋_GB2312"/>
          <w:sz w:val="32"/>
        </w:rPr>
        <w:t>中国共产党霍城县委员会宣传部无下属预算单位，下设4个科室，分别是：办公室、宣传教育科、文明创建科、出版版权科。</w:t>
      </w:r>
    </w:p>
    <w:p w14:paraId="0DAB667E">
      <w:r>
        <w:br w:type="page"/>
      </w:r>
    </w:p>
    <w:p w14:paraId="7DF60D02">
      <w:pPr>
        <w:spacing w:line="240" w:lineRule="auto"/>
        <w:jc w:val="center"/>
        <w:outlineLvl w:val="1"/>
      </w:pPr>
      <w:r>
        <w:rPr>
          <w:rFonts w:ascii="黑体" w:hAnsi="黑体" w:eastAsia="黑体"/>
          <w:sz w:val="32"/>
        </w:rPr>
        <w:t>第二部分 部门决算情况说明</w:t>
      </w:r>
    </w:p>
    <w:p w14:paraId="7F55B00B">
      <w:pPr>
        <w:spacing w:line="640" w:lineRule="exact"/>
        <w:ind w:firstLine="640"/>
        <w:jc w:val="both"/>
        <w:outlineLvl w:val="2"/>
      </w:pPr>
      <w:r>
        <w:rPr>
          <w:rFonts w:ascii="黑体" w:hAnsi="黑体" w:eastAsia="黑体"/>
          <w:sz w:val="32"/>
        </w:rPr>
        <w:t>一、收入支出决算总体情况说明</w:t>
      </w:r>
    </w:p>
    <w:p w14:paraId="51382D78">
      <w:pPr>
        <w:spacing w:line="580" w:lineRule="exact"/>
        <w:ind w:firstLine="640"/>
        <w:jc w:val="both"/>
      </w:pPr>
      <w:r>
        <w:rPr>
          <w:rFonts w:ascii="仿宋_GB2312" w:hAnsi="仿宋_GB2312" w:eastAsia="仿宋_GB2312"/>
          <w:b/>
          <w:sz w:val="32"/>
        </w:rPr>
        <w:t>2024年度收入总计720.53万元，</w:t>
      </w:r>
      <w:r>
        <w:rPr>
          <w:rFonts w:ascii="仿宋_GB2312" w:hAnsi="仿宋_GB2312" w:eastAsia="仿宋_GB2312"/>
          <w:b w:val="0"/>
          <w:sz w:val="32"/>
        </w:rPr>
        <w:t>其中：本年收入合计720.53万元，使用非财政拨款结余（含专用结余）0.00万元，年初结转和结余0.00万元。</w:t>
      </w:r>
    </w:p>
    <w:p w14:paraId="05A7C77B">
      <w:pPr>
        <w:spacing w:line="580" w:lineRule="exact"/>
        <w:ind w:firstLine="640"/>
        <w:jc w:val="both"/>
      </w:pPr>
      <w:r>
        <w:rPr>
          <w:rFonts w:ascii="仿宋_GB2312" w:hAnsi="仿宋_GB2312" w:eastAsia="仿宋_GB2312"/>
          <w:b/>
          <w:sz w:val="32"/>
        </w:rPr>
        <w:t>2024年度支出总计720.53万元，</w:t>
      </w:r>
      <w:r>
        <w:rPr>
          <w:rFonts w:ascii="仿宋_GB2312" w:hAnsi="仿宋_GB2312" w:eastAsia="仿宋_GB2312"/>
          <w:b w:val="0"/>
          <w:sz w:val="32"/>
        </w:rPr>
        <w:t>其中：本年支出合计646.54万元，结余分配0.00万元，年末结转和结余73.99万元。</w:t>
      </w:r>
    </w:p>
    <w:p w14:paraId="437253DA">
      <w:pPr>
        <w:spacing w:line="580" w:lineRule="exact"/>
        <w:ind w:firstLine="640"/>
        <w:jc w:val="both"/>
      </w:pPr>
      <w:r>
        <w:rPr>
          <w:rFonts w:ascii="仿宋_GB2312" w:hAnsi="仿宋_GB2312" w:eastAsia="仿宋_GB2312"/>
          <w:b w:val="0"/>
          <w:sz w:val="32"/>
        </w:rPr>
        <w:t>收入支出总体与上年相比，增加230.08万元，增长46.91%，主要原因是：1.本年在职人员工资调增，社保、公积金基数调增，人员经费增加；2.本年增加</w:t>
      </w:r>
      <w:r>
        <w:rPr>
          <w:rFonts w:hint="eastAsia" w:ascii="仿宋_GB2312" w:hAnsi="仿宋_GB2312" w:eastAsia="仿宋_GB2312"/>
          <w:b w:val="0"/>
          <w:sz w:val="32"/>
          <w:lang w:val="en-US" w:eastAsia="zh-CN"/>
        </w:rPr>
        <w:t>援疆资金用于</w:t>
      </w:r>
      <w:r>
        <w:rPr>
          <w:rFonts w:ascii="仿宋_GB2312" w:hAnsi="仿宋_GB2312" w:eastAsia="仿宋_GB2312"/>
          <w:b w:val="0"/>
          <w:sz w:val="32"/>
        </w:rPr>
        <w:t>霍城县铸牢中华民族共同体意识教育实践基地项目</w:t>
      </w:r>
      <w:r>
        <w:rPr>
          <w:rFonts w:hint="eastAsia" w:ascii="仿宋_GB2312" w:hAnsi="仿宋_GB2312" w:eastAsia="仿宋_GB2312"/>
          <w:b w:val="0"/>
          <w:sz w:val="32"/>
          <w:lang w:val="en-US" w:eastAsia="zh-CN"/>
        </w:rPr>
        <w:t>等</w:t>
      </w:r>
      <w:r>
        <w:rPr>
          <w:rFonts w:ascii="仿宋_GB2312" w:hAnsi="仿宋_GB2312" w:eastAsia="仿宋_GB2312"/>
          <w:b w:val="0"/>
          <w:sz w:val="32"/>
        </w:rPr>
        <w:t>。</w:t>
      </w:r>
    </w:p>
    <w:p w14:paraId="0A9DE2A8">
      <w:pPr>
        <w:spacing w:line="640" w:lineRule="exact"/>
        <w:ind w:firstLine="640"/>
        <w:jc w:val="both"/>
        <w:outlineLvl w:val="2"/>
      </w:pPr>
      <w:r>
        <w:rPr>
          <w:rFonts w:ascii="黑体" w:hAnsi="黑体" w:eastAsia="黑体"/>
          <w:sz w:val="32"/>
        </w:rPr>
        <w:t>二、收入决算情况说明</w:t>
      </w:r>
    </w:p>
    <w:p w14:paraId="6325E666">
      <w:pPr>
        <w:spacing w:line="580" w:lineRule="exact"/>
        <w:ind w:firstLine="640"/>
        <w:jc w:val="both"/>
      </w:pPr>
      <w:r>
        <w:rPr>
          <w:rFonts w:ascii="仿宋_GB2312" w:hAnsi="仿宋_GB2312" w:eastAsia="仿宋_GB2312"/>
          <w:b/>
          <w:sz w:val="32"/>
        </w:rPr>
        <w:t>本年收入720.53万元，</w:t>
      </w:r>
      <w:r>
        <w:rPr>
          <w:rFonts w:ascii="仿宋_GB2312" w:hAnsi="仿宋_GB2312" w:eastAsia="仿宋_GB2312"/>
          <w:b w:val="0"/>
          <w:sz w:val="32"/>
        </w:rPr>
        <w:t>其中：财政拨款收入502.23万元，占69.70%；上级补助收入0.00万元，占0.00%；事业收入0.00万元，占0.00%；经营收入0.00万元，占0.00%；附属单位上缴收入0.00万元，占0.00%；其他收入218.30万元，占30.30%。</w:t>
      </w:r>
    </w:p>
    <w:p w14:paraId="659BA1EB">
      <w:pPr>
        <w:spacing w:line="640" w:lineRule="exact"/>
        <w:ind w:firstLine="640"/>
        <w:jc w:val="both"/>
        <w:outlineLvl w:val="2"/>
      </w:pPr>
      <w:r>
        <w:rPr>
          <w:rFonts w:ascii="黑体" w:hAnsi="黑体" w:eastAsia="黑体"/>
          <w:sz w:val="32"/>
        </w:rPr>
        <w:t>三、支出决算情况说明</w:t>
      </w:r>
    </w:p>
    <w:p w14:paraId="390EF8D7">
      <w:pPr>
        <w:spacing w:line="580" w:lineRule="exact"/>
        <w:ind w:firstLine="640"/>
        <w:jc w:val="both"/>
      </w:pPr>
      <w:r>
        <w:rPr>
          <w:rFonts w:ascii="仿宋_GB2312" w:hAnsi="仿宋_GB2312" w:eastAsia="仿宋_GB2312"/>
          <w:b/>
          <w:sz w:val="32"/>
        </w:rPr>
        <w:t>本年支出646.54万元，</w:t>
      </w:r>
      <w:r>
        <w:rPr>
          <w:rFonts w:ascii="仿宋_GB2312" w:hAnsi="仿宋_GB2312" w:eastAsia="仿宋_GB2312"/>
          <w:b w:val="0"/>
          <w:sz w:val="32"/>
        </w:rPr>
        <w:t>其中：基本支出360.19万元，占55.71%；项目支出286.35万元，占44.29%；上缴上级支出0.00万元，占0.00%；经营支出0.00万元，占0.00%；对附属单位补助支出0.00万元，占0.00%。</w:t>
      </w:r>
    </w:p>
    <w:p w14:paraId="74D22650">
      <w:pPr>
        <w:spacing w:line="640" w:lineRule="exact"/>
        <w:ind w:firstLine="640"/>
        <w:jc w:val="both"/>
        <w:outlineLvl w:val="2"/>
      </w:pPr>
      <w:r>
        <w:rPr>
          <w:rFonts w:ascii="黑体" w:hAnsi="黑体" w:eastAsia="黑体"/>
          <w:sz w:val="32"/>
        </w:rPr>
        <w:t>四、财政拨款收入支出决算总体情况说明</w:t>
      </w:r>
    </w:p>
    <w:p w14:paraId="67503FA3">
      <w:pPr>
        <w:spacing w:line="580" w:lineRule="exact"/>
        <w:ind w:firstLine="640"/>
        <w:jc w:val="both"/>
      </w:pPr>
      <w:r>
        <w:rPr>
          <w:rFonts w:ascii="仿宋_GB2312" w:hAnsi="仿宋_GB2312" w:eastAsia="仿宋_GB2312"/>
          <w:b/>
          <w:sz w:val="32"/>
        </w:rPr>
        <w:t>2024年度财政拨款收入总计502.23万元，</w:t>
      </w:r>
      <w:r>
        <w:rPr>
          <w:rFonts w:ascii="仿宋_GB2312" w:hAnsi="仿宋_GB2312" w:eastAsia="仿宋_GB2312"/>
          <w:b w:val="0"/>
          <w:sz w:val="32"/>
        </w:rPr>
        <w:t>其中：年初财政拨款结转和结余0.00万元，本年财政拨款收入502.23万元。</w:t>
      </w:r>
      <w:r>
        <w:rPr>
          <w:rFonts w:ascii="仿宋_GB2312" w:hAnsi="仿宋_GB2312" w:eastAsia="仿宋_GB2312"/>
          <w:b/>
          <w:sz w:val="32"/>
        </w:rPr>
        <w:t>财政拨款支出总计502.23万元，</w:t>
      </w:r>
      <w:r>
        <w:rPr>
          <w:rFonts w:ascii="仿宋_GB2312" w:hAnsi="仿宋_GB2312" w:eastAsia="仿宋_GB2312"/>
          <w:b w:val="0"/>
          <w:sz w:val="32"/>
        </w:rPr>
        <w:t>其中：年末财政拨款结转和结余0.00万元，本年财政拨款支出502.23万元。</w:t>
      </w:r>
    </w:p>
    <w:p w14:paraId="1EF2AE8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增加11.78万元，增长2.40%，主要原因是：本年在职人员工资调增，社保、公积金基数调增，人员经费增加。</w:t>
      </w:r>
      <w:bookmarkStart w:id="0" w:name="_GoBack"/>
      <w:bookmarkEnd w:id="0"/>
      <w:r>
        <w:rPr>
          <w:rFonts w:ascii="仿宋_GB2312" w:hAnsi="仿宋_GB2312" w:eastAsia="仿宋_GB2312"/>
          <w:b/>
          <w:sz w:val="32"/>
        </w:rPr>
        <w:t>与年初预算相比，</w:t>
      </w:r>
      <w:r>
        <w:rPr>
          <w:rFonts w:ascii="仿宋_GB2312" w:hAnsi="仿宋_GB2312" w:eastAsia="仿宋_GB2312"/>
          <w:b w:val="0"/>
          <w:sz w:val="32"/>
        </w:rPr>
        <w:t>年初预算数347.28万元，决算数502.23万元，预决算差异率44.62%，主要原因是：1.年中追加2024年中央补助地方公共文化服务体系建设补助资金项目、《山水间的家》栏目拍摄资金项目，导致预决算存在差异；2.年中追加人员工资、社保、公积金基数调增部分资金，导致预决算存在差异。</w:t>
      </w:r>
    </w:p>
    <w:p w14:paraId="2E8233D1">
      <w:pPr>
        <w:spacing w:line="640" w:lineRule="exact"/>
        <w:ind w:firstLine="640"/>
        <w:jc w:val="both"/>
        <w:outlineLvl w:val="2"/>
      </w:pPr>
      <w:r>
        <w:rPr>
          <w:rFonts w:ascii="黑体" w:hAnsi="黑体" w:eastAsia="黑体"/>
          <w:sz w:val="32"/>
        </w:rPr>
        <w:t>五、一般公共预算财政拨款支出决算情况说明</w:t>
      </w:r>
    </w:p>
    <w:p w14:paraId="2B6FD0DE">
      <w:pPr>
        <w:spacing w:line="640" w:lineRule="exact"/>
        <w:ind w:firstLine="640"/>
        <w:jc w:val="both"/>
        <w:outlineLvl w:val="3"/>
      </w:pPr>
      <w:r>
        <w:rPr>
          <w:rFonts w:ascii="楷体_GB2312" w:hAnsi="楷体_GB2312" w:eastAsia="楷体_GB2312"/>
          <w:b/>
          <w:sz w:val="32"/>
        </w:rPr>
        <w:t>（一）一般公共预算财政拨款支出决算总体情况</w:t>
      </w:r>
    </w:p>
    <w:p w14:paraId="44D4C0F4">
      <w:pPr>
        <w:spacing w:line="580" w:lineRule="exact"/>
        <w:ind w:firstLine="640"/>
        <w:jc w:val="both"/>
      </w:pPr>
      <w:r>
        <w:rPr>
          <w:rFonts w:ascii="仿宋_GB2312" w:hAnsi="仿宋_GB2312" w:eastAsia="仿宋_GB2312"/>
          <w:b/>
          <w:sz w:val="32"/>
        </w:rPr>
        <w:t>2024年度一般公共预算财政拨款支出502.23万元，</w:t>
      </w:r>
      <w:r>
        <w:rPr>
          <w:rFonts w:ascii="仿宋_GB2312" w:hAnsi="仿宋_GB2312" w:eastAsia="仿宋_GB2312"/>
          <w:b w:val="0"/>
          <w:sz w:val="32"/>
        </w:rPr>
        <w:t>占本年支出合计的77.68%。</w:t>
      </w:r>
      <w:r>
        <w:rPr>
          <w:rFonts w:ascii="仿宋_GB2312" w:hAnsi="仿宋_GB2312" w:eastAsia="仿宋_GB2312"/>
          <w:b/>
          <w:sz w:val="32"/>
        </w:rPr>
        <w:t>与上年相比，</w:t>
      </w:r>
      <w:r>
        <w:rPr>
          <w:rFonts w:ascii="仿宋_GB2312" w:hAnsi="仿宋_GB2312" w:eastAsia="仿宋_GB2312"/>
          <w:b w:val="0"/>
          <w:sz w:val="32"/>
        </w:rPr>
        <w:t>增加11.78万元，增长2.40%，主要原因是：本年在职人员工资调增，社保、公积金基数调增，人员经费增加。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347.28万元，决算数502.23万元，预决算差异率44.62%，主要原因是：1.年中追加2024年中央补助地方公共文化服务体系建设补助资金项目、《山水间的家》栏目拍摄资金项目，导致预决算存在差异；2.年中追加人员工资、社保、公积金基数调增部分资金，导致预决算存在差异。</w:t>
      </w:r>
    </w:p>
    <w:p w14:paraId="3F8A2180">
      <w:pPr>
        <w:spacing w:line="640" w:lineRule="exact"/>
        <w:ind w:firstLine="640"/>
        <w:jc w:val="both"/>
        <w:outlineLvl w:val="3"/>
      </w:pPr>
      <w:r>
        <w:rPr>
          <w:rFonts w:ascii="楷体_GB2312" w:hAnsi="楷体_GB2312" w:eastAsia="楷体_GB2312"/>
          <w:b/>
          <w:sz w:val="32"/>
        </w:rPr>
        <w:t>（二）一般公共预算财政拨款支出决算结构情况</w:t>
      </w:r>
    </w:p>
    <w:p w14:paraId="5169D824">
      <w:pPr>
        <w:spacing w:line="580" w:lineRule="exact"/>
        <w:ind w:firstLine="640"/>
        <w:jc w:val="both"/>
      </w:pPr>
      <w:r>
        <w:rPr>
          <w:rFonts w:ascii="仿宋_GB2312" w:hAnsi="仿宋_GB2312" w:eastAsia="仿宋_GB2312"/>
          <w:b w:val="0"/>
          <w:sz w:val="32"/>
        </w:rPr>
        <w:t>1.一般公共服务支出(类)268.88万元,占53.54%。</w:t>
      </w:r>
    </w:p>
    <w:p w14:paraId="67305FDF">
      <w:pPr>
        <w:spacing w:line="580" w:lineRule="exact"/>
        <w:ind w:firstLine="640"/>
        <w:jc w:val="both"/>
      </w:pPr>
      <w:r>
        <w:rPr>
          <w:rFonts w:ascii="仿宋_GB2312" w:hAnsi="仿宋_GB2312" w:eastAsia="仿宋_GB2312"/>
          <w:b w:val="0"/>
          <w:sz w:val="32"/>
        </w:rPr>
        <w:t>2.文化旅游体育与传媒支出(类)142.04万元,占28.28%。</w:t>
      </w:r>
    </w:p>
    <w:p w14:paraId="58CAAF6C">
      <w:pPr>
        <w:spacing w:line="580" w:lineRule="exact"/>
        <w:ind w:firstLine="640"/>
        <w:jc w:val="both"/>
      </w:pPr>
      <w:r>
        <w:rPr>
          <w:rFonts w:ascii="仿宋_GB2312" w:hAnsi="仿宋_GB2312" w:eastAsia="仿宋_GB2312"/>
          <w:b w:val="0"/>
          <w:sz w:val="32"/>
        </w:rPr>
        <w:t>3.社会保障和就业支出(类)44.70万元,占8.90%。</w:t>
      </w:r>
    </w:p>
    <w:p w14:paraId="768454E4">
      <w:pPr>
        <w:spacing w:line="580" w:lineRule="exact"/>
        <w:ind w:firstLine="640"/>
        <w:jc w:val="both"/>
      </w:pPr>
      <w:r>
        <w:rPr>
          <w:rFonts w:ascii="仿宋_GB2312" w:hAnsi="仿宋_GB2312" w:eastAsia="仿宋_GB2312"/>
          <w:b w:val="0"/>
          <w:sz w:val="32"/>
        </w:rPr>
        <w:t>4.卫生健康支出(类)17.97万元,占3.58%。</w:t>
      </w:r>
    </w:p>
    <w:p w14:paraId="4BEDFFF4">
      <w:pPr>
        <w:spacing w:line="580" w:lineRule="exact"/>
        <w:ind w:firstLine="640"/>
        <w:jc w:val="both"/>
      </w:pPr>
      <w:r>
        <w:rPr>
          <w:rFonts w:ascii="仿宋_GB2312" w:hAnsi="仿宋_GB2312" w:eastAsia="仿宋_GB2312"/>
          <w:b w:val="0"/>
          <w:sz w:val="32"/>
        </w:rPr>
        <w:t>5.住房保障支出(类)28.64万元,占5.70%。</w:t>
      </w:r>
    </w:p>
    <w:p w14:paraId="53F31870">
      <w:pPr>
        <w:spacing w:line="640" w:lineRule="exact"/>
        <w:ind w:firstLine="640"/>
        <w:jc w:val="both"/>
        <w:outlineLvl w:val="3"/>
      </w:pPr>
      <w:r>
        <w:rPr>
          <w:rFonts w:ascii="楷体_GB2312" w:hAnsi="楷体_GB2312" w:eastAsia="楷体_GB2312"/>
          <w:b/>
          <w:sz w:val="32"/>
        </w:rPr>
        <w:t>（三）一般公共预算财政拨款支出决算具体情况</w:t>
      </w:r>
    </w:p>
    <w:p w14:paraId="3617986F">
      <w:pPr>
        <w:spacing w:line="580" w:lineRule="exact"/>
        <w:ind w:firstLine="640"/>
        <w:jc w:val="both"/>
      </w:pPr>
      <w:r>
        <w:rPr>
          <w:rFonts w:ascii="仿宋_GB2312" w:hAnsi="仿宋_GB2312" w:eastAsia="仿宋_GB2312"/>
          <w:b w:val="0"/>
          <w:sz w:val="32"/>
        </w:rPr>
        <w:t>1.一般公共服务支出(类)宣传事务(款)行政运行(项):支出决算数为140.60万元，比上年决算增加5.63万元，增长4.17%,主要原因是：本年在职人员工资调增，导致相关人员经费较上年有所增加。</w:t>
      </w:r>
    </w:p>
    <w:p w14:paraId="6C88E465">
      <w:pPr>
        <w:spacing w:line="580" w:lineRule="exact"/>
        <w:ind w:firstLine="640"/>
        <w:jc w:val="both"/>
      </w:pPr>
      <w:r>
        <w:rPr>
          <w:rFonts w:ascii="仿宋_GB2312" w:hAnsi="仿宋_GB2312" w:eastAsia="仿宋_GB2312"/>
          <w:b w:val="0"/>
          <w:sz w:val="32"/>
        </w:rPr>
        <w:t>2.一般公共服务支出(类)宣传事务(款)事业运行(项):支出决算数为128.28万元，比上年决算增加26.55万元，增长26.10%,主要原因是：本年在职人员工资调增，导致相关人员经费较上年有所增加。</w:t>
      </w:r>
    </w:p>
    <w:p w14:paraId="43CDF593">
      <w:pPr>
        <w:spacing w:line="580" w:lineRule="exact"/>
        <w:ind w:firstLine="640"/>
        <w:jc w:val="both"/>
      </w:pPr>
      <w:r>
        <w:rPr>
          <w:rFonts w:ascii="仿宋_GB2312" w:hAnsi="仿宋_GB2312" w:eastAsia="仿宋_GB2312"/>
          <w:b w:val="0"/>
          <w:sz w:val="32"/>
        </w:rPr>
        <w:t>3.一般公共服务支出(类)宣传事务(款)其他宣传事务支出(项):支出决算数为0.00万元，比上年决算减少69.99万元，下降100.00%,主要原因是：本年度未安排2023年宣传部正版化软件使用场地租赁服务费项目、2023年宣传部对外宣传项目经费，经费较上年减少。</w:t>
      </w:r>
    </w:p>
    <w:p w14:paraId="1CC8E49C">
      <w:pPr>
        <w:spacing w:line="580" w:lineRule="exact"/>
        <w:ind w:firstLine="640"/>
        <w:jc w:val="both"/>
      </w:pPr>
      <w:r>
        <w:rPr>
          <w:rFonts w:ascii="仿宋_GB2312" w:hAnsi="仿宋_GB2312" w:eastAsia="仿宋_GB2312"/>
          <w:b w:val="0"/>
          <w:sz w:val="32"/>
        </w:rPr>
        <w:t>4.文化旅游体育与传媒支出(类)文化和旅游(款)其他文化和旅游支出(项):支出决算数为32.67万元，比上年决算增加32.67万元，增长100.00%,主要原因是：本年度新增《山水间的家》栏目拍摄资金项目、2024年自治区党委宣传系统项目经费。</w:t>
      </w:r>
    </w:p>
    <w:p w14:paraId="127A9BD5">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109.37万元，比上年决算增加26.08万元，增长31.31%,主要原因是：本年度中央支持地方公共文化服务体系建设</w:t>
      </w:r>
      <w:r>
        <w:rPr>
          <w:rFonts w:hint="eastAsia" w:ascii="仿宋_GB2312" w:hAnsi="仿宋_GB2312" w:eastAsia="仿宋_GB2312"/>
          <w:b w:val="0"/>
          <w:sz w:val="32"/>
          <w:lang w:eastAsia="zh-CN"/>
        </w:rPr>
        <w:t>的</w:t>
      </w:r>
      <w:r>
        <w:rPr>
          <w:rFonts w:ascii="仿宋_GB2312" w:hAnsi="仿宋_GB2312" w:eastAsia="仿宋_GB2312"/>
          <w:b w:val="0"/>
          <w:sz w:val="32"/>
        </w:rPr>
        <w:t>补助资金较上年度增加。</w:t>
      </w:r>
    </w:p>
    <w:p w14:paraId="14F08746">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6.社会保障和就业支出(类)行政事业单位养老支出(款)行政单位离退休(项):支出决算数为4.41万元，比上年决算增加3.21万元，增长267.50%,主要原因是：本年增加退休人员基础绩效奖，退休费支出增加。</w:t>
      </w:r>
    </w:p>
    <w:p w14:paraId="60BA4005">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7.社会保障和就业支出(类)行政事业单位养老支出(款)事业单位离退休(项):支出决算数为4.77万元，比上年决算增加4.77万元，增长100.00%,主要原因是：本年增加事业编退休人员，退休费支出增加。</w:t>
      </w:r>
    </w:p>
    <w:p w14:paraId="0B0B093E">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35.52万元，比上年决算增加7.76万元，增长27.95%,主要原因是：本年在职人员工资基数调增，养老缴费基数上涨，相应支出增加。</w:t>
      </w:r>
    </w:p>
    <w:p w14:paraId="76C443FF">
      <w:pPr>
        <w:spacing w:line="580" w:lineRule="exact"/>
        <w:ind w:firstLine="640"/>
        <w:jc w:val="both"/>
      </w:pPr>
      <w:r>
        <w:rPr>
          <w:rFonts w:ascii="仿宋_GB2312" w:hAnsi="仿宋_GB2312" w:eastAsia="仿宋_GB2312"/>
          <w:b w:val="0"/>
          <w:sz w:val="32"/>
        </w:rPr>
        <w:t>9.社会保障和就业支出(类)抚恤(款)死亡抚恤(项):支出决算数为0.00万元，比上年决算减少30.49万元，下降100.00%,主要原因是：本年无新增死亡人员，死亡抚恤支出较上年减少。</w:t>
      </w:r>
    </w:p>
    <w:p w14:paraId="29ED49FB">
      <w:pPr>
        <w:spacing w:line="580" w:lineRule="exact"/>
        <w:ind w:firstLine="640"/>
        <w:jc w:val="both"/>
      </w:pPr>
      <w:r>
        <w:rPr>
          <w:rFonts w:ascii="仿宋_GB2312" w:hAnsi="仿宋_GB2312" w:eastAsia="仿宋_GB2312"/>
          <w:b w:val="0"/>
          <w:sz w:val="32"/>
        </w:rPr>
        <w:t>10.卫生健康支出(类)行政事业单位医疗(款)行政单位医疗(项):支出决算数为9.18万元，比上年决算减少1.97万元，下降17.67%,主要原因是：本年在职人员调入调出，人员职级不同，缴费基数不同，导致行政单位医疗较上年减少。</w:t>
      </w:r>
    </w:p>
    <w:p w14:paraId="11E30850">
      <w:pPr>
        <w:spacing w:line="580" w:lineRule="exact"/>
        <w:ind w:firstLine="640"/>
        <w:jc w:val="both"/>
      </w:pPr>
      <w:r>
        <w:rPr>
          <w:rFonts w:ascii="仿宋_GB2312" w:hAnsi="仿宋_GB2312" w:eastAsia="仿宋_GB2312"/>
          <w:b w:val="0"/>
          <w:sz w:val="32"/>
        </w:rPr>
        <w:t>11.卫生健康支出(类)行政事业单位医疗(款)事业单位医疗(项):支出决算数为8.58万元，比上年决算增加2.47万元，增长40.43%,主要原因是：本年在职人员工资基数调增，医疗缴费基数上涨，相应支出增加。</w:t>
      </w:r>
    </w:p>
    <w:p w14:paraId="7092193A">
      <w:pPr>
        <w:spacing w:line="580" w:lineRule="exact"/>
        <w:ind w:firstLine="640"/>
        <w:jc w:val="both"/>
      </w:pPr>
      <w:r>
        <w:rPr>
          <w:rFonts w:ascii="仿宋_GB2312" w:hAnsi="仿宋_GB2312" w:eastAsia="仿宋_GB2312"/>
          <w:b w:val="0"/>
          <w:sz w:val="32"/>
        </w:rPr>
        <w:t>12.卫生健康支出(类)行政事业单位医疗(款)公务员医疗补助(项):支出决算数为0.20万元，比上年决算减少0.42万元，下降67.74%,主要原因是：本年在职人员调入调出，人员职级不同，缴费基数不同，导致公务员医疗补助较上年减少。</w:t>
      </w:r>
    </w:p>
    <w:p w14:paraId="78A5570E">
      <w:pPr>
        <w:spacing w:line="580" w:lineRule="exact"/>
        <w:ind w:firstLine="640"/>
        <w:jc w:val="both"/>
      </w:pPr>
      <w:r>
        <w:rPr>
          <w:rFonts w:ascii="仿宋_GB2312" w:hAnsi="仿宋_GB2312" w:eastAsia="仿宋_GB2312"/>
          <w:b w:val="0"/>
          <w:sz w:val="32"/>
        </w:rPr>
        <w:t>13.住房保障支出(类)住房改革支出(款)住房公积金(项):支出决算数为28.64万元，比上年决算增加5.52万元，增长23.88%,主要原因是：本年在职人员工资基数调增，公积金缴费基数上涨，相应支出增加。</w:t>
      </w:r>
    </w:p>
    <w:p w14:paraId="499DD40A">
      <w:pPr>
        <w:spacing w:line="640" w:lineRule="exact"/>
        <w:ind w:firstLine="640"/>
        <w:jc w:val="both"/>
        <w:outlineLvl w:val="2"/>
      </w:pPr>
      <w:r>
        <w:rPr>
          <w:rFonts w:ascii="黑体" w:hAnsi="黑体" w:eastAsia="黑体"/>
          <w:sz w:val="32"/>
        </w:rPr>
        <w:t>六、一般公共预算财政拨款基本支出决算情况说明</w:t>
      </w:r>
    </w:p>
    <w:p w14:paraId="30F3FB2C">
      <w:pPr>
        <w:spacing w:line="580" w:lineRule="exact"/>
        <w:ind w:firstLine="640"/>
        <w:jc w:val="both"/>
      </w:pPr>
      <w:r>
        <w:rPr>
          <w:rFonts w:ascii="仿宋_GB2312" w:hAnsi="仿宋_GB2312" w:eastAsia="仿宋_GB2312"/>
          <w:b w:val="0"/>
          <w:sz w:val="32"/>
        </w:rPr>
        <w:t>2024年度一般公共预算财政拨款基本支出360.19万元，其中：</w:t>
      </w:r>
      <w:r>
        <w:rPr>
          <w:rFonts w:ascii="仿宋_GB2312" w:hAnsi="仿宋_GB2312" w:eastAsia="仿宋_GB2312"/>
          <w:b/>
          <w:sz w:val="32"/>
        </w:rPr>
        <w:t>人员经费350.79万元，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包括：基本工资、津贴补贴、奖金、绩效工资、机关事业单位基本养老保险缴费、职工基本医疗保险缴费、公务员医疗补助缴费、其他社会保障缴费、住房公积金、其他工资福利支出、退休费、奖励金。</w:t>
      </w:r>
    </w:p>
    <w:p w14:paraId="3F0F57DB">
      <w:pPr>
        <w:spacing w:line="580" w:lineRule="exact"/>
        <w:ind w:firstLine="640"/>
        <w:jc w:val="both"/>
      </w:pPr>
      <w:r>
        <w:rPr>
          <w:rFonts w:ascii="仿宋_GB2312" w:hAnsi="仿宋_GB2312" w:eastAsia="仿宋_GB2312"/>
          <w:b/>
          <w:sz w:val="32"/>
        </w:rPr>
        <w:t>公用经费9.40万元，</w:t>
      </w:r>
      <w:r>
        <w:rPr>
          <w:rFonts w:ascii="仿宋_GB2312" w:hAnsi="仿宋_GB2312" w:eastAsia="仿宋_GB2312"/>
          <w:b w:val="0"/>
          <w:sz w:val="32"/>
        </w:rPr>
        <w:t>包括：办公费、邮电费、取暖费、差旅费、劳务费、工会经费、福利费、公务用车运行维护费。</w:t>
      </w:r>
    </w:p>
    <w:p w14:paraId="235758C0">
      <w:pPr>
        <w:spacing w:line="640" w:lineRule="exact"/>
        <w:ind w:firstLine="640"/>
        <w:jc w:val="both"/>
        <w:outlineLvl w:val="2"/>
      </w:pPr>
      <w:r>
        <w:rPr>
          <w:rFonts w:ascii="黑体" w:hAnsi="黑体" w:eastAsia="黑体"/>
          <w:sz w:val="32"/>
        </w:rPr>
        <w:t>七、政府性基金预算财政拨款收入支出决算情况说明</w:t>
      </w:r>
    </w:p>
    <w:p w14:paraId="3A86518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35EEA8F">
      <w:pPr>
        <w:spacing w:line="640" w:lineRule="exact"/>
        <w:ind w:firstLine="640"/>
        <w:jc w:val="both"/>
        <w:outlineLvl w:val="2"/>
      </w:pPr>
      <w:r>
        <w:rPr>
          <w:rFonts w:ascii="黑体" w:hAnsi="黑体" w:eastAsia="黑体"/>
          <w:sz w:val="32"/>
        </w:rPr>
        <w:t>八、国有资本经营预算财政拨款收入支出决算情况说明</w:t>
      </w:r>
    </w:p>
    <w:p w14:paraId="55DDC74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F93ED75">
      <w:pPr>
        <w:spacing w:line="640" w:lineRule="exact"/>
        <w:ind w:firstLine="640"/>
        <w:jc w:val="both"/>
        <w:outlineLvl w:val="2"/>
      </w:pPr>
      <w:r>
        <w:rPr>
          <w:rFonts w:ascii="黑体" w:hAnsi="黑体" w:eastAsia="黑体"/>
          <w:sz w:val="32"/>
        </w:rPr>
        <w:t>九、财政拨款“三公”经费支出决算情况说明</w:t>
      </w:r>
    </w:p>
    <w:p w14:paraId="089F70AE">
      <w:pPr>
        <w:spacing w:line="580" w:lineRule="exact"/>
        <w:ind w:firstLine="640"/>
        <w:jc w:val="both"/>
      </w:pPr>
      <w:r>
        <w:rPr>
          <w:rFonts w:ascii="仿宋_GB2312" w:hAnsi="仿宋_GB2312" w:eastAsia="仿宋_GB2312"/>
          <w:b/>
          <w:sz w:val="32"/>
        </w:rPr>
        <w:t>2024年度财政拨款“三公”经费支出3.82万元，</w:t>
      </w:r>
      <w:r>
        <w:rPr>
          <w:rFonts w:ascii="仿宋_GB2312" w:hAnsi="仿宋_GB2312" w:eastAsia="仿宋_GB2312"/>
          <w:b w:val="0"/>
          <w:sz w:val="32"/>
        </w:rPr>
        <w:t>比上年减少7.89万元，下降67.38%，主要原因是：本年未购入公务用车，公务用车购置费较上年减少，接待上级检查减少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公务接待费减少</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3.62万元，占94.76%，比上年减少7.70万元，下降68.02%，主要原因是：本年未购入公务用车，公务用车购置费较上年减少。公务接待费支出0.20万元，占5.24%，比上年减少0.19万元，下降48.72%，主要原因是：接待上级检查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导致公务接待费减少。</w:t>
      </w:r>
    </w:p>
    <w:p w14:paraId="10A8DE0B">
      <w:pPr>
        <w:spacing w:line="580" w:lineRule="exact"/>
        <w:ind w:firstLine="640"/>
        <w:jc w:val="both"/>
      </w:pPr>
      <w:r>
        <w:rPr>
          <w:rFonts w:ascii="仿宋_GB2312" w:hAnsi="仿宋_GB2312" w:eastAsia="仿宋_GB2312"/>
          <w:b/>
          <w:sz w:val="32"/>
        </w:rPr>
        <w:t>具体情况如下：</w:t>
      </w:r>
    </w:p>
    <w:p w14:paraId="245E5CE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E6C0FD">
      <w:pPr>
        <w:spacing w:line="580" w:lineRule="exact"/>
        <w:ind w:firstLine="640"/>
        <w:jc w:val="both"/>
      </w:pPr>
      <w:r>
        <w:rPr>
          <w:rFonts w:ascii="仿宋_GB2312" w:hAnsi="仿宋_GB2312" w:eastAsia="仿宋_GB2312"/>
          <w:b w:val="0"/>
          <w:sz w:val="32"/>
        </w:rPr>
        <w:t>公务用车购置及运行维护费3.62万元，其中：公务用车购置费0.00万元，公务用车运行维护费3.62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2C4B3911">
      <w:pPr>
        <w:spacing w:line="580" w:lineRule="exact"/>
        <w:ind w:firstLine="640"/>
        <w:jc w:val="both"/>
      </w:pPr>
      <w:r>
        <w:rPr>
          <w:rFonts w:ascii="仿宋_GB2312" w:hAnsi="仿宋_GB2312" w:eastAsia="仿宋_GB2312"/>
          <w:b w:val="0"/>
          <w:sz w:val="32"/>
        </w:rPr>
        <w:t>公务接待费0.20万元，开支内容包括因对外宣传工作，接待上级媒体采访产生的就餐费。单位全年安排的国内公务接待5批次，30人次。</w:t>
      </w:r>
    </w:p>
    <w:p w14:paraId="0848E20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3.82万元，决算数3.82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3.62万元，决算数3.62万元，预决算差异率0.00%，主要原因是：严格按照预算执行，预决算无差异。公务接待费全年预算数0.20万元，决算数0.20万元，预决算差异率0.00%，主要原因是：严格按照预算执行，预决算无差异。</w:t>
      </w:r>
    </w:p>
    <w:p w14:paraId="5577A6A0">
      <w:pPr>
        <w:spacing w:line="640" w:lineRule="exact"/>
        <w:ind w:firstLine="640"/>
        <w:jc w:val="both"/>
        <w:outlineLvl w:val="2"/>
      </w:pPr>
      <w:r>
        <w:rPr>
          <w:rFonts w:ascii="黑体" w:hAnsi="黑体" w:eastAsia="黑体"/>
          <w:sz w:val="32"/>
        </w:rPr>
        <w:t>十、其他重要事项的情况说明</w:t>
      </w:r>
    </w:p>
    <w:p w14:paraId="55084DF5">
      <w:pPr>
        <w:spacing w:line="640" w:lineRule="exact"/>
        <w:ind w:firstLine="640"/>
        <w:jc w:val="both"/>
        <w:outlineLvl w:val="3"/>
      </w:pPr>
      <w:r>
        <w:rPr>
          <w:rFonts w:ascii="楷体_GB2312" w:hAnsi="楷体_GB2312" w:eastAsia="楷体_GB2312"/>
          <w:b/>
          <w:sz w:val="32"/>
        </w:rPr>
        <w:t>（一）机关运行经费及公用经费支出情况</w:t>
      </w:r>
    </w:p>
    <w:p w14:paraId="2C0AD968">
      <w:pPr>
        <w:spacing w:line="580" w:lineRule="exact"/>
        <w:ind w:firstLine="640"/>
        <w:jc w:val="both"/>
      </w:pPr>
      <w:r>
        <w:rPr>
          <w:rFonts w:ascii="仿宋_GB2312" w:hAnsi="仿宋_GB2312" w:eastAsia="仿宋_GB2312"/>
          <w:b w:val="0"/>
          <w:sz w:val="32"/>
        </w:rPr>
        <w:t>2024年度中国共产党霍城县委员会宣传部（行政单位和参照公务员法管理事业单位）机关运行经费支出9.40万元，比上年增加2.18万元，增长30.19%，主要原因是：本年业务量增加，公用经费增加。</w:t>
      </w:r>
    </w:p>
    <w:p w14:paraId="157CF8E3">
      <w:pPr>
        <w:spacing w:line="640" w:lineRule="exact"/>
        <w:ind w:firstLine="640"/>
        <w:jc w:val="both"/>
        <w:outlineLvl w:val="3"/>
      </w:pPr>
      <w:r>
        <w:rPr>
          <w:rFonts w:ascii="楷体_GB2312" w:hAnsi="楷体_GB2312" w:eastAsia="楷体_GB2312"/>
          <w:b/>
          <w:sz w:val="32"/>
        </w:rPr>
        <w:t>（二）政府采购情况</w:t>
      </w:r>
    </w:p>
    <w:p w14:paraId="03288132">
      <w:pPr>
        <w:spacing w:line="580" w:lineRule="exact"/>
        <w:ind w:firstLine="640"/>
        <w:jc w:val="both"/>
      </w:pPr>
      <w:r>
        <w:rPr>
          <w:rFonts w:ascii="仿宋_GB2312" w:hAnsi="仿宋_GB2312" w:eastAsia="仿宋_GB2312"/>
          <w:b w:val="0"/>
          <w:sz w:val="32"/>
        </w:rPr>
        <w:t>2024年度政府采购支出总额198.32万元，其中：政府采购货物支出0.00万元、政府采购工程支出0.00万元、政府采购服务支出198.32万元。</w:t>
      </w:r>
    </w:p>
    <w:p w14:paraId="5A55EDED">
      <w:pPr>
        <w:spacing w:line="580" w:lineRule="exact"/>
        <w:ind w:firstLine="640"/>
        <w:jc w:val="both"/>
      </w:pPr>
      <w:r>
        <w:rPr>
          <w:rFonts w:ascii="仿宋_GB2312" w:hAnsi="仿宋_GB2312" w:eastAsia="仿宋_GB2312"/>
          <w:b w:val="0"/>
          <w:sz w:val="32"/>
        </w:rPr>
        <w:t>授予中小企业合同金额198.32万元，占政府采购支出总额的100.00%，其中：授予小微企业合同金额198.32万元，占政府采购支出总额的100.00%。</w:t>
      </w:r>
    </w:p>
    <w:p w14:paraId="55C004C1">
      <w:pPr>
        <w:spacing w:line="640" w:lineRule="exact"/>
        <w:ind w:firstLine="640"/>
        <w:jc w:val="both"/>
        <w:outlineLvl w:val="3"/>
      </w:pPr>
      <w:r>
        <w:rPr>
          <w:rFonts w:ascii="楷体_GB2312" w:hAnsi="楷体_GB2312" w:eastAsia="楷体_GB2312"/>
          <w:b/>
          <w:sz w:val="32"/>
        </w:rPr>
        <w:t>（三）国有资产占用情况说明</w:t>
      </w:r>
    </w:p>
    <w:p w14:paraId="132C1126">
      <w:pPr>
        <w:spacing w:line="580" w:lineRule="exact"/>
        <w:ind w:firstLine="640"/>
        <w:jc w:val="both"/>
      </w:pPr>
      <w:r>
        <w:rPr>
          <w:rFonts w:ascii="仿宋_GB2312" w:hAnsi="仿宋_GB2312" w:eastAsia="仿宋_GB2312"/>
          <w:b w:val="0"/>
          <w:sz w:val="32"/>
        </w:rPr>
        <w:t>截至2024年12月31日，房屋8,511.00平方米，价值844.80万元。车辆3辆，价值58.21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3台（套）。</w:t>
      </w:r>
    </w:p>
    <w:p w14:paraId="2D2100C9">
      <w:pPr>
        <w:spacing w:line="640" w:lineRule="exact"/>
        <w:ind w:firstLine="640"/>
        <w:jc w:val="both"/>
        <w:outlineLvl w:val="2"/>
      </w:pPr>
      <w:r>
        <w:rPr>
          <w:rFonts w:ascii="黑体" w:hAnsi="黑体" w:eastAsia="黑体"/>
          <w:sz w:val="32"/>
        </w:rPr>
        <w:t>十一、预算绩效的情况说明</w:t>
      </w:r>
    </w:p>
    <w:p w14:paraId="5E66336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720.52万元，实际执行总额646.53万元；预算绩效评价项目3个，全年预算数312.56万元，全年执行数298.42万元。预算绩效管理取得的成效：一是建制度，夯实基础工作。不断建立完善预算绩效管理制度，理清预算绩效管理工作框架流程，制定了实施方案，为推进绩效管理打下坚实的制度基础；二是抓源头，规范目标设置。不断完善预算绩效目标管理，将预算绩效目标管理作为重点工作推进执行；三是严过程，加强绩效监控。建立预算资金绩效运行监控机制，对绩效目标实现程度和预算执行进度实现“双监控”。发现的问题及原因：一是绩效管理理念不够深入，部分领导和干部对绩效管理仍不够重视、认识不深；二是未能实现全年预算的信息化管理，不能及时考核预算执行情况；三是内部管理制度不完善，内部管理流程不清晰。下一步改进措施：一是逐步实现全面预算管理，加强事前控制，及时分析、总结及评估，不断提高预算编制的准确性，提高可操作性；二是建立健全各项财务管理制度，并严格按照规定进行管理；三是加强业务学习，提升业务能力，更加高效</w:t>
      </w:r>
      <w:r>
        <w:rPr>
          <w:rFonts w:hint="eastAsia" w:ascii="仿宋_GB2312" w:hAnsi="仿宋_GB2312" w:eastAsia="仿宋_GB2312"/>
          <w:b w:val="0"/>
          <w:sz w:val="32"/>
          <w:lang w:eastAsia="zh-CN"/>
        </w:rPr>
        <w:t>地</w:t>
      </w:r>
      <w:r>
        <w:rPr>
          <w:rFonts w:ascii="仿宋_GB2312" w:hAnsi="仿宋_GB2312" w:eastAsia="仿宋_GB2312"/>
          <w:b w:val="0"/>
          <w:sz w:val="32"/>
        </w:rPr>
        <w:t>完成预算管理工作。具体附整体支出绩效自评表，项目支出绩效自评表和评价报告。</w:t>
      </w:r>
    </w:p>
    <w:p w14:paraId="1652336B">
      <w:r>
        <w:br w:type="page"/>
      </w:r>
    </w:p>
    <w:tbl>
      <w:tblPr>
        <w:tblStyle w:val="9"/>
        <w:tblW w:w="0" w:type="auto"/>
        <w:tblInd w:w="0" w:type="dxa"/>
        <w:tblLayout w:type="autofit"/>
        <w:tblCellMar>
          <w:top w:w="0" w:type="dxa"/>
          <w:left w:w="108" w:type="dxa"/>
          <w:bottom w:w="0" w:type="dxa"/>
          <w:right w:w="108" w:type="dxa"/>
        </w:tblCellMar>
      </w:tblPr>
      <w:tblGrid>
        <w:gridCol w:w="1105"/>
        <w:gridCol w:w="856"/>
        <w:gridCol w:w="164"/>
        <w:gridCol w:w="1022"/>
        <w:gridCol w:w="168"/>
        <w:gridCol w:w="1105"/>
        <w:gridCol w:w="1105"/>
        <w:gridCol w:w="1105"/>
        <w:gridCol w:w="1105"/>
        <w:gridCol w:w="1105"/>
      </w:tblGrid>
      <w:tr w14:paraId="2577F9EE">
        <w:tblPrEx>
          <w:tblCellMar>
            <w:top w:w="0" w:type="dxa"/>
            <w:left w:w="108" w:type="dxa"/>
            <w:bottom w:w="0" w:type="dxa"/>
            <w:right w:w="108" w:type="dxa"/>
          </w:tblCellMar>
        </w:tblPrEx>
        <w:tc>
          <w:tcPr>
            <w:tcW w:w="8840" w:type="dxa"/>
            <w:gridSpan w:val="10"/>
            <w:vAlign w:val="center"/>
          </w:tcPr>
          <w:p w14:paraId="269E2EAC">
            <w:pPr>
              <w:jc w:val="center"/>
            </w:pPr>
            <w:r>
              <w:rPr>
                <w:rFonts w:ascii="宋体" w:hAnsi="宋体" w:eastAsia="宋体"/>
                <w:sz w:val="24"/>
              </w:rPr>
              <w:t>单位整体支出绩效自评表</w:t>
            </w:r>
          </w:p>
        </w:tc>
      </w:tr>
      <w:tr w14:paraId="26A2B234">
        <w:tblPrEx>
          <w:tblCellMar>
            <w:top w:w="0" w:type="dxa"/>
            <w:left w:w="108" w:type="dxa"/>
            <w:bottom w:w="0" w:type="dxa"/>
            <w:right w:w="108" w:type="dxa"/>
          </w:tblCellMar>
        </w:tblPrEx>
        <w:tc>
          <w:tcPr>
            <w:tcW w:w="8840" w:type="dxa"/>
            <w:gridSpan w:val="10"/>
            <w:vAlign w:val="center"/>
          </w:tcPr>
          <w:p w14:paraId="103B74BE">
            <w:pPr>
              <w:jc w:val="center"/>
            </w:pPr>
            <w:r>
              <w:rPr>
                <w:rFonts w:ascii="宋体" w:hAnsi="宋体" w:eastAsia="宋体"/>
                <w:sz w:val="24"/>
              </w:rPr>
              <w:t>（2024年度）</w:t>
            </w:r>
          </w:p>
        </w:tc>
      </w:tr>
      <w:tr w14:paraId="7A8B8D2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FF9EE">
            <w:pPr>
              <w:jc w:val="center"/>
            </w:pPr>
            <w:r>
              <w:rPr>
                <w:rFonts w:ascii="宋体" w:hAnsi="宋体" w:eastAsia="宋体"/>
                <w:sz w:val="16"/>
              </w:rPr>
              <w:t>单位名称</w:t>
            </w:r>
          </w:p>
        </w:tc>
        <w:tc>
          <w:tcPr>
            <w:tcW w:w="7735"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FCF648F">
            <w:pPr>
              <w:jc w:val="center"/>
            </w:pPr>
            <w:r>
              <w:rPr>
                <w:rFonts w:ascii="宋体" w:hAnsi="宋体" w:eastAsia="宋体"/>
                <w:sz w:val="16"/>
              </w:rPr>
              <w:t>中国共产党霍城县委员会宣传部</w:t>
            </w:r>
          </w:p>
        </w:tc>
      </w:tr>
      <w:tr w14:paraId="2EF0FA1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0AF13">
            <w:pPr>
              <w:jc w:val="center"/>
            </w:pPr>
            <w:r>
              <w:rPr>
                <w:rFonts w:ascii="宋体" w:hAnsi="宋体" w:eastAsia="宋体"/>
                <w:sz w:val="16"/>
              </w:rPr>
              <w:t>部门资金（万元）</w:t>
            </w:r>
          </w:p>
        </w:tc>
        <w:tc>
          <w:tcPr>
            <w:tcW w:w="10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752B7">
            <w:pPr>
              <w:jc w:val="center"/>
            </w:pPr>
            <w:r>
              <w:rPr>
                <w:rFonts w:ascii="宋体" w:hAnsi="宋体" w:eastAsia="宋体"/>
                <w:sz w:val="16"/>
              </w:rPr>
              <w:t>资金来源</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1801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AA171">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B5CF3">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7F52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DE61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1A235">
            <w:pPr>
              <w:jc w:val="center"/>
            </w:pPr>
            <w:r>
              <w:rPr>
                <w:rFonts w:ascii="宋体" w:hAnsi="宋体" w:eastAsia="宋体"/>
                <w:sz w:val="16"/>
              </w:rPr>
              <w:t>得分</w:t>
            </w:r>
          </w:p>
        </w:tc>
      </w:tr>
      <w:tr w14:paraId="2A1684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0A9756"/>
        </w:tc>
        <w:tc>
          <w:tcPr>
            <w:tcW w:w="10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8137">
            <w:pPr>
              <w:jc w:val="center"/>
            </w:pPr>
            <w:r>
              <w:rPr>
                <w:rFonts w:ascii="宋体" w:hAnsi="宋体" w:eastAsia="宋体"/>
                <w:sz w:val="16"/>
              </w:rPr>
              <w:t>年度总资金</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6007F">
            <w:pPr>
              <w:jc w:val="center"/>
            </w:pPr>
            <w:r>
              <w:rPr>
                <w:rFonts w:ascii="宋体" w:hAnsi="宋体" w:eastAsia="宋体"/>
                <w:sz w:val="16"/>
              </w:rPr>
              <w:t>347.28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C9CB8">
            <w:pPr>
              <w:jc w:val="center"/>
            </w:pPr>
            <w:r>
              <w:rPr>
                <w:rFonts w:ascii="宋体" w:hAnsi="宋体" w:eastAsia="宋体"/>
                <w:sz w:val="16"/>
              </w:rPr>
              <w:t>720.52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14DDC">
            <w:pPr>
              <w:jc w:val="center"/>
            </w:pPr>
            <w:r>
              <w:rPr>
                <w:rFonts w:ascii="宋体" w:hAnsi="宋体" w:eastAsia="宋体"/>
                <w:sz w:val="16"/>
              </w:rPr>
              <w:t>646.53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C530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78DC3">
            <w:pPr>
              <w:jc w:val="center"/>
            </w:pPr>
            <w:r>
              <w:rPr>
                <w:rFonts w:ascii="宋体" w:hAnsi="宋体" w:eastAsia="宋体"/>
                <w:sz w:val="16"/>
              </w:rPr>
              <w:t>89.73%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715DFD">
            <w:pPr>
              <w:jc w:val="center"/>
            </w:pPr>
            <w:r>
              <w:rPr>
                <w:rFonts w:ascii="宋体" w:hAnsi="宋体" w:eastAsia="宋体"/>
                <w:sz w:val="16"/>
              </w:rPr>
              <w:t>9.97</w:t>
            </w:r>
          </w:p>
        </w:tc>
      </w:tr>
      <w:tr w14:paraId="19E7DCD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60815A"/>
        </w:tc>
        <w:tc>
          <w:tcPr>
            <w:tcW w:w="10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68BCE">
            <w:pPr>
              <w:jc w:val="center"/>
            </w:pPr>
            <w:r>
              <w:rPr>
                <w:rFonts w:ascii="宋体" w:hAnsi="宋体" w:eastAsia="宋体"/>
                <w:sz w:val="16"/>
              </w:rPr>
              <w:t>上级资金：</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B1819">
            <w:pPr>
              <w:jc w:val="center"/>
            </w:pPr>
            <w:r>
              <w:rPr>
                <w:rFonts w:ascii="宋体" w:hAnsi="宋体" w:eastAsia="宋体"/>
                <w:sz w:val="16"/>
              </w:rPr>
              <w:t>129.56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A735A">
            <w:pPr>
              <w:jc w:val="center"/>
            </w:pPr>
            <w:r>
              <w:rPr>
                <w:rFonts w:ascii="宋体" w:hAnsi="宋体" w:eastAsia="宋体"/>
                <w:sz w:val="16"/>
              </w:rPr>
              <w:t>129.50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9DBA7">
            <w:pPr>
              <w:jc w:val="center"/>
            </w:pPr>
            <w:r>
              <w:rPr>
                <w:rFonts w:ascii="宋体" w:hAnsi="宋体" w:eastAsia="宋体"/>
                <w:sz w:val="16"/>
              </w:rPr>
              <w:t>129.50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FCA8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FD9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BA19D">
            <w:pPr>
              <w:jc w:val="center"/>
            </w:pPr>
            <w:r>
              <w:rPr>
                <w:rFonts w:ascii="宋体" w:hAnsi="宋体" w:eastAsia="宋体"/>
                <w:sz w:val="16"/>
              </w:rPr>
              <w:t>-</w:t>
            </w:r>
          </w:p>
        </w:tc>
      </w:tr>
      <w:tr w14:paraId="55E6D9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7E3E67"/>
        </w:tc>
        <w:tc>
          <w:tcPr>
            <w:tcW w:w="10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742B3">
            <w:pPr>
              <w:jc w:val="center"/>
            </w:pPr>
            <w:r>
              <w:rPr>
                <w:rFonts w:ascii="宋体" w:hAnsi="宋体" w:eastAsia="宋体"/>
                <w:sz w:val="16"/>
              </w:rPr>
              <w:t>本级资金：</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AAA54">
            <w:pPr>
              <w:jc w:val="center"/>
            </w:pPr>
            <w:r>
              <w:rPr>
                <w:rFonts w:ascii="宋体" w:hAnsi="宋体" w:eastAsia="宋体"/>
                <w:sz w:val="16"/>
              </w:rPr>
              <w:t>217.72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24291">
            <w:pPr>
              <w:jc w:val="center"/>
            </w:pPr>
            <w:r>
              <w:rPr>
                <w:rFonts w:ascii="宋体" w:hAnsi="宋体" w:eastAsia="宋体"/>
                <w:sz w:val="16"/>
              </w:rPr>
              <w:t>372.72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107EA">
            <w:pPr>
              <w:jc w:val="center"/>
            </w:pPr>
            <w:r>
              <w:rPr>
                <w:rFonts w:ascii="宋体" w:hAnsi="宋体" w:eastAsia="宋体"/>
                <w:sz w:val="16"/>
              </w:rPr>
              <w:t>372.72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1514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68E59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37962">
            <w:pPr>
              <w:jc w:val="center"/>
            </w:pPr>
            <w:r>
              <w:rPr>
                <w:rFonts w:ascii="宋体" w:hAnsi="宋体" w:eastAsia="宋体"/>
                <w:sz w:val="16"/>
              </w:rPr>
              <w:t>-</w:t>
            </w:r>
          </w:p>
        </w:tc>
      </w:tr>
      <w:tr w14:paraId="4B8D7D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AFFFB4"/>
        </w:tc>
        <w:tc>
          <w:tcPr>
            <w:tcW w:w="10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C74D9">
            <w:pPr>
              <w:jc w:val="center"/>
            </w:pPr>
            <w:r>
              <w:rPr>
                <w:rFonts w:ascii="宋体" w:hAnsi="宋体" w:eastAsia="宋体"/>
                <w:sz w:val="16"/>
              </w:rPr>
              <w:t>其他资金：</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98AF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30DEE">
            <w:pPr>
              <w:jc w:val="center"/>
            </w:pPr>
            <w:r>
              <w:rPr>
                <w:rFonts w:ascii="宋体" w:hAnsi="宋体" w:eastAsia="宋体"/>
                <w:sz w:val="16"/>
              </w:rPr>
              <w:t>218.30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37F02">
            <w:pPr>
              <w:jc w:val="center"/>
            </w:pPr>
            <w:r>
              <w:rPr>
                <w:rFonts w:ascii="宋体" w:hAnsi="宋体" w:eastAsia="宋体"/>
                <w:sz w:val="16"/>
              </w:rPr>
              <w:t>144.31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DA64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58A6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D4096">
            <w:pPr>
              <w:jc w:val="center"/>
            </w:pPr>
            <w:r>
              <w:rPr>
                <w:rFonts w:ascii="宋体" w:hAnsi="宋体" w:eastAsia="宋体"/>
                <w:sz w:val="16"/>
              </w:rPr>
              <w:t>-</w:t>
            </w:r>
          </w:p>
        </w:tc>
      </w:tr>
      <w:tr w14:paraId="3B9C9B3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AC84D">
            <w:pPr>
              <w:jc w:val="center"/>
            </w:pPr>
            <w:r>
              <w:rPr>
                <w:rFonts w:ascii="宋体" w:hAnsi="宋体" w:eastAsia="宋体"/>
                <w:sz w:val="16"/>
              </w:rPr>
              <w:t>年度总体目标</w:t>
            </w:r>
          </w:p>
        </w:tc>
        <w:tc>
          <w:tcPr>
            <w:tcW w:w="44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6BF52">
            <w:pPr>
              <w:jc w:val="center"/>
            </w:pPr>
            <w:r>
              <w:rPr>
                <w:rFonts w:ascii="宋体" w:hAnsi="宋体" w:eastAsia="宋体"/>
                <w:sz w:val="16"/>
              </w:rPr>
              <w:t>预期目标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58571C">
            <w:pPr>
              <w:jc w:val="center"/>
            </w:pPr>
            <w:r>
              <w:rPr>
                <w:rFonts w:ascii="宋体" w:hAnsi="宋体" w:eastAsia="宋体"/>
                <w:sz w:val="16"/>
              </w:rPr>
              <w:t>实际完成情况</w:t>
            </w:r>
          </w:p>
        </w:tc>
      </w:tr>
      <w:tr w14:paraId="0EA639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E5D177"/>
        </w:tc>
        <w:tc>
          <w:tcPr>
            <w:tcW w:w="44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4EE0EA">
            <w:pPr>
              <w:jc w:val="both"/>
            </w:pPr>
            <w:r>
              <w:rPr>
                <w:rFonts w:ascii="宋体" w:hAnsi="宋体" w:eastAsia="宋体"/>
                <w:sz w:val="16"/>
              </w:rPr>
              <w:t>以习近平新时代中国特色社会主义思想为指导，围绕学习宣传贯彻党的二十大精神，围绕完整准确贯彻新时代党的治疆方略，坚持不懈用习近平新时代中国特色社会主义思想凝心铸魂，持续巩固壮大主流思想舆论，广泛践行社会主义核心价值观，深入开展文化润疆工作，讲好新时代中国新疆故事。扶持文化事业和文化产业项目建设，促进我区宣传文化事业健康有序发展；持续扩大中华优秀文化产品供给，更好满足各族群众高品质精神文化需求，全年组织实施各类宣传思想文化活动数量不少于5次，发布外宣稿件不少于300条，为建设团结和谐、繁荣富裕、文明进步、安居乐业、生态良好的新时代中国特色社会主义新疆提供坚强的思想保证和精神动力。</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62C10A">
            <w:pPr>
              <w:jc w:val="both"/>
            </w:pPr>
            <w:r>
              <w:rPr>
                <w:rFonts w:ascii="宋体" w:hAnsi="宋体" w:eastAsia="宋体"/>
                <w:sz w:val="16"/>
              </w:rPr>
              <w:t>霍城县委宣传部深入贯彻落实党中央和自治区、自治州党委关于宣传思想工作的各项决策部署，牢牢把握举旗帜、聚民心、育新人、兴文化、展形象的使命任务，紧紧围绕县委、县人民政府的重点工作和中心任务，扎实推进理论武装、内外宣传、精神文明、文化润疆、干部队伍建设等工作,为建设“两优一高”新霍城提供了坚强思想保证、有力舆论支持和强大精神动力。全年组织实施各类宣传思想文化活动数量5次，发布外宣稿件300条，为建设团结和谐、繁荣富裕、文明进步、安居乐业、生态良好的新时代中国特色社会主义新疆提供坚强的思想保证和精神动力。</w:t>
            </w:r>
          </w:p>
        </w:tc>
      </w:tr>
      <w:tr w14:paraId="748370E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B3FBE">
            <w:pPr>
              <w:jc w:val="center"/>
            </w:pPr>
            <w:r>
              <w:rPr>
                <w:rFonts w:ascii="宋体" w:hAnsi="宋体" w:eastAsia="宋体"/>
                <w:sz w:val="16"/>
              </w:rPr>
              <w:t>一级指标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68443D1">
            <w:pPr>
              <w:jc w:val="center"/>
            </w:pPr>
            <w:r>
              <w:rPr>
                <w:rFonts w:ascii="宋体" w:hAnsi="宋体" w:eastAsia="宋体"/>
                <w:sz w:val="16"/>
              </w:rPr>
              <w:t>二级指标</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6CD9">
            <w:pPr>
              <w:jc w:val="center"/>
            </w:pPr>
            <w:r>
              <w:rPr>
                <w:rFonts w:ascii="宋体" w:hAnsi="宋体" w:eastAsia="宋体"/>
                <w:sz w:val="16"/>
              </w:rPr>
              <w:t>三级指标</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9415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4376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9EC53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8B5F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6A251">
            <w:pPr>
              <w:jc w:val="center"/>
            </w:pPr>
            <w:r>
              <w:rPr>
                <w:rFonts w:ascii="宋体" w:hAnsi="宋体" w:eastAsia="宋体"/>
                <w:sz w:val="16"/>
              </w:rPr>
              <w:t>得分</w:t>
            </w:r>
          </w:p>
        </w:tc>
      </w:tr>
      <w:tr w14:paraId="0ACC4CD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20C3D">
            <w:pPr>
              <w:jc w:val="center"/>
            </w:pPr>
            <w:r>
              <w:rPr>
                <w:rFonts w:ascii="宋体" w:hAnsi="宋体" w:eastAsia="宋体"/>
                <w:sz w:val="16"/>
              </w:rPr>
              <w:t>履职效能</w:t>
            </w:r>
          </w:p>
        </w:tc>
        <w:tc>
          <w:tcPr>
            <w:tcW w:w="85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51997">
            <w:pPr>
              <w:jc w:val="center"/>
            </w:pPr>
            <w:r>
              <w:rPr>
                <w:rFonts w:ascii="宋体" w:hAnsi="宋体" w:eastAsia="宋体"/>
                <w:sz w:val="16"/>
              </w:rPr>
              <w:t>数量指标</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9F8C0">
            <w:pPr>
              <w:jc w:val="center"/>
            </w:pPr>
            <w:r>
              <w:rPr>
                <w:rFonts w:ascii="宋体" w:hAnsi="宋体" w:eastAsia="宋体"/>
                <w:sz w:val="16"/>
              </w:rPr>
              <w:t>发布外宣稿件</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8101C">
            <w:pPr>
              <w:jc w:val="center"/>
            </w:pPr>
            <w:r>
              <w:rPr>
                <w:rFonts w:ascii="宋体" w:hAnsi="宋体" w:eastAsia="宋体"/>
                <w:sz w:val="16"/>
              </w:rPr>
              <w:t>&gt;=300条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AFEE3">
            <w:pPr>
              <w:jc w:val="center"/>
            </w:pPr>
            <w:r>
              <w:rPr>
                <w:rFonts w:ascii="宋体" w:hAnsi="宋体" w:eastAsia="宋体"/>
                <w:sz w:val="16"/>
              </w:rPr>
              <w:t>2024年宣传思想工作要点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4E7B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D8C20F">
            <w:pPr>
              <w:jc w:val="center"/>
            </w:pPr>
            <w:r>
              <w:rPr>
                <w:rFonts w:ascii="宋体" w:hAnsi="宋体" w:eastAsia="宋体"/>
                <w:sz w:val="16"/>
              </w:rPr>
              <w:t>300条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F3278">
            <w:pPr>
              <w:jc w:val="center"/>
            </w:pPr>
            <w:r>
              <w:rPr>
                <w:rFonts w:ascii="宋体" w:hAnsi="宋体" w:eastAsia="宋体"/>
                <w:sz w:val="16"/>
              </w:rPr>
              <w:t>20</w:t>
            </w:r>
          </w:p>
        </w:tc>
      </w:tr>
      <w:tr w14:paraId="1E8B06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1976B2"/>
        </w:tc>
        <w:tc>
          <w:tcPr>
            <w:tcW w:w="856" w:type="dxa"/>
            <w:vMerge w:val="continue"/>
            <w:tcBorders>
              <w:top w:val="single" w:color="auto" w:sz="10" w:space="0"/>
              <w:left w:val="single" w:color="auto" w:sz="10" w:space="0"/>
              <w:bottom w:val="single" w:color="auto" w:sz="10" w:space="0"/>
              <w:right w:val="single" w:color="auto" w:sz="10" w:space="0"/>
              <w:insideV w:val="single" w:sz="10" w:space="0"/>
            </w:tcBorders>
          </w:tcPr>
          <w:p w14:paraId="2D09501E"/>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E577C">
            <w:pPr>
              <w:jc w:val="center"/>
            </w:pPr>
            <w:r>
              <w:rPr>
                <w:rFonts w:ascii="宋体" w:hAnsi="宋体" w:eastAsia="宋体"/>
                <w:sz w:val="16"/>
              </w:rPr>
              <w:t>全年组织实施各类宣传宣讲活动次数</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FD60">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592C6">
            <w:pPr>
              <w:jc w:val="center"/>
            </w:pPr>
            <w:r>
              <w:rPr>
                <w:rFonts w:ascii="宋体" w:hAnsi="宋体" w:eastAsia="宋体"/>
                <w:sz w:val="16"/>
              </w:rPr>
              <w:t>2024年宣传思想工作要点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F0606">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C2222">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393F5">
            <w:pPr>
              <w:jc w:val="center"/>
            </w:pPr>
            <w:r>
              <w:rPr>
                <w:rFonts w:ascii="宋体" w:hAnsi="宋体" w:eastAsia="宋体"/>
                <w:sz w:val="16"/>
              </w:rPr>
              <w:t>25</w:t>
            </w:r>
          </w:p>
        </w:tc>
      </w:tr>
      <w:tr w14:paraId="556308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B2AEED"/>
        </w:tc>
        <w:tc>
          <w:tcPr>
            <w:tcW w:w="856" w:type="dxa"/>
            <w:vMerge w:val="continue"/>
            <w:tcBorders>
              <w:top w:val="single" w:color="auto" w:sz="10" w:space="0"/>
              <w:left w:val="single" w:color="auto" w:sz="10" w:space="0"/>
              <w:bottom w:val="single" w:color="auto" w:sz="10" w:space="0"/>
              <w:right w:val="single" w:color="auto" w:sz="10" w:space="0"/>
              <w:insideV w:val="single" w:sz="10" w:space="0"/>
            </w:tcBorders>
          </w:tcPr>
          <w:p w14:paraId="7FF2461E"/>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F7A20">
            <w:pPr>
              <w:jc w:val="center"/>
            </w:pPr>
            <w:r>
              <w:rPr>
                <w:rFonts w:ascii="宋体" w:hAnsi="宋体" w:eastAsia="宋体"/>
                <w:sz w:val="16"/>
              </w:rPr>
              <w:t>农村电影放映场次</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48803">
            <w:pPr>
              <w:jc w:val="center"/>
            </w:pPr>
            <w:r>
              <w:rPr>
                <w:rFonts w:ascii="宋体" w:hAnsi="宋体" w:eastAsia="宋体"/>
                <w:sz w:val="16"/>
              </w:rPr>
              <w:t>&gt;=804场次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F6CCF">
            <w:pPr>
              <w:jc w:val="center"/>
            </w:pPr>
            <w:r>
              <w:rPr>
                <w:rFonts w:ascii="宋体" w:hAnsi="宋体" w:eastAsia="宋体"/>
                <w:sz w:val="16"/>
              </w:rPr>
              <w:t>2024年宣传思想工作要点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E230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79365D">
            <w:pPr>
              <w:jc w:val="center"/>
            </w:pPr>
            <w:r>
              <w:rPr>
                <w:rFonts w:ascii="宋体" w:hAnsi="宋体" w:eastAsia="宋体"/>
                <w:sz w:val="16"/>
              </w:rPr>
              <w:t>804场次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44B82D">
            <w:pPr>
              <w:jc w:val="center"/>
            </w:pPr>
            <w:r>
              <w:rPr>
                <w:rFonts w:ascii="宋体" w:hAnsi="宋体" w:eastAsia="宋体"/>
                <w:sz w:val="16"/>
              </w:rPr>
              <w:t>15</w:t>
            </w:r>
          </w:p>
        </w:tc>
      </w:tr>
      <w:tr w14:paraId="556910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1B1AC3"/>
        </w:tc>
        <w:tc>
          <w:tcPr>
            <w:tcW w:w="856" w:type="dxa"/>
            <w:vMerge w:val="continue"/>
            <w:tcBorders>
              <w:top w:val="single" w:color="auto" w:sz="10" w:space="0"/>
              <w:left w:val="single" w:color="auto" w:sz="10" w:space="0"/>
              <w:bottom w:val="single" w:color="auto" w:sz="10" w:space="0"/>
              <w:right w:val="single" w:color="auto" w:sz="10" w:space="0"/>
              <w:insideV w:val="single" w:sz="10" w:space="0"/>
            </w:tcBorders>
          </w:tcPr>
          <w:p w14:paraId="133A2EE2"/>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3D7AB">
            <w:pPr>
              <w:jc w:val="center"/>
            </w:pPr>
            <w:r>
              <w:rPr>
                <w:rFonts w:ascii="宋体" w:hAnsi="宋体" w:eastAsia="宋体"/>
                <w:sz w:val="16"/>
              </w:rPr>
              <w:t>依托文明实践中心（站所）开展志愿服务活动</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E9E51">
            <w:pPr>
              <w:jc w:val="center"/>
            </w:pPr>
            <w:r>
              <w:rPr>
                <w:rFonts w:ascii="宋体" w:hAnsi="宋体" w:eastAsia="宋体"/>
                <w:sz w:val="16"/>
              </w:rPr>
              <w:t>&gt;=15场次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D6EA6">
            <w:pPr>
              <w:jc w:val="center"/>
            </w:pPr>
            <w:r>
              <w:rPr>
                <w:rFonts w:ascii="宋体" w:hAnsi="宋体" w:eastAsia="宋体"/>
                <w:sz w:val="16"/>
              </w:rPr>
              <w:t>霍城县国民经济和社会发展第十四个五年规划纲要与2035年远景目标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CC52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6915C">
            <w:pPr>
              <w:jc w:val="center"/>
            </w:pPr>
            <w:r>
              <w:rPr>
                <w:rFonts w:ascii="宋体" w:hAnsi="宋体" w:eastAsia="宋体"/>
                <w:sz w:val="16"/>
              </w:rPr>
              <w:t>15场次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F3BA4">
            <w:pPr>
              <w:jc w:val="center"/>
            </w:pPr>
            <w:r>
              <w:rPr>
                <w:rFonts w:ascii="宋体" w:hAnsi="宋体" w:eastAsia="宋体"/>
                <w:sz w:val="16"/>
              </w:rPr>
              <w:t>30</w:t>
            </w:r>
          </w:p>
        </w:tc>
      </w:tr>
    </w:tbl>
    <w:p w14:paraId="05197E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96"/>
        <w:gridCol w:w="632"/>
        <w:gridCol w:w="632"/>
        <w:gridCol w:w="632"/>
        <w:gridCol w:w="632"/>
        <w:gridCol w:w="632"/>
        <w:gridCol w:w="632"/>
      </w:tblGrid>
      <w:tr w14:paraId="2E2672FF">
        <w:tc>
          <w:tcPr>
            <w:tcW w:w="8848" w:type="dxa"/>
            <w:gridSpan w:val="14"/>
            <w:vAlign w:val="center"/>
          </w:tcPr>
          <w:p w14:paraId="14DC5C05">
            <w:pPr>
              <w:jc w:val="center"/>
            </w:pPr>
            <w:r>
              <w:rPr>
                <w:rFonts w:ascii="宋体" w:hAnsi="宋体" w:eastAsia="宋体"/>
                <w:sz w:val="24"/>
              </w:rPr>
              <w:t>项目支出绩效自评表</w:t>
            </w:r>
          </w:p>
        </w:tc>
      </w:tr>
      <w:tr w14:paraId="6AF9E805">
        <w:tblPrEx>
          <w:tblCellMar>
            <w:top w:w="0" w:type="dxa"/>
            <w:left w:w="108" w:type="dxa"/>
            <w:bottom w:w="0" w:type="dxa"/>
            <w:right w:w="108" w:type="dxa"/>
          </w:tblCellMar>
        </w:tblPrEx>
        <w:tc>
          <w:tcPr>
            <w:tcW w:w="8848" w:type="dxa"/>
            <w:gridSpan w:val="14"/>
            <w:vAlign w:val="center"/>
          </w:tcPr>
          <w:p w14:paraId="0F870976">
            <w:pPr>
              <w:jc w:val="center"/>
            </w:pPr>
            <w:r>
              <w:rPr>
                <w:rFonts w:ascii="宋体" w:hAnsi="宋体" w:eastAsia="宋体"/>
                <w:sz w:val="24"/>
              </w:rPr>
              <w:t>(2024年度)</w:t>
            </w:r>
          </w:p>
        </w:tc>
      </w:tr>
      <w:tr w14:paraId="32CC8F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C2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941E4D">
            <w:pPr>
              <w:jc w:val="center"/>
            </w:pPr>
            <w:r>
              <w:rPr>
                <w:rFonts w:ascii="宋体" w:hAnsi="宋体" w:eastAsia="宋体"/>
                <w:sz w:val="16"/>
              </w:rPr>
              <w:t>2024年中央补助地方公共文化服务体系建设补助资金</w:t>
            </w:r>
          </w:p>
        </w:tc>
      </w:tr>
      <w:tr w14:paraId="1F397A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68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47145">
            <w:pPr>
              <w:jc w:val="center"/>
            </w:pPr>
            <w:r>
              <w:rPr>
                <w:rFonts w:ascii="宋体" w:hAnsi="宋体" w:eastAsia="宋体"/>
                <w:sz w:val="16"/>
              </w:rPr>
              <w:t>中国共产党霍城县委员会宣传部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39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5CAF15">
            <w:pPr>
              <w:jc w:val="center"/>
            </w:pPr>
            <w:r>
              <w:rPr>
                <w:rFonts w:ascii="宋体" w:hAnsi="宋体" w:eastAsia="宋体"/>
                <w:sz w:val="16"/>
              </w:rPr>
              <w:t>中国共产党霍城县委员会宣传部</w:t>
            </w:r>
          </w:p>
        </w:tc>
      </w:tr>
      <w:tr w14:paraId="2FE6CF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2C00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282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36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7C8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F21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7A2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FE4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E214">
            <w:pPr>
              <w:jc w:val="center"/>
            </w:pPr>
            <w:r>
              <w:rPr>
                <w:rFonts w:ascii="宋体" w:hAnsi="宋体" w:eastAsia="宋体"/>
                <w:sz w:val="16"/>
              </w:rPr>
              <w:t>得分</w:t>
            </w:r>
          </w:p>
        </w:tc>
      </w:tr>
      <w:tr w14:paraId="51033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188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A8A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778CD">
            <w:pPr>
              <w:jc w:val="center"/>
            </w:pPr>
            <w:r>
              <w:rPr>
                <w:rFonts w:ascii="宋体" w:hAnsi="宋体" w:eastAsia="宋体"/>
                <w:sz w:val="16"/>
              </w:rPr>
              <w:t>102.56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853C4">
            <w:pPr>
              <w:jc w:val="center"/>
            </w:pPr>
            <w:r>
              <w:rPr>
                <w:rFonts w:ascii="宋体" w:hAnsi="宋体" w:eastAsia="宋体"/>
                <w:sz w:val="16"/>
              </w:rPr>
              <w:t>102.56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3F824">
            <w:pPr>
              <w:jc w:val="center"/>
            </w:pPr>
            <w:r>
              <w:rPr>
                <w:rFonts w:ascii="宋体" w:hAnsi="宋体" w:eastAsia="宋体"/>
                <w:sz w:val="16"/>
              </w:rPr>
              <w:t>100.01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3AF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7D62E">
            <w:pPr>
              <w:jc w:val="center"/>
            </w:pPr>
            <w:r>
              <w:rPr>
                <w:rFonts w:ascii="宋体" w:hAnsi="宋体" w:eastAsia="宋体"/>
                <w:sz w:val="16"/>
              </w:rPr>
              <w:t>97.51%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A788">
            <w:pPr>
              <w:jc w:val="center"/>
            </w:pPr>
            <w:r>
              <w:rPr>
                <w:rFonts w:ascii="宋体" w:hAnsi="宋体" w:eastAsia="宋体"/>
                <w:sz w:val="16"/>
              </w:rPr>
              <w:t>9.38</w:t>
            </w:r>
          </w:p>
        </w:tc>
      </w:tr>
      <w:tr w14:paraId="689DF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207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FBC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B2D7C">
            <w:pPr>
              <w:jc w:val="center"/>
            </w:pPr>
            <w:r>
              <w:rPr>
                <w:rFonts w:ascii="宋体" w:hAnsi="宋体" w:eastAsia="宋体"/>
                <w:sz w:val="16"/>
              </w:rPr>
              <w:t>102.56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FC746">
            <w:pPr>
              <w:jc w:val="center"/>
            </w:pPr>
            <w:r>
              <w:rPr>
                <w:rFonts w:ascii="宋体" w:hAnsi="宋体" w:eastAsia="宋体"/>
                <w:sz w:val="16"/>
              </w:rPr>
              <w:t>102.56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4216F">
            <w:pPr>
              <w:jc w:val="center"/>
            </w:pPr>
            <w:r>
              <w:rPr>
                <w:rFonts w:ascii="宋体" w:hAnsi="宋体" w:eastAsia="宋体"/>
                <w:sz w:val="16"/>
              </w:rPr>
              <w:t>100.01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20B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FD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7347">
            <w:pPr>
              <w:jc w:val="center"/>
            </w:pPr>
            <w:r>
              <w:rPr>
                <w:rFonts w:ascii="宋体" w:hAnsi="宋体" w:eastAsia="宋体"/>
                <w:sz w:val="16"/>
              </w:rPr>
              <w:t>—</w:t>
            </w:r>
          </w:p>
        </w:tc>
      </w:tr>
      <w:tr w14:paraId="43DEC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9CF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16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E8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68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F64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57F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F7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9214">
            <w:pPr>
              <w:jc w:val="center"/>
            </w:pPr>
            <w:r>
              <w:rPr>
                <w:rFonts w:ascii="宋体" w:hAnsi="宋体" w:eastAsia="宋体"/>
                <w:sz w:val="16"/>
              </w:rPr>
              <w:t>—</w:t>
            </w:r>
          </w:p>
        </w:tc>
      </w:tr>
      <w:tr w14:paraId="0E380F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F41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ADA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023F46">
            <w:pPr>
              <w:jc w:val="center"/>
            </w:pPr>
            <w:r>
              <w:rPr>
                <w:rFonts w:ascii="宋体" w:hAnsi="宋体" w:eastAsia="宋体"/>
                <w:sz w:val="16"/>
              </w:rPr>
              <w:t>实际完成情况</w:t>
            </w:r>
          </w:p>
        </w:tc>
      </w:tr>
      <w:tr w14:paraId="7F722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CC6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0341A">
            <w:pPr>
              <w:jc w:val="both"/>
            </w:pPr>
            <w:r>
              <w:rPr>
                <w:rFonts w:ascii="宋体" w:hAnsi="宋体" w:eastAsia="宋体"/>
                <w:sz w:val="16"/>
              </w:rPr>
              <w:t>围绕全县重点中心工作，做好主题宣传工作，通过构建对外传播新平台，高标准策划新闻发布会，塑造城市形象，持续发声，与中央和省级媒体积极沟通，推送新闻线索，发布外宣稿件。通过组织举办基层宣讲活动、新时代文明实践中心活动、志愿服务活动、项目大赛、举办宣传队伍培训班、编印宣传材料，扩大宣传思想阵地，从各方面将宣传资源系统化，增强传播的亲和力和实效性，增强信息发布的权威性和影响力，加快构建现代公共文化服务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C10CB">
            <w:pPr>
              <w:jc w:val="both"/>
            </w:pPr>
            <w:r>
              <w:rPr>
                <w:rFonts w:ascii="宋体" w:hAnsi="宋体" w:eastAsia="宋体"/>
                <w:sz w:val="16"/>
              </w:rPr>
              <w:t>宣传部紧紧围绕全县重点中心工作，做好主题外宣工作，通过构建对外传播新平台，发布外宣稿件300条。全年共计支出100.01万元，其中：农村放映电影22.16万元，更新图书14.8万元，主题实践活动经费50万元，对外宣传经费13.05万元。通过组织举办基层宣讲活动5次、新时代文明实践中心活动，举办宣传队伍培训班1次，扩大外宣阵地，从各方面将宣传资源系统化，增强了传播的亲和力和实效性，增强信息发布的权威性和影响力。</w:t>
            </w:r>
          </w:p>
        </w:tc>
      </w:tr>
      <w:tr w14:paraId="00E752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88A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DA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08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6A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E4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AC8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A46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8F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B6E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B8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9E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34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2B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5671">
            <w:pPr>
              <w:jc w:val="center"/>
            </w:pPr>
            <w:r>
              <w:rPr>
                <w:rFonts w:ascii="宋体" w:hAnsi="宋体" w:eastAsia="宋体"/>
                <w:sz w:val="16"/>
              </w:rPr>
              <w:t>偏差原因分析及改进措施</w:t>
            </w:r>
          </w:p>
        </w:tc>
      </w:tr>
      <w:tr w14:paraId="38A8C5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B7A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11D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2AD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811F">
            <w:pPr>
              <w:jc w:val="center"/>
            </w:pPr>
            <w:r>
              <w:rPr>
                <w:rFonts w:ascii="宋体" w:hAnsi="宋体" w:eastAsia="宋体"/>
                <w:sz w:val="16"/>
              </w:rPr>
              <w:t>农村电影放映场次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91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E121">
            <w:pPr>
              <w:jc w:val="center"/>
            </w:pPr>
            <w:r>
              <w:rPr>
                <w:rFonts w:ascii="宋体" w:hAnsi="宋体" w:eastAsia="宋体"/>
                <w:sz w:val="16"/>
              </w:rPr>
              <w:t>&gt;=804场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95C9">
            <w:pPr>
              <w:jc w:val="center"/>
            </w:pPr>
            <w:r>
              <w:rPr>
                <w:rFonts w:ascii="宋体" w:hAnsi="宋体" w:eastAsia="宋体"/>
                <w:sz w:val="16"/>
              </w:rPr>
              <w:t>804场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5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F2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D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28E1">
            <w:pPr>
              <w:jc w:val="center"/>
            </w:pPr>
            <w:r>
              <w:rPr>
                <w:rFonts w:ascii="宋体" w:hAnsi="宋体" w:eastAsia="宋体"/>
                <w:sz w:val="16"/>
              </w:rPr>
              <w:t>804场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3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C6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4FFF">
            <w:pPr>
              <w:jc w:val="center"/>
            </w:pPr>
          </w:p>
        </w:tc>
      </w:tr>
      <w:tr w14:paraId="26F92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04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7E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7D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2A95">
            <w:pPr>
              <w:jc w:val="center"/>
            </w:pPr>
            <w:r>
              <w:rPr>
                <w:rFonts w:ascii="宋体" w:hAnsi="宋体" w:eastAsia="宋体"/>
                <w:sz w:val="16"/>
              </w:rPr>
              <w:t>农家书屋更新图书种数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BA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4E43">
            <w:pPr>
              <w:jc w:val="center"/>
            </w:pPr>
            <w:r>
              <w:rPr>
                <w:rFonts w:ascii="宋体" w:hAnsi="宋体" w:eastAsia="宋体"/>
                <w:sz w:val="16"/>
              </w:rPr>
              <w:t>&gt;=60种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4D0F">
            <w:pPr>
              <w:jc w:val="center"/>
            </w:pPr>
            <w:r>
              <w:rPr>
                <w:rFonts w:ascii="宋体" w:hAnsi="宋体" w:eastAsia="宋体"/>
                <w:sz w:val="16"/>
              </w:rPr>
              <w:t>60种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5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57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42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3B44">
            <w:pPr>
              <w:jc w:val="center"/>
            </w:pPr>
            <w:r>
              <w:rPr>
                <w:rFonts w:ascii="宋体" w:hAnsi="宋体" w:eastAsia="宋体"/>
                <w:sz w:val="16"/>
              </w:rPr>
              <w:t>60种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20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0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E958">
            <w:pPr>
              <w:jc w:val="center"/>
            </w:pPr>
          </w:p>
        </w:tc>
      </w:tr>
      <w:tr w14:paraId="0BC63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D3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11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EA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0CFE">
            <w:pPr>
              <w:jc w:val="center"/>
            </w:pPr>
            <w:r>
              <w:rPr>
                <w:rFonts w:ascii="宋体" w:hAnsi="宋体" w:eastAsia="宋体"/>
                <w:sz w:val="16"/>
              </w:rPr>
              <w:t>举办宣讲活动次数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FB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9D4C">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8C2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7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31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6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12D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1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87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7CCD">
            <w:pPr>
              <w:jc w:val="center"/>
            </w:pPr>
          </w:p>
        </w:tc>
      </w:tr>
      <w:tr w14:paraId="26669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A0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CF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7D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539D">
            <w:pPr>
              <w:jc w:val="center"/>
            </w:pPr>
            <w:r>
              <w:rPr>
                <w:rFonts w:ascii="宋体" w:hAnsi="宋体" w:eastAsia="宋体"/>
                <w:sz w:val="16"/>
              </w:rPr>
              <w:t>宣传品制作次数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89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F72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EB8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F3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B8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E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3D4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4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2E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021B">
            <w:pPr>
              <w:jc w:val="center"/>
            </w:pPr>
          </w:p>
        </w:tc>
      </w:tr>
      <w:tr w14:paraId="6DA6D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35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EA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704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07FF">
            <w:pPr>
              <w:jc w:val="center"/>
            </w:pPr>
            <w:r>
              <w:rPr>
                <w:rFonts w:ascii="宋体" w:hAnsi="宋体" w:eastAsia="宋体"/>
                <w:sz w:val="16"/>
              </w:rPr>
              <w:t>新时代文明实践主题活动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39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6E8B">
            <w:pPr>
              <w:jc w:val="center"/>
            </w:pPr>
            <w:r>
              <w:rPr>
                <w:rFonts w:ascii="宋体" w:hAnsi="宋体" w:eastAsia="宋体"/>
                <w:sz w:val="16"/>
              </w:rPr>
              <w:t>&gt;=25场次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EDD1">
            <w:pPr>
              <w:jc w:val="center"/>
            </w:pPr>
            <w:r>
              <w:rPr>
                <w:rFonts w:ascii="宋体" w:hAnsi="宋体" w:eastAsia="宋体"/>
                <w:sz w:val="16"/>
              </w:rPr>
              <w:t>25场次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E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9D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9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7D45">
            <w:pPr>
              <w:jc w:val="center"/>
            </w:pPr>
            <w:r>
              <w:rPr>
                <w:rFonts w:ascii="宋体" w:hAnsi="宋体" w:eastAsia="宋体"/>
                <w:sz w:val="16"/>
              </w:rPr>
              <w: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8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3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F06C">
            <w:pPr>
              <w:jc w:val="center"/>
            </w:pPr>
          </w:p>
        </w:tc>
      </w:tr>
      <w:tr w14:paraId="2CB2E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17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DC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93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F632">
            <w:pPr>
              <w:jc w:val="center"/>
            </w:pPr>
            <w:r>
              <w:rPr>
                <w:rFonts w:ascii="宋体" w:hAnsi="宋体" w:eastAsia="宋体"/>
                <w:sz w:val="16"/>
              </w:rPr>
              <w:t>文明实践志愿者服务队数量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19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87DB">
            <w:pPr>
              <w:jc w:val="center"/>
            </w:pPr>
            <w:r>
              <w:rPr>
                <w:rFonts w:ascii="宋体" w:hAnsi="宋体" w:eastAsia="宋体"/>
                <w:sz w:val="16"/>
              </w:rPr>
              <w:t>&gt;=5支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26BC">
            <w:pPr>
              <w:jc w:val="center"/>
            </w:pPr>
            <w:r>
              <w:rPr>
                <w:rFonts w:ascii="宋体" w:hAnsi="宋体" w:eastAsia="宋体"/>
                <w:sz w:val="16"/>
              </w:rPr>
              <w:t>5支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E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D5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4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BD55">
            <w:pPr>
              <w:jc w:val="center"/>
            </w:pPr>
            <w:r>
              <w:rPr>
                <w:rFonts w:ascii="宋体" w:hAnsi="宋体" w:eastAsia="宋体"/>
                <w:sz w:val="16"/>
              </w:rPr>
              <w:t>5支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0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3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D8CE">
            <w:pPr>
              <w:jc w:val="center"/>
            </w:pPr>
          </w:p>
        </w:tc>
      </w:tr>
      <w:tr w14:paraId="0DC6E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58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161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EEF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F03B">
            <w:pPr>
              <w:jc w:val="center"/>
            </w:pPr>
            <w:r>
              <w:rPr>
                <w:rFonts w:ascii="宋体" w:hAnsi="宋体" w:eastAsia="宋体"/>
                <w:sz w:val="16"/>
              </w:rPr>
              <w:t>电影放映机器故障率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D9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DCEE">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E6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F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15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7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3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4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52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9887">
            <w:pPr>
              <w:jc w:val="center"/>
            </w:pPr>
          </w:p>
        </w:tc>
      </w:tr>
      <w:tr w14:paraId="50695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BC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A5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C0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D580">
            <w:pPr>
              <w:jc w:val="center"/>
            </w:pPr>
            <w:r>
              <w:rPr>
                <w:rFonts w:ascii="宋体" w:hAnsi="宋体" w:eastAsia="宋体"/>
                <w:sz w:val="16"/>
              </w:rPr>
              <w:t>宣传材料合格率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8E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853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6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9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01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5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2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3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1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72B1">
            <w:pPr>
              <w:jc w:val="center"/>
            </w:pPr>
          </w:p>
        </w:tc>
      </w:tr>
      <w:tr w14:paraId="76DD1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CB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68A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295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33B8">
            <w:pPr>
              <w:jc w:val="center"/>
            </w:pPr>
            <w:r>
              <w:rPr>
                <w:rFonts w:ascii="宋体" w:hAnsi="宋体" w:eastAsia="宋体"/>
                <w:sz w:val="16"/>
              </w:rPr>
              <w:t>农村放映及时率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D0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8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A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08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D1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4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D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5B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A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7A0B">
            <w:pPr>
              <w:jc w:val="center"/>
            </w:pPr>
          </w:p>
        </w:tc>
      </w:tr>
      <w:tr w14:paraId="27F3A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CC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99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8C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5523">
            <w:pPr>
              <w:jc w:val="center"/>
            </w:pPr>
            <w:r>
              <w:rPr>
                <w:rFonts w:ascii="宋体" w:hAnsi="宋体" w:eastAsia="宋体"/>
                <w:sz w:val="16"/>
              </w:rPr>
              <w:t>图书更新及时率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28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1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3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0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95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E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6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C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B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7AE3">
            <w:pPr>
              <w:jc w:val="center"/>
            </w:pPr>
          </w:p>
        </w:tc>
      </w:tr>
      <w:tr w14:paraId="28512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04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7C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7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F551">
            <w:pPr>
              <w:jc w:val="center"/>
            </w:pPr>
            <w:r>
              <w:rPr>
                <w:rFonts w:ascii="宋体" w:hAnsi="宋体" w:eastAsia="宋体"/>
                <w:sz w:val="16"/>
              </w:rPr>
              <w:t>主题实践活动完成及时率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8A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A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1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9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81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6D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1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B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E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6389">
            <w:pPr>
              <w:jc w:val="center"/>
            </w:pPr>
          </w:p>
        </w:tc>
      </w:tr>
      <w:tr w14:paraId="72E86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356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152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77C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D63D">
            <w:pPr>
              <w:jc w:val="center"/>
            </w:pPr>
            <w:r>
              <w:rPr>
                <w:rFonts w:ascii="宋体" w:hAnsi="宋体" w:eastAsia="宋体"/>
                <w:sz w:val="16"/>
              </w:rPr>
              <w:t>农村放映电影成本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97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7ADD">
            <w:pPr>
              <w:jc w:val="center"/>
            </w:pPr>
            <w:r>
              <w:rPr>
                <w:rFonts w:ascii="宋体" w:hAnsi="宋体" w:eastAsia="宋体"/>
                <w:sz w:val="16"/>
              </w:rPr>
              <w:t>&lt;=22.16万元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8CB5">
            <w:pPr>
              <w:jc w:val="center"/>
            </w:pPr>
            <w:r>
              <w:rPr>
                <w:rFonts w:ascii="宋体" w:hAnsi="宋体" w:eastAsia="宋体"/>
                <w:sz w:val="16"/>
              </w:rPr>
              <w:t>22.16万元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B5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E6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A9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BC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7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6E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4053">
            <w:pPr>
              <w:jc w:val="center"/>
            </w:pPr>
          </w:p>
        </w:tc>
      </w:tr>
      <w:tr w14:paraId="2CD73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A3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00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A8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1CAE">
            <w:pPr>
              <w:jc w:val="center"/>
            </w:pPr>
            <w:r>
              <w:rPr>
                <w:rFonts w:ascii="宋体" w:hAnsi="宋体" w:eastAsia="宋体"/>
                <w:sz w:val="16"/>
              </w:rPr>
              <w:t>更新图书成本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01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DFEB">
            <w:pPr>
              <w:jc w:val="center"/>
            </w:pPr>
            <w:r>
              <w:rPr>
                <w:rFonts w:ascii="宋体" w:hAnsi="宋体" w:eastAsia="宋体"/>
                <w:sz w:val="16"/>
              </w:rPr>
              <w:t>&lt;=14.80万元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FC74">
            <w:pPr>
              <w:jc w:val="center"/>
            </w:pPr>
            <w:r>
              <w:rPr>
                <w:rFonts w:ascii="宋体" w:hAnsi="宋体" w:eastAsia="宋体"/>
                <w:sz w:val="16"/>
              </w:rPr>
              <w:t>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EA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B3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05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1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7B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CF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B230">
            <w:pPr>
              <w:jc w:val="center"/>
            </w:pPr>
          </w:p>
        </w:tc>
      </w:tr>
      <w:tr w14:paraId="3656F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DCC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ED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AA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87A6">
            <w:pPr>
              <w:jc w:val="center"/>
            </w:pPr>
            <w:r>
              <w:rPr>
                <w:rFonts w:ascii="宋体" w:hAnsi="宋体" w:eastAsia="宋体"/>
                <w:sz w:val="16"/>
              </w:rPr>
              <w:t>主题实践活动经费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62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3E05">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47A7">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6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7E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B1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1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85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F5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731E">
            <w:pPr>
              <w:jc w:val="center"/>
            </w:pPr>
          </w:p>
        </w:tc>
      </w:tr>
      <w:tr w14:paraId="39D7C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D1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85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27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8A50">
            <w:pPr>
              <w:jc w:val="center"/>
            </w:pPr>
            <w:r>
              <w:rPr>
                <w:rFonts w:ascii="宋体" w:hAnsi="宋体" w:eastAsia="宋体"/>
                <w:sz w:val="16"/>
              </w:rPr>
              <w:t>对外宣传经费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EE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6711">
            <w:pPr>
              <w:jc w:val="center"/>
            </w:pPr>
            <w:r>
              <w:rPr>
                <w:rFonts w:ascii="宋体" w:hAnsi="宋体" w:eastAsia="宋体"/>
                <w:sz w:val="16"/>
              </w:rPr>
              <w:t>&lt;=15.6万元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E197">
            <w:pPr>
              <w:jc w:val="center"/>
            </w:pPr>
            <w:r>
              <w:rPr>
                <w:rFonts w:ascii="宋体" w:hAnsi="宋体" w:eastAsia="宋体"/>
                <w:sz w:val="16"/>
              </w:rPr>
              <w:t>13.05万元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7308">
            <w:pPr>
              <w:jc w:val="center"/>
            </w:pPr>
            <w:r>
              <w:rPr>
                <w:rFonts w:ascii="宋体" w:hAnsi="宋体" w:eastAsia="宋体"/>
                <w:sz w:val="16"/>
              </w:rPr>
              <w:t>83.65%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94CB">
            <w:pPr>
              <w:jc w:val="center"/>
            </w:pPr>
            <w:r>
              <w:rPr>
                <w:rFonts w:ascii="宋体" w:hAnsi="宋体" w:eastAsia="宋体"/>
                <w:sz w:val="16"/>
              </w:rPr>
              <w:t>4.18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16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0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9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F1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50AD">
            <w:pPr>
              <w:jc w:val="center"/>
            </w:pPr>
            <w:r>
              <w:rPr>
                <w:rFonts w:ascii="宋体" w:hAnsi="宋体" w:eastAsia="宋体"/>
                <w:sz w:val="16"/>
              </w:rPr>
              <w:t>厉行节约，经费减少。</w:t>
            </w:r>
          </w:p>
        </w:tc>
      </w:tr>
      <w:tr w14:paraId="21634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C7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7A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33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6A96">
            <w:pPr>
              <w:jc w:val="center"/>
            </w:pPr>
            <w:r>
              <w:rPr>
                <w:rFonts w:ascii="宋体" w:hAnsi="宋体" w:eastAsia="宋体"/>
                <w:sz w:val="16"/>
              </w:rPr>
              <w:t>提升霍城县社会精神文明程度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F1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F00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E9F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B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37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6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1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98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1C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B373">
            <w:pPr>
              <w:jc w:val="center"/>
            </w:pPr>
          </w:p>
        </w:tc>
      </w:tr>
      <w:tr w14:paraId="1546F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674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74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4D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3466">
            <w:pPr>
              <w:jc w:val="center"/>
            </w:pPr>
            <w:r>
              <w:rPr>
                <w:rFonts w:ascii="宋体" w:hAnsi="宋体" w:eastAsia="宋体"/>
                <w:sz w:val="16"/>
              </w:rPr>
              <w:t>各族干部群众对宣传工作满意度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DD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99F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2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F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77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9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5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A0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D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28D5">
            <w:pPr>
              <w:jc w:val="center"/>
            </w:pPr>
          </w:p>
        </w:tc>
      </w:tr>
      <w:tr w14:paraId="7E54DF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42EF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5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DEF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89C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2A6D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E2A8">
            <w:pPr>
              <w:jc w:val="center"/>
            </w:pPr>
            <w:r>
              <w:rPr>
                <w:rFonts w:ascii="宋体" w:hAnsi="宋体" w:eastAsia="宋体"/>
                <w:sz w:val="16"/>
              </w:rPr>
              <w:t>98.56分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06FE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268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542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5B8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182F3"/>
        </w:tc>
      </w:tr>
    </w:tbl>
    <w:p w14:paraId="3B8C4EB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2C9F3C52">
        <w:tblPrEx>
          <w:tblCellMar>
            <w:top w:w="0" w:type="dxa"/>
            <w:left w:w="108" w:type="dxa"/>
            <w:bottom w:w="0" w:type="dxa"/>
            <w:right w:w="108" w:type="dxa"/>
          </w:tblCellMar>
        </w:tblPrEx>
        <w:tc>
          <w:tcPr>
            <w:tcW w:w="8848" w:type="dxa"/>
            <w:gridSpan w:val="14"/>
            <w:vAlign w:val="center"/>
          </w:tcPr>
          <w:p w14:paraId="4541F148">
            <w:pPr>
              <w:jc w:val="center"/>
            </w:pPr>
            <w:r>
              <w:rPr>
                <w:rFonts w:ascii="宋体" w:hAnsi="宋体" w:eastAsia="宋体"/>
                <w:sz w:val="24"/>
              </w:rPr>
              <w:t>项目支出绩效自评表</w:t>
            </w:r>
          </w:p>
        </w:tc>
      </w:tr>
      <w:tr w14:paraId="401CDC04">
        <w:tblPrEx>
          <w:tblCellMar>
            <w:top w:w="0" w:type="dxa"/>
            <w:left w:w="108" w:type="dxa"/>
            <w:bottom w:w="0" w:type="dxa"/>
            <w:right w:w="108" w:type="dxa"/>
          </w:tblCellMar>
        </w:tblPrEx>
        <w:tc>
          <w:tcPr>
            <w:tcW w:w="8848" w:type="dxa"/>
            <w:gridSpan w:val="14"/>
            <w:vAlign w:val="center"/>
          </w:tcPr>
          <w:p w14:paraId="06DC7FAB">
            <w:pPr>
              <w:jc w:val="center"/>
            </w:pPr>
            <w:r>
              <w:rPr>
                <w:rFonts w:ascii="宋体" w:hAnsi="宋体" w:eastAsia="宋体"/>
                <w:sz w:val="24"/>
              </w:rPr>
              <w:t>(2024年度)</w:t>
            </w:r>
          </w:p>
        </w:tc>
      </w:tr>
      <w:tr w14:paraId="5E9AF2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90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938CC4">
            <w:pPr>
              <w:jc w:val="center"/>
            </w:pPr>
            <w:r>
              <w:rPr>
                <w:rFonts w:ascii="宋体" w:hAnsi="宋体" w:eastAsia="宋体"/>
                <w:sz w:val="16"/>
              </w:rPr>
              <w:t>《山水间的家》栏目拍摄资金项目</w:t>
            </w:r>
          </w:p>
        </w:tc>
      </w:tr>
      <w:tr w14:paraId="74283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AF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2BD89">
            <w:pPr>
              <w:jc w:val="center"/>
            </w:pPr>
            <w:r>
              <w:rPr>
                <w:rFonts w:ascii="宋体" w:hAnsi="宋体" w:eastAsia="宋体"/>
                <w:sz w:val="16"/>
              </w:rPr>
              <w:t>中国共产党霍城县委员会宣传部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9F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BDD3D0">
            <w:pPr>
              <w:jc w:val="center"/>
            </w:pPr>
            <w:r>
              <w:rPr>
                <w:rFonts w:ascii="宋体" w:hAnsi="宋体" w:eastAsia="宋体"/>
                <w:sz w:val="16"/>
              </w:rPr>
              <w:t>中国共产党霍城县委员会宣传部</w:t>
            </w:r>
          </w:p>
        </w:tc>
      </w:tr>
      <w:tr w14:paraId="1CA315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4518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E2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EB9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92B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AFC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8BF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A3B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A197">
            <w:pPr>
              <w:jc w:val="center"/>
            </w:pPr>
            <w:r>
              <w:rPr>
                <w:rFonts w:ascii="宋体" w:hAnsi="宋体" w:eastAsia="宋体"/>
                <w:sz w:val="16"/>
              </w:rPr>
              <w:t>得分</w:t>
            </w:r>
          </w:p>
        </w:tc>
      </w:tr>
      <w:tr w14:paraId="70AEA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137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B1A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5FED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7A8E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8BFF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1F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258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A6EC">
            <w:pPr>
              <w:jc w:val="center"/>
            </w:pPr>
            <w:r>
              <w:rPr>
                <w:rFonts w:ascii="宋体" w:hAnsi="宋体" w:eastAsia="宋体"/>
                <w:sz w:val="16"/>
              </w:rPr>
              <w:t>10.00</w:t>
            </w:r>
          </w:p>
        </w:tc>
      </w:tr>
      <w:tr w14:paraId="2BD99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D61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933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4B2A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5BF2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BF26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F53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09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5F2D">
            <w:pPr>
              <w:jc w:val="center"/>
            </w:pPr>
            <w:r>
              <w:rPr>
                <w:rFonts w:ascii="宋体" w:hAnsi="宋体" w:eastAsia="宋体"/>
                <w:sz w:val="16"/>
              </w:rPr>
              <w:t>—</w:t>
            </w:r>
          </w:p>
        </w:tc>
      </w:tr>
      <w:tr w14:paraId="7F716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D55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0C6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3D9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037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061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DC6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70B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E948">
            <w:pPr>
              <w:jc w:val="center"/>
            </w:pPr>
            <w:r>
              <w:rPr>
                <w:rFonts w:ascii="宋体" w:hAnsi="宋体" w:eastAsia="宋体"/>
                <w:sz w:val="16"/>
              </w:rPr>
              <w:t>—</w:t>
            </w:r>
          </w:p>
        </w:tc>
      </w:tr>
      <w:tr w14:paraId="7E10F3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C418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C1F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7BB0F">
            <w:pPr>
              <w:jc w:val="center"/>
            </w:pPr>
            <w:r>
              <w:rPr>
                <w:rFonts w:ascii="宋体" w:hAnsi="宋体" w:eastAsia="宋体"/>
                <w:sz w:val="16"/>
              </w:rPr>
              <w:t>实际完成情况</w:t>
            </w:r>
          </w:p>
        </w:tc>
      </w:tr>
      <w:tr w14:paraId="01D26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384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435FE">
            <w:pPr>
              <w:jc w:val="both"/>
            </w:pPr>
            <w:r>
              <w:rPr>
                <w:rFonts w:ascii="宋体" w:hAnsi="宋体" w:eastAsia="宋体"/>
                <w:sz w:val="16"/>
              </w:rPr>
              <w:t>通过中央广播电视总台《山水间的家》栏目组对霍城县芦草沟镇四宫村晃晃村民宿及薰衣草种植、采摘及炼油等过程进行全面的拍摄，突出由薰衣草产业带动一、二、三产的融合发展，凸显霍城旅游＋产业等方面的突出表现，使霍城县芦草沟镇四宫村晃晃村民宿及薰衣草让全国观众变成向往之地、旅游之地、打卡之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8FDBA">
            <w:pPr>
              <w:jc w:val="both"/>
            </w:pPr>
            <w:r>
              <w:rPr>
                <w:rFonts w:ascii="宋体" w:hAnsi="宋体" w:eastAsia="宋体"/>
                <w:sz w:val="16"/>
              </w:rPr>
              <w:t>已经完成栏目拍摄，拍摄了一部30分钟的综艺节目，共计支出10万元，其中：摄制组及工作人员餐费0.35万元，摄制组道具费2.12万元，摄制组及工作人员住宿费7.53万元，通过节目的播出突出了由薰衣草产业带动一、二、三产的融合发展，凸显了霍城旅游＋产业等方面的突出表现，使霍城县芦草沟镇四宫村晃晃村民宿及薰衣草让全国观众变成向往之地、旅游之地、打卡之地。</w:t>
            </w:r>
          </w:p>
        </w:tc>
      </w:tr>
      <w:tr w14:paraId="3F5D8F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699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E8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C6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CF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F8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FC5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6E0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E7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23D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6C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2F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62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3C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24D0">
            <w:pPr>
              <w:jc w:val="center"/>
            </w:pPr>
            <w:r>
              <w:rPr>
                <w:rFonts w:ascii="宋体" w:hAnsi="宋体" w:eastAsia="宋体"/>
                <w:sz w:val="16"/>
              </w:rPr>
              <w:t>偏差原因分析及改进措施</w:t>
            </w:r>
          </w:p>
        </w:tc>
      </w:tr>
      <w:tr w14:paraId="04CCAB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5DA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D8D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DEF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1E15">
            <w:pPr>
              <w:jc w:val="center"/>
            </w:pPr>
            <w:r>
              <w:rPr>
                <w:rFonts w:ascii="宋体" w:hAnsi="宋体" w:eastAsia="宋体"/>
                <w:sz w:val="16"/>
              </w:rPr>
              <w:t>拍摄影视作品时长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8F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80D6">
            <w:pPr>
              <w:jc w:val="center"/>
            </w:pPr>
            <w:r>
              <w:rPr>
                <w:rFonts w:ascii="宋体" w:hAnsi="宋体" w:eastAsia="宋体"/>
                <w:sz w:val="16"/>
              </w:rPr>
              <w:t>&gt;=30分钟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75AA">
            <w:pPr>
              <w:jc w:val="center"/>
            </w:pPr>
            <w:r>
              <w:rPr>
                <w:rFonts w:ascii="宋体" w:hAnsi="宋体" w:eastAsia="宋体"/>
                <w:sz w:val="16"/>
              </w:rPr>
              <w: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9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AD2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B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BC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0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8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A98C">
            <w:pPr>
              <w:jc w:val="center"/>
            </w:pPr>
          </w:p>
        </w:tc>
      </w:tr>
      <w:tr w14:paraId="107C3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1D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B6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6F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DE44">
            <w:pPr>
              <w:jc w:val="center"/>
            </w:pPr>
            <w:r>
              <w:rPr>
                <w:rFonts w:ascii="宋体" w:hAnsi="宋体" w:eastAsia="宋体"/>
                <w:sz w:val="16"/>
              </w:rPr>
              <w:t>影视宣传作品完成数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09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F9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480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C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48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F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5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2C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51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4942">
            <w:pPr>
              <w:jc w:val="center"/>
            </w:pPr>
          </w:p>
        </w:tc>
      </w:tr>
      <w:tr w14:paraId="4A418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A8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D5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25D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CFC1">
            <w:pPr>
              <w:jc w:val="center"/>
            </w:pPr>
            <w:r>
              <w:rPr>
                <w:rFonts w:ascii="宋体" w:hAnsi="宋体" w:eastAsia="宋体"/>
                <w:sz w:val="16"/>
              </w:rPr>
              <w:t>影视作品宣传次数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4D9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145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B8B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2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1D8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9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5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19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0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A313">
            <w:pPr>
              <w:jc w:val="center"/>
            </w:pPr>
          </w:p>
        </w:tc>
      </w:tr>
      <w:tr w14:paraId="5A5B5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D9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15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36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95C5">
            <w:pPr>
              <w:jc w:val="center"/>
            </w:pPr>
            <w:r>
              <w:rPr>
                <w:rFonts w:ascii="宋体" w:hAnsi="宋体" w:eastAsia="宋体"/>
                <w:sz w:val="16"/>
              </w:rPr>
              <w:t>摄制组及工作人员人数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E5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BDC1">
            <w:pPr>
              <w:jc w:val="center"/>
            </w:pPr>
            <w:r>
              <w:rPr>
                <w:rFonts w:ascii="宋体" w:hAnsi="宋体" w:eastAsia="宋体"/>
                <w:sz w:val="16"/>
              </w:rPr>
              <w:t>=126人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3E77">
            <w:pPr>
              <w:jc w:val="center"/>
            </w:pPr>
            <w:r>
              <w:rPr>
                <w:rFonts w:ascii="宋体" w:hAnsi="宋体" w:eastAsia="宋体"/>
                <w:sz w:val="16"/>
              </w:rPr>
              <w:t>126人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9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1B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4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99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5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AC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C3D0">
            <w:pPr>
              <w:jc w:val="center"/>
            </w:pPr>
          </w:p>
        </w:tc>
      </w:tr>
      <w:tr w14:paraId="4E8F1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97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19D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1AB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F9E6">
            <w:pPr>
              <w:jc w:val="center"/>
            </w:pPr>
            <w:r>
              <w:rPr>
                <w:rFonts w:ascii="宋体" w:hAnsi="宋体" w:eastAsia="宋体"/>
                <w:sz w:val="16"/>
              </w:rPr>
              <w:t>影视宣传作品央视播出率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5D5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8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0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7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B9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E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6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3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4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F341">
            <w:pPr>
              <w:jc w:val="center"/>
            </w:pPr>
          </w:p>
        </w:tc>
      </w:tr>
      <w:tr w14:paraId="4882C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BD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1D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27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5E4B">
            <w:pPr>
              <w:jc w:val="center"/>
            </w:pPr>
            <w:r>
              <w:rPr>
                <w:rFonts w:ascii="宋体" w:hAnsi="宋体" w:eastAsia="宋体"/>
                <w:sz w:val="16"/>
              </w:rPr>
              <w:t>拍摄影视宣传作品完成率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191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B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E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D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D8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5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4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78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5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9655">
            <w:pPr>
              <w:jc w:val="center"/>
            </w:pPr>
          </w:p>
        </w:tc>
      </w:tr>
      <w:tr w14:paraId="71501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FE6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9E7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694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5760">
            <w:pPr>
              <w:jc w:val="center"/>
            </w:pPr>
            <w:r>
              <w:rPr>
                <w:rFonts w:ascii="宋体" w:hAnsi="宋体" w:eastAsia="宋体"/>
                <w:sz w:val="16"/>
              </w:rPr>
              <w:t>摄制组及工作人员餐费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5A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CD74">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EDB5">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1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7F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E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C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9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D8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DB33">
            <w:pPr>
              <w:jc w:val="center"/>
            </w:pPr>
          </w:p>
        </w:tc>
      </w:tr>
      <w:tr w14:paraId="7C98F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6A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DA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EB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5EAA">
            <w:pPr>
              <w:jc w:val="center"/>
            </w:pPr>
            <w:r>
              <w:rPr>
                <w:rFonts w:ascii="宋体" w:hAnsi="宋体" w:eastAsia="宋体"/>
                <w:sz w:val="16"/>
              </w:rPr>
              <w:t>摄制组道具费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B5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7FED">
            <w:pPr>
              <w:jc w:val="center"/>
            </w:pPr>
            <w:r>
              <w:rPr>
                <w:rFonts w:ascii="宋体" w:hAnsi="宋体" w:eastAsia="宋体"/>
                <w:sz w:val="16"/>
              </w:rPr>
              <w:t>&lt;=2.12万元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DC37">
            <w:pPr>
              <w:jc w:val="center"/>
            </w:pPr>
            <w:r>
              <w:rPr>
                <w:rFonts w:ascii="宋体" w:hAnsi="宋体" w:eastAsia="宋体"/>
                <w:sz w:val="16"/>
              </w:rPr>
              <w: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3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8F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12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65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8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A3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41A3">
            <w:pPr>
              <w:jc w:val="center"/>
            </w:pPr>
          </w:p>
        </w:tc>
      </w:tr>
      <w:tr w14:paraId="20E49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7A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51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C9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17CF">
            <w:pPr>
              <w:jc w:val="center"/>
            </w:pPr>
            <w:r>
              <w:rPr>
                <w:rFonts w:ascii="宋体" w:hAnsi="宋体" w:eastAsia="宋体"/>
                <w:sz w:val="16"/>
              </w:rPr>
              <w:t>摄制组及工作人员住宿费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8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398E">
            <w:pPr>
              <w:jc w:val="center"/>
            </w:pPr>
            <w:r>
              <w:rPr>
                <w:rFonts w:ascii="宋体" w:hAnsi="宋体" w:eastAsia="宋体"/>
                <w:sz w:val="16"/>
              </w:rPr>
              <w:t>&lt;=7.53万元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6CCB">
            <w:pPr>
              <w:jc w:val="center"/>
            </w:pPr>
            <w:r>
              <w:rPr>
                <w:rFonts w:ascii="宋体" w:hAnsi="宋体" w:eastAsia="宋体"/>
                <w:sz w:val="16"/>
              </w:rPr>
              <w:t>7.53万元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97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D3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7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C2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CF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09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1B65">
            <w:pPr>
              <w:jc w:val="center"/>
            </w:pPr>
          </w:p>
        </w:tc>
      </w:tr>
      <w:tr w14:paraId="6B3FA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F1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1A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FA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14CC">
            <w:pPr>
              <w:jc w:val="center"/>
            </w:pPr>
            <w:r>
              <w:rPr>
                <w:rFonts w:ascii="宋体" w:hAnsi="宋体" w:eastAsia="宋体"/>
                <w:sz w:val="16"/>
              </w:rPr>
              <w:t>提升霍城县薰衣草文化知晓率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59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174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334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3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D9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0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6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B2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9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DCDB">
            <w:pPr>
              <w:jc w:val="center"/>
            </w:pPr>
          </w:p>
        </w:tc>
      </w:tr>
      <w:tr w14:paraId="04211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CD8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5C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0E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21E6">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BE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33C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A5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6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C7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9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AF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9A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C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549D">
            <w:pPr>
              <w:jc w:val="center"/>
            </w:pPr>
          </w:p>
        </w:tc>
      </w:tr>
      <w:tr w14:paraId="4841C8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4AB3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0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A09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7C1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08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183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88C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653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8E0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00B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9BB89"/>
        </w:tc>
      </w:tr>
    </w:tbl>
    <w:p w14:paraId="546A6C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5929429">
        <w:tblPrEx>
          <w:tblCellMar>
            <w:top w:w="0" w:type="dxa"/>
            <w:left w:w="108" w:type="dxa"/>
            <w:bottom w:w="0" w:type="dxa"/>
            <w:right w:w="108" w:type="dxa"/>
          </w:tblCellMar>
        </w:tblPrEx>
        <w:tc>
          <w:tcPr>
            <w:tcW w:w="8848" w:type="dxa"/>
            <w:gridSpan w:val="14"/>
            <w:vAlign w:val="center"/>
          </w:tcPr>
          <w:p w14:paraId="0B9143F1">
            <w:pPr>
              <w:jc w:val="center"/>
            </w:pPr>
            <w:r>
              <w:rPr>
                <w:rFonts w:ascii="宋体" w:hAnsi="宋体" w:eastAsia="宋体"/>
                <w:sz w:val="24"/>
              </w:rPr>
              <w:t>项目支出绩效自评表</w:t>
            </w:r>
          </w:p>
        </w:tc>
      </w:tr>
      <w:tr w14:paraId="62A8A124">
        <w:tblPrEx>
          <w:tblCellMar>
            <w:top w:w="0" w:type="dxa"/>
            <w:left w:w="108" w:type="dxa"/>
            <w:bottom w:w="0" w:type="dxa"/>
            <w:right w:w="108" w:type="dxa"/>
          </w:tblCellMar>
        </w:tblPrEx>
        <w:tc>
          <w:tcPr>
            <w:tcW w:w="8848" w:type="dxa"/>
            <w:gridSpan w:val="14"/>
            <w:vAlign w:val="center"/>
          </w:tcPr>
          <w:p w14:paraId="66BACC39">
            <w:pPr>
              <w:jc w:val="center"/>
            </w:pPr>
            <w:r>
              <w:rPr>
                <w:rFonts w:ascii="宋体" w:hAnsi="宋体" w:eastAsia="宋体"/>
                <w:sz w:val="24"/>
              </w:rPr>
              <w:t>(2024年度)</w:t>
            </w:r>
          </w:p>
        </w:tc>
      </w:tr>
      <w:tr w14:paraId="2D7B0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B0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065772">
            <w:pPr>
              <w:jc w:val="center"/>
            </w:pPr>
            <w:r>
              <w:rPr>
                <w:rFonts w:ascii="宋体" w:hAnsi="宋体" w:eastAsia="宋体"/>
                <w:sz w:val="16"/>
              </w:rPr>
              <w:t>霍城县铸牢中华民族共同体意识教育实践基地建设项目（自有资金）</w:t>
            </w:r>
          </w:p>
        </w:tc>
      </w:tr>
      <w:tr w14:paraId="75A1BC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CE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3F816">
            <w:pPr>
              <w:jc w:val="center"/>
            </w:pPr>
            <w:r>
              <w:rPr>
                <w:rFonts w:ascii="宋体" w:hAnsi="宋体" w:eastAsia="宋体"/>
                <w:sz w:val="16"/>
              </w:rPr>
              <w:t>中国共产党霍城县委员会宣传部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A4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6F394">
            <w:pPr>
              <w:jc w:val="center"/>
            </w:pPr>
            <w:r>
              <w:rPr>
                <w:rFonts w:ascii="宋体" w:hAnsi="宋体" w:eastAsia="宋体"/>
                <w:sz w:val="16"/>
              </w:rPr>
              <w:t>中国共产党霍城县委员会宣传部</w:t>
            </w:r>
          </w:p>
        </w:tc>
      </w:tr>
      <w:tr w14:paraId="794B85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2FC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424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E2B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5C1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AA7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CC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CAF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B5F7">
            <w:pPr>
              <w:jc w:val="center"/>
            </w:pPr>
            <w:r>
              <w:rPr>
                <w:rFonts w:ascii="宋体" w:hAnsi="宋体" w:eastAsia="宋体"/>
                <w:sz w:val="16"/>
              </w:rPr>
              <w:t>得分</w:t>
            </w:r>
          </w:p>
        </w:tc>
      </w:tr>
      <w:tr w14:paraId="489AE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8B5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1C2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4EB0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A033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C9069">
            <w:pPr>
              <w:jc w:val="center"/>
            </w:pPr>
            <w:r>
              <w:rPr>
                <w:rFonts w:ascii="宋体" w:hAnsi="宋体" w:eastAsia="宋体"/>
                <w:sz w:val="16"/>
              </w:rPr>
              <w:t>188.41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B0B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20B80">
            <w:pPr>
              <w:jc w:val="center"/>
            </w:pPr>
            <w:r>
              <w:rPr>
                <w:rFonts w:ascii="宋体" w:hAnsi="宋体" w:eastAsia="宋体"/>
                <w:sz w:val="16"/>
              </w:rPr>
              <w:t>94.20%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1781">
            <w:pPr>
              <w:jc w:val="center"/>
            </w:pPr>
            <w:r>
              <w:rPr>
                <w:rFonts w:ascii="宋体" w:hAnsi="宋体" w:eastAsia="宋体"/>
                <w:sz w:val="16"/>
              </w:rPr>
              <w:t>8.55</w:t>
            </w:r>
          </w:p>
        </w:tc>
      </w:tr>
      <w:tr w14:paraId="47EE7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9F4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B74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37B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1B5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D92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D8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B3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C556">
            <w:pPr>
              <w:jc w:val="center"/>
            </w:pPr>
            <w:r>
              <w:rPr>
                <w:rFonts w:ascii="宋体" w:hAnsi="宋体" w:eastAsia="宋体"/>
                <w:sz w:val="16"/>
              </w:rPr>
              <w:t>—</w:t>
            </w:r>
          </w:p>
        </w:tc>
      </w:tr>
      <w:tr w14:paraId="64C25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C2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0D3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7E2E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3F5F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747AA">
            <w:pPr>
              <w:jc w:val="center"/>
            </w:pPr>
            <w:r>
              <w:rPr>
                <w:rFonts w:ascii="宋体" w:hAnsi="宋体" w:eastAsia="宋体"/>
                <w:sz w:val="16"/>
              </w:rPr>
              <w:t>188.41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419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338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8B0C">
            <w:pPr>
              <w:jc w:val="center"/>
            </w:pPr>
            <w:r>
              <w:rPr>
                <w:rFonts w:ascii="宋体" w:hAnsi="宋体" w:eastAsia="宋体"/>
                <w:sz w:val="16"/>
              </w:rPr>
              <w:t>—</w:t>
            </w:r>
          </w:p>
        </w:tc>
      </w:tr>
      <w:tr w14:paraId="68DE76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1BBEA">
            <w:pPr>
              <w:jc w:val="center"/>
            </w:pPr>
            <w:r>
              <w:rPr>
                <w:rFonts w:ascii="宋体" w:hAnsi="宋体" w:eastAsia="宋体"/>
                <w:sz w:val="16"/>
              </w:rPr>
              <w:t>年度总体目标</w:t>
            </w:r>
          </w:p>
        </w:tc>
        <w:tc>
          <w:tcPr>
            <w:tcW w:w="505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0FA093">
            <w:pPr>
              <w:jc w:val="center"/>
            </w:pPr>
            <w:r>
              <w:rPr>
                <w:rFonts w:ascii="宋体" w:hAnsi="宋体" w:eastAsia="宋体"/>
                <w:sz w:val="16"/>
              </w:rPr>
              <w:t>预期目标</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25C81">
            <w:pPr>
              <w:jc w:val="center"/>
            </w:pPr>
            <w:r>
              <w:rPr>
                <w:rFonts w:ascii="宋体" w:hAnsi="宋体" w:eastAsia="宋体"/>
                <w:sz w:val="16"/>
              </w:rPr>
              <w:t>实际完成情况</w:t>
            </w:r>
          </w:p>
        </w:tc>
      </w:tr>
      <w:tr w14:paraId="627FC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3F437"/>
        </w:tc>
        <w:tc>
          <w:tcPr>
            <w:tcW w:w="505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341CE0">
            <w:pPr>
              <w:jc w:val="both"/>
            </w:pPr>
            <w:r>
              <w:rPr>
                <w:rFonts w:ascii="宋体" w:hAnsi="宋体" w:eastAsia="宋体"/>
                <w:sz w:val="16"/>
              </w:rPr>
              <w:t>伊犁将军府将通过MR沉浸式内容将以“数字化+文旅”的新形势助力伊犁将军府讲好文化故事，传播文化故事，传承文化故事。</w:t>
            </w:r>
            <w:r>
              <w:rPr>
                <w:rFonts w:ascii="宋体" w:hAnsi="宋体" w:eastAsia="宋体"/>
                <w:sz w:val="16"/>
              </w:rPr>
              <w:br w:type="textWrapping"/>
            </w:r>
            <w:r>
              <w:rPr>
                <w:rFonts w:ascii="宋体" w:hAnsi="宋体" w:eastAsia="宋体"/>
                <w:sz w:val="16"/>
              </w:rPr>
              <w:t>具体目标如下：</w:t>
            </w:r>
            <w:r>
              <w:rPr>
                <w:rFonts w:ascii="宋体" w:hAnsi="宋体" w:eastAsia="宋体"/>
                <w:sz w:val="16"/>
              </w:rPr>
              <w:br w:type="textWrapping"/>
            </w:r>
            <w:r>
              <w:rPr>
                <w:rFonts w:ascii="宋体" w:hAnsi="宋体" w:eastAsia="宋体"/>
                <w:sz w:val="16"/>
              </w:rPr>
              <w:t>1、虚拟场景构建：利用MR技术构建与文物相关的历史场景，让人们仿佛身临其境，直观感受文物所处的时代背景和故事氛围，比如展现古代宫殿、战场等场景。</w:t>
            </w:r>
            <w:r>
              <w:rPr>
                <w:rFonts w:ascii="宋体" w:hAnsi="宋体" w:eastAsia="宋体"/>
                <w:sz w:val="16"/>
              </w:rPr>
              <w:br w:type="textWrapping"/>
            </w:r>
            <w:r>
              <w:rPr>
                <w:rFonts w:ascii="宋体" w:hAnsi="宋体" w:eastAsia="宋体"/>
                <w:sz w:val="16"/>
              </w:rPr>
              <w:t>2、文物细节呈现：利用 MR 为文物添加额外的虚拟细节和注释，揭示其背后隐藏的故事元素，比如在一件青铜器上显示其铸造工艺过程或曾经的使用场景。</w:t>
            </w:r>
            <w:r>
              <w:rPr>
                <w:rFonts w:ascii="宋体" w:hAnsi="宋体" w:eastAsia="宋体"/>
                <w:sz w:val="16"/>
              </w:rPr>
              <w:br w:type="textWrapping"/>
            </w:r>
            <w:r>
              <w:rPr>
                <w:rFonts w:ascii="宋体" w:hAnsi="宋体" w:eastAsia="宋体"/>
                <w:sz w:val="16"/>
              </w:rPr>
              <w:t>3、互动式体验：设计 MR 互动环节，让观众参与到故事中来，比如通过扫描文物触发一段虚拟角色的对话，讲述相关故事。</w:t>
            </w:r>
            <w:r>
              <w:rPr>
                <w:rFonts w:ascii="宋体" w:hAnsi="宋体" w:eastAsia="宋体"/>
                <w:sz w:val="16"/>
              </w:rPr>
              <w:br w:type="textWrapping"/>
            </w:r>
            <w:r>
              <w:rPr>
                <w:rFonts w:ascii="宋体" w:hAnsi="宋体" w:eastAsia="宋体"/>
                <w:sz w:val="16"/>
              </w:rPr>
              <w:t>4、社交媒体分享：开发便于在社交媒体上分享的 MR 内容，用户可以将自己体验到的独特文物故事分享给更多人，引起广泛关注。</w:t>
            </w:r>
            <w:r>
              <w:rPr>
                <w:rFonts w:ascii="宋体" w:hAnsi="宋体" w:eastAsia="宋体"/>
                <w:sz w:val="16"/>
              </w:rPr>
              <w:br w:type="textWrapping"/>
            </w:r>
            <w:r>
              <w:rPr>
                <w:rFonts w:ascii="宋体" w:hAnsi="宋体" w:eastAsia="宋体"/>
                <w:sz w:val="16"/>
              </w:rPr>
              <w:t>5、教育应用：将 MR 融入文物保护教育课程中，让学生通过手机或平板等设备深入了解文物故事，激发他们对历史文化的兴趣和热爱。</w:t>
            </w:r>
            <w:r>
              <w:rPr>
                <w:rFonts w:ascii="宋体" w:hAnsi="宋体" w:eastAsia="宋体"/>
                <w:sz w:val="16"/>
              </w:rPr>
              <w:br w:type="textWrapping"/>
            </w:r>
            <w:r>
              <w:rPr>
                <w:rFonts w:ascii="宋体" w:hAnsi="宋体" w:eastAsia="宋体"/>
                <w:sz w:val="16"/>
              </w:rPr>
              <w:t>6、长期展览：在博物馆等场所长期设置 MR 体验区，持续向观众展示文物背后的精彩故事，确保故事的传承具有连贯性。</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AF9F5E">
            <w:pPr>
              <w:jc w:val="both"/>
            </w:pPr>
            <w:r>
              <w:rPr>
                <w:rFonts w:ascii="宋体" w:hAnsi="宋体" w:eastAsia="宋体"/>
                <w:sz w:val="16"/>
              </w:rPr>
              <w:t>已经成功打造了AI数字人，游客将通过MR头显设备，佩戴语音讲解耳机，将通过MR沉浸式内容将以“数字化+文旅”的新形势助力伊犁将军府讲好文化故事，传播文化故事，传承文化故事，已按照合同约定支付铸牢中华民族共同体意识教育实践基地技术服务费138.82万元。</w:t>
            </w:r>
          </w:p>
        </w:tc>
      </w:tr>
      <w:tr w14:paraId="71A83C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D9B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52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55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4E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77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9A7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8C8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89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E43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D3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00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96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8B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BBD3">
            <w:pPr>
              <w:jc w:val="center"/>
            </w:pPr>
            <w:r>
              <w:rPr>
                <w:rFonts w:ascii="宋体" w:hAnsi="宋体" w:eastAsia="宋体"/>
                <w:sz w:val="16"/>
              </w:rPr>
              <w:t>偏差原因分析及改进措施</w:t>
            </w:r>
          </w:p>
        </w:tc>
      </w:tr>
      <w:tr w14:paraId="3B6C7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99B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753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A05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7FD2">
            <w:pPr>
              <w:jc w:val="center"/>
            </w:pPr>
            <w:r>
              <w:rPr>
                <w:rFonts w:ascii="宋体" w:hAnsi="宋体" w:eastAsia="宋体"/>
                <w:sz w:val="16"/>
              </w:rPr>
              <w:t>打造AI数字讲解员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59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E31D">
            <w:pPr>
              <w:jc w:val="center"/>
            </w:pPr>
            <w:r>
              <w:rPr>
                <w:rFonts w:ascii="宋体" w:hAnsi="宋体" w:eastAsia="宋体"/>
                <w:sz w:val="16"/>
              </w:rPr>
              <w:t>&gt;=1位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61C8">
            <w:pPr>
              <w:jc w:val="center"/>
            </w:pPr>
            <w:r>
              <w:rPr>
                <w:rFonts w:ascii="宋体" w:hAnsi="宋体" w:eastAsia="宋体"/>
                <w:sz w:val="16"/>
              </w:rPr>
              <w:t>1位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0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E6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E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C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D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C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B113">
            <w:pPr>
              <w:jc w:val="center"/>
            </w:pPr>
          </w:p>
        </w:tc>
      </w:tr>
      <w:tr w14:paraId="413AA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74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DB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73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5BB5">
            <w:pPr>
              <w:jc w:val="center"/>
            </w:pPr>
            <w:r>
              <w:rPr>
                <w:rFonts w:ascii="宋体" w:hAnsi="宋体" w:eastAsia="宋体"/>
                <w:sz w:val="16"/>
              </w:rPr>
              <w:t>购置MR头显设备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4C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2E5F">
            <w:pPr>
              <w:jc w:val="center"/>
            </w:pPr>
            <w:r>
              <w:rPr>
                <w:rFonts w:ascii="宋体" w:hAnsi="宋体" w:eastAsia="宋体"/>
                <w:sz w:val="16"/>
              </w:rPr>
              <w:t>&gt;=10套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2D51">
            <w:pPr>
              <w:jc w:val="center"/>
            </w:pPr>
            <w:r>
              <w:rPr>
                <w:rFonts w:ascii="宋体" w:hAnsi="宋体" w:eastAsia="宋体"/>
                <w:sz w:val="16"/>
              </w:rPr>
              <w: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9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BA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1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5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B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C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F10B">
            <w:pPr>
              <w:jc w:val="center"/>
            </w:pPr>
          </w:p>
        </w:tc>
      </w:tr>
      <w:tr w14:paraId="5D3DC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5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B0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38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02DB">
            <w:pPr>
              <w:jc w:val="center"/>
            </w:pPr>
            <w:r>
              <w:rPr>
                <w:rFonts w:ascii="宋体" w:hAnsi="宋体" w:eastAsia="宋体"/>
                <w:sz w:val="16"/>
              </w:rPr>
              <w:t>购置语音讲解耳机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FD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45B4">
            <w:pPr>
              <w:jc w:val="center"/>
            </w:pPr>
            <w:r>
              <w:rPr>
                <w:rFonts w:ascii="宋体" w:hAnsi="宋体" w:eastAsia="宋体"/>
                <w:sz w:val="16"/>
              </w:rPr>
              <w:t>&gt;=100套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8E95">
            <w:pPr>
              <w:jc w:val="center"/>
            </w:pPr>
            <w:r>
              <w:rPr>
                <w:rFonts w:ascii="宋体" w:hAnsi="宋体" w:eastAsia="宋体"/>
                <w:sz w:val="16"/>
              </w:rPr>
              <w:t>100套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6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7E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C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DE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9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A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35CC">
            <w:pPr>
              <w:jc w:val="center"/>
            </w:pPr>
          </w:p>
        </w:tc>
      </w:tr>
      <w:tr w14:paraId="7551E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BE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D54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1A6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EF44">
            <w:pPr>
              <w:jc w:val="center"/>
            </w:pPr>
            <w:r>
              <w:rPr>
                <w:rFonts w:ascii="宋体" w:hAnsi="宋体" w:eastAsia="宋体"/>
                <w:sz w:val="16"/>
              </w:rPr>
              <w:t>设备购置验收合格率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46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A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9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A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7E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9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9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E7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2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2378">
            <w:pPr>
              <w:jc w:val="center"/>
            </w:pPr>
          </w:p>
        </w:tc>
      </w:tr>
      <w:tr w14:paraId="17136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6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AC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4F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B380">
            <w:pPr>
              <w:jc w:val="center"/>
            </w:pPr>
            <w:r>
              <w:rPr>
                <w:rFonts w:ascii="宋体" w:hAnsi="宋体" w:eastAsia="宋体"/>
                <w:sz w:val="16"/>
              </w:rPr>
              <w:t>设备购置质量合格率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8F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E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F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8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A5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D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D7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FA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E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CB1A">
            <w:pPr>
              <w:jc w:val="center"/>
            </w:pPr>
          </w:p>
        </w:tc>
      </w:tr>
      <w:tr w14:paraId="009E7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B2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6E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6E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22A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2B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6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C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D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1A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A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C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F5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43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A424">
            <w:pPr>
              <w:jc w:val="center"/>
            </w:pPr>
          </w:p>
        </w:tc>
      </w:tr>
      <w:tr w14:paraId="00F44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B9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FA2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9BC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42F8">
            <w:pPr>
              <w:jc w:val="center"/>
            </w:pPr>
            <w:r>
              <w:rPr>
                <w:rFonts w:ascii="宋体" w:hAnsi="宋体" w:eastAsia="宋体"/>
                <w:sz w:val="16"/>
              </w:rPr>
              <w:t>设备购置完成时间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A6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6EED">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651A">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E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10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9E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39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5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7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B2A5">
            <w:pPr>
              <w:jc w:val="center"/>
            </w:pPr>
          </w:p>
        </w:tc>
      </w:tr>
      <w:tr w14:paraId="27DF8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03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B8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55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AEF7">
            <w:pPr>
              <w:jc w:val="center"/>
            </w:pPr>
            <w:r>
              <w:rPr>
                <w:rFonts w:ascii="宋体" w:hAnsi="宋体" w:eastAsia="宋体"/>
                <w:sz w:val="16"/>
              </w:rPr>
              <w:t>头显设备续航时间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96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93CC">
            <w:pPr>
              <w:jc w:val="center"/>
            </w:pPr>
            <w:r>
              <w:rPr>
                <w:rFonts w:ascii="宋体" w:hAnsi="宋体" w:eastAsia="宋体"/>
                <w:sz w:val="16"/>
              </w:rPr>
              <w:t>&gt;=2小时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EA30">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2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20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A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0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5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D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50DF">
            <w:pPr>
              <w:jc w:val="center"/>
            </w:pPr>
          </w:p>
        </w:tc>
      </w:tr>
      <w:tr w14:paraId="34A86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D71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F2F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BB6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8774">
            <w:pPr>
              <w:jc w:val="center"/>
            </w:pPr>
            <w:r>
              <w:rPr>
                <w:rFonts w:ascii="宋体" w:hAnsi="宋体" w:eastAsia="宋体"/>
                <w:sz w:val="16"/>
              </w:rPr>
              <w:t>虚拟IP数字讲解员费用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81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D3CF">
            <w:pPr>
              <w:jc w:val="center"/>
            </w:pPr>
            <w:r>
              <w:rPr>
                <w:rFonts w:ascii="宋体" w:hAnsi="宋体" w:eastAsia="宋体"/>
                <w:sz w:val="16"/>
              </w:rPr>
              <w:t>&lt;=20万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EDE1">
            <w:pPr>
              <w:jc w:val="center"/>
            </w:pPr>
            <w:r>
              <w:rPr>
                <w:rFonts w:ascii="宋体" w:hAnsi="宋体" w:eastAsia="宋体"/>
                <w:sz w:val="16"/>
              </w:rPr>
              <w:t>10万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E351">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2B3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D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0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8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4F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67FE">
            <w:pPr>
              <w:jc w:val="center"/>
            </w:pPr>
            <w:r>
              <w:rPr>
                <w:rFonts w:ascii="宋体" w:hAnsi="宋体" w:eastAsia="宋体"/>
                <w:sz w:val="16"/>
              </w:rPr>
              <w:t>已按合同进度支付，剩余资金需全部完工验收后支付。</w:t>
            </w:r>
          </w:p>
        </w:tc>
      </w:tr>
      <w:tr w14:paraId="1C4EE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DD8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C6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ED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1BCC">
            <w:pPr>
              <w:jc w:val="center"/>
            </w:pPr>
            <w:r>
              <w:rPr>
                <w:rFonts w:ascii="宋体" w:hAnsi="宋体" w:eastAsia="宋体"/>
                <w:sz w:val="16"/>
              </w:rPr>
              <w:t>AI虚拟数字人互动对话系统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9E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CD3A">
            <w:pPr>
              <w:jc w:val="center"/>
            </w:pPr>
            <w:r>
              <w:rPr>
                <w:rFonts w:ascii="宋体" w:hAnsi="宋体" w:eastAsia="宋体"/>
                <w:sz w:val="16"/>
              </w:rPr>
              <w:t>&lt;=15万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2FCE">
            <w:pPr>
              <w:jc w:val="center"/>
            </w:pPr>
            <w:r>
              <w:rPr>
                <w:rFonts w:ascii="宋体" w:hAnsi="宋体" w:eastAsia="宋体"/>
                <w:sz w:val="16"/>
              </w:rPr>
              <w:t>13.41万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A817">
            <w:pPr>
              <w:jc w:val="center"/>
            </w:pPr>
            <w:r>
              <w:rPr>
                <w:rFonts w:ascii="宋体" w:hAnsi="宋体" w:eastAsia="宋体"/>
                <w:sz w:val="16"/>
              </w:rPr>
              <w:t>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72F6">
            <w:pPr>
              <w:jc w:val="center"/>
            </w:pPr>
            <w:r>
              <w:rPr>
                <w:rFonts w:ascii="宋体" w:hAnsi="宋体" w:eastAsia="宋体"/>
                <w:sz w:val="16"/>
              </w:rPr>
              <w:t>4.47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0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E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4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D2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4AB4">
            <w:pPr>
              <w:jc w:val="center"/>
            </w:pPr>
            <w:r>
              <w:rPr>
                <w:rFonts w:ascii="宋体" w:hAnsi="宋体" w:eastAsia="宋体"/>
                <w:sz w:val="16"/>
              </w:rPr>
              <w:t>已按合同进度支付，剩余资金需全部完工验收后支付。</w:t>
            </w:r>
          </w:p>
        </w:tc>
      </w:tr>
      <w:tr w14:paraId="078F7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2A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54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EC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7E08">
            <w:pPr>
              <w:jc w:val="center"/>
            </w:pPr>
            <w:r>
              <w:rPr>
                <w:rFonts w:ascii="宋体" w:hAnsi="宋体" w:eastAsia="宋体"/>
                <w:sz w:val="16"/>
              </w:rPr>
              <w:t>MR大场景数字内容及智能讲解耳机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A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D626">
            <w:pPr>
              <w:jc w:val="center"/>
            </w:pPr>
            <w:r>
              <w:rPr>
                <w:rFonts w:ascii="宋体" w:hAnsi="宋体" w:eastAsia="宋体"/>
                <w:sz w:val="16"/>
              </w:rPr>
              <w:t>&lt;=165万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68E0">
            <w:pPr>
              <w:jc w:val="center"/>
            </w:pPr>
            <w:r>
              <w:rPr>
                <w:rFonts w:ascii="宋体" w:hAnsi="宋体" w:eastAsia="宋体"/>
                <w:sz w:val="16"/>
              </w:rPr>
              <w:t>165万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8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2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C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4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A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FF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1B18">
            <w:pPr>
              <w:jc w:val="center"/>
            </w:pPr>
            <w:r>
              <w:rPr>
                <w:rFonts w:ascii="宋体" w:hAnsi="宋体" w:eastAsia="宋体"/>
                <w:sz w:val="16"/>
              </w:rPr>
              <w:t>已按合同进度支付，剩余资金需全部完工验收后支付。</w:t>
            </w:r>
          </w:p>
        </w:tc>
      </w:tr>
      <w:tr w14:paraId="7BD82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F38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18FE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A13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F04F">
            <w:pPr>
              <w:jc w:val="center"/>
            </w:pPr>
            <w:r>
              <w:rPr>
                <w:rFonts w:ascii="宋体" w:hAnsi="宋体" w:eastAsia="宋体"/>
                <w:sz w:val="16"/>
              </w:rPr>
              <w:t>设备使用年限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94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4164">
            <w:pPr>
              <w:jc w:val="center"/>
            </w:pPr>
            <w:r>
              <w:rPr>
                <w:rFonts w:ascii="宋体" w:hAnsi="宋体" w:eastAsia="宋体"/>
                <w:sz w:val="16"/>
              </w:rPr>
              <w:t>&gt;=3年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C7CA">
            <w:pPr>
              <w:jc w:val="center"/>
            </w:pPr>
            <w:r>
              <w:rPr>
                <w:rFonts w:ascii="宋体" w:hAnsi="宋体" w:eastAsia="宋体"/>
                <w:sz w:val="16"/>
              </w:rPr>
              <w: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4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82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E9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F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5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9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4291">
            <w:pPr>
              <w:jc w:val="center"/>
            </w:pPr>
          </w:p>
        </w:tc>
      </w:tr>
      <w:tr w14:paraId="0151F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C0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E6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EF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458A">
            <w:pPr>
              <w:jc w:val="center"/>
            </w:pPr>
            <w:r>
              <w:rPr>
                <w:rFonts w:ascii="宋体" w:hAnsi="宋体" w:eastAsia="宋体"/>
                <w:sz w:val="16"/>
              </w:rPr>
              <w:t>提升霍城县社会精神文明程度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D0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932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1B0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0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3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B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B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36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70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5328">
            <w:pPr>
              <w:jc w:val="center"/>
            </w:pPr>
          </w:p>
        </w:tc>
      </w:tr>
      <w:tr w14:paraId="25901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9A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B3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06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C679">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C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16F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DA5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7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A1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41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B0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22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A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FC37">
            <w:pPr>
              <w:jc w:val="center"/>
            </w:pPr>
          </w:p>
        </w:tc>
      </w:tr>
      <w:tr w14:paraId="6F33B03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9704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0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7BB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ADF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E7A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0D70">
            <w:pPr>
              <w:jc w:val="center"/>
            </w:pPr>
            <w:r>
              <w:rPr>
                <w:rFonts w:ascii="宋体" w:hAnsi="宋体" w:eastAsia="宋体"/>
                <w:sz w:val="16"/>
              </w:rPr>
              <w:t>95.52分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4FC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231B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322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6D6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2DBB3"/>
        </w:tc>
      </w:tr>
    </w:tbl>
    <w:p w14:paraId="3899BBB5">
      <w:r>
        <w:br w:type="page"/>
      </w:r>
    </w:p>
    <w:p w14:paraId="0A8C2206">
      <w:pPr>
        <w:spacing w:line="640" w:lineRule="exact"/>
        <w:ind w:firstLine="640"/>
        <w:jc w:val="both"/>
        <w:outlineLvl w:val="2"/>
      </w:pPr>
      <w:r>
        <w:rPr>
          <w:rFonts w:ascii="黑体" w:hAnsi="黑体" w:eastAsia="黑体"/>
          <w:sz w:val="32"/>
        </w:rPr>
        <w:t>十二、其他需说明的事项</w:t>
      </w:r>
    </w:p>
    <w:p w14:paraId="7A74F215">
      <w:pPr>
        <w:spacing w:line="580" w:lineRule="exact"/>
        <w:ind w:firstLine="640"/>
        <w:jc w:val="both"/>
      </w:pPr>
      <w:r>
        <w:rPr>
          <w:rFonts w:ascii="仿宋_GB2312" w:hAnsi="仿宋_GB2312" w:eastAsia="仿宋_GB2312"/>
          <w:b w:val="0"/>
          <w:sz w:val="32"/>
        </w:rPr>
        <w:t>本单位无其他需说明的事项。</w:t>
      </w:r>
    </w:p>
    <w:p w14:paraId="3720DF32">
      <w:r>
        <w:br w:type="page"/>
      </w:r>
    </w:p>
    <w:p w14:paraId="25A8BC81">
      <w:pPr>
        <w:spacing w:line="240" w:lineRule="auto"/>
        <w:jc w:val="center"/>
        <w:outlineLvl w:val="1"/>
      </w:pPr>
      <w:r>
        <w:rPr>
          <w:rFonts w:ascii="黑体" w:hAnsi="黑体" w:eastAsia="黑体"/>
          <w:sz w:val="32"/>
        </w:rPr>
        <w:t>第三部分 专业名词解释</w:t>
      </w:r>
    </w:p>
    <w:p w14:paraId="6AD3054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60C3E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06026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317469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00F69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91F24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0239A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20996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6DA36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AA5C3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8D4FB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00BBB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7A867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7A51B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771242A">
      <w:r>
        <w:br w:type="page"/>
      </w:r>
    </w:p>
    <w:p w14:paraId="1779B1D1">
      <w:pPr>
        <w:spacing w:line="240" w:lineRule="auto"/>
        <w:jc w:val="center"/>
        <w:outlineLvl w:val="1"/>
      </w:pPr>
      <w:r>
        <w:rPr>
          <w:rFonts w:ascii="黑体" w:hAnsi="黑体" w:eastAsia="黑体"/>
          <w:sz w:val="32"/>
        </w:rPr>
        <w:t>第四部分 部门决算报表（见附表）</w:t>
      </w:r>
    </w:p>
    <w:p w14:paraId="68639E93">
      <w:pPr>
        <w:spacing w:line="240" w:lineRule="auto"/>
        <w:ind w:firstLine="640"/>
        <w:jc w:val="both"/>
      </w:pPr>
      <w:r>
        <w:rPr>
          <w:rFonts w:ascii="仿宋_GB2312" w:hAnsi="仿宋_GB2312" w:eastAsia="仿宋_GB2312"/>
          <w:b w:val="0"/>
          <w:sz w:val="32"/>
        </w:rPr>
        <w:t>一、《收入支出决算总表》</w:t>
      </w:r>
    </w:p>
    <w:p w14:paraId="6D180299">
      <w:pPr>
        <w:spacing w:line="240" w:lineRule="auto"/>
        <w:ind w:firstLine="640"/>
        <w:jc w:val="both"/>
      </w:pPr>
      <w:r>
        <w:rPr>
          <w:rFonts w:ascii="仿宋_GB2312" w:hAnsi="仿宋_GB2312" w:eastAsia="仿宋_GB2312"/>
          <w:b w:val="0"/>
          <w:sz w:val="32"/>
        </w:rPr>
        <w:t>二、《收入决算表》</w:t>
      </w:r>
    </w:p>
    <w:p w14:paraId="15C3F417">
      <w:pPr>
        <w:spacing w:line="240" w:lineRule="auto"/>
        <w:ind w:firstLine="640"/>
        <w:jc w:val="both"/>
      </w:pPr>
      <w:r>
        <w:rPr>
          <w:rFonts w:ascii="仿宋_GB2312" w:hAnsi="仿宋_GB2312" w:eastAsia="仿宋_GB2312"/>
          <w:b w:val="0"/>
          <w:sz w:val="32"/>
        </w:rPr>
        <w:t>三、《支出决算表》</w:t>
      </w:r>
    </w:p>
    <w:p w14:paraId="031128FB">
      <w:pPr>
        <w:spacing w:line="240" w:lineRule="auto"/>
        <w:ind w:firstLine="640"/>
        <w:jc w:val="both"/>
      </w:pPr>
      <w:r>
        <w:rPr>
          <w:rFonts w:ascii="仿宋_GB2312" w:hAnsi="仿宋_GB2312" w:eastAsia="仿宋_GB2312"/>
          <w:b w:val="0"/>
          <w:sz w:val="32"/>
        </w:rPr>
        <w:t>四、《财政拨款收入支出决算总表》</w:t>
      </w:r>
    </w:p>
    <w:p w14:paraId="362E1B5F">
      <w:pPr>
        <w:spacing w:line="240" w:lineRule="auto"/>
        <w:ind w:firstLine="640"/>
        <w:jc w:val="both"/>
      </w:pPr>
      <w:r>
        <w:rPr>
          <w:rFonts w:ascii="仿宋_GB2312" w:hAnsi="仿宋_GB2312" w:eastAsia="仿宋_GB2312"/>
          <w:b w:val="0"/>
          <w:sz w:val="32"/>
        </w:rPr>
        <w:t>五、《一般公共预算财政拨款支出决算表》</w:t>
      </w:r>
    </w:p>
    <w:p w14:paraId="057279A8">
      <w:pPr>
        <w:spacing w:line="240" w:lineRule="auto"/>
        <w:ind w:firstLine="640"/>
        <w:jc w:val="both"/>
      </w:pPr>
      <w:r>
        <w:rPr>
          <w:rFonts w:ascii="仿宋_GB2312" w:hAnsi="仿宋_GB2312" w:eastAsia="仿宋_GB2312"/>
          <w:b w:val="0"/>
          <w:sz w:val="32"/>
        </w:rPr>
        <w:t>六、《一般公共预算财政拨款基本支出决算表》</w:t>
      </w:r>
    </w:p>
    <w:p w14:paraId="020FF2D3">
      <w:pPr>
        <w:spacing w:line="240" w:lineRule="auto"/>
        <w:ind w:firstLine="640"/>
        <w:jc w:val="both"/>
      </w:pPr>
      <w:r>
        <w:rPr>
          <w:rFonts w:ascii="仿宋_GB2312" w:hAnsi="仿宋_GB2312" w:eastAsia="仿宋_GB2312"/>
          <w:b w:val="0"/>
          <w:sz w:val="32"/>
        </w:rPr>
        <w:t>七、《政府性基金预算财政拨款收入支出决算表》</w:t>
      </w:r>
    </w:p>
    <w:p w14:paraId="0CEB12FF">
      <w:pPr>
        <w:spacing w:line="240" w:lineRule="auto"/>
        <w:ind w:firstLine="640"/>
        <w:jc w:val="both"/>
      </w:pPr>
      <w:r>
        <w:rPr>
          <w:rFonts w:ascii="仿宋_GB2312" w:hAnsi="仿宋_GB2312" w:eastAsia="仿宋_GB2312"/>
          <w:b w:val="0"/>
          <w:sz w:val="32"/>
        </w:rPr>
        <w:t>八、《国有资本经营预算财政拨款收入支出决算表》</w:t>
      </w:r>
    </w:p>
    <w:p w14:paraId="6CA22950">
      <w:pPr>
        <w:spacing w:line="240" w:lineRule="auto"/>
        <w:ind w:firstLine="640"/>
        <w:jc w:val="both"/>
      </w:pPr>
      <w:r>
        <w:rPr>
          <w:rFonts w:ascii="仿宋_GB2312" w:hAnsi="仿宋_GB2312" w:eastAsia="仿宋_GB2312"/>
          <w:b w:val="0"/>
          <w:sz w:val="32"/>
        </w:rPr>
        <w:t>九、《财政拨款“三公”经费支出决算表》</w:t>
      </w:r>
    </w:p>
    <w:p w14:paraId="19EBDC52">
      <w:pPr>
        <w:spacing w:line="240" w:lineRule="auto"/>
        <w:ind w:firstLine="640"/>
        <w:jc w:val="both"/>
      </w:pPr>
    </w:p>
    <w:p w14:paraId="08481901">
      <w:pPr>
        <w:spacing w:line="240" w:lineRule="auto"/>
        <w:ind w:firstLine="640"/>
        <w:jc w:val="both"/>
      </w:pPr>
    </w:p>
    <w:p w14:paraId="44CC8210">
      <w:pPr>
        <w:spacing w:line="240" w:lineRule="auto"/>
        <w:ind w:firstLine="640"/>
        <w:jc w:val="both"/>
      </w:pPr>
    </w:p>
    <w:p w14:paraId="6CCE26CC">
      <w:pPr>
        <w:spacing w:line="240" w:lineRule="auto"/>
        <w:ind w:firstLine="640"/>
        <w:jc w:val="both"/>
      </w:pPr>
    </w:p>
    <w:p w14:paraId="3D714E5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WPSEMBED2">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0E3093"/>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484579"/>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3B24DD"/>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6434</Words>
  <Characters>7326</Characters>
  <Lines>0</Lines>
  <Paragraphs>0</Paragraphs>
  <TotalTime>0</TotalTime>
  <ScaleCrop>false</ScaleCrop>
  <LinksUpToDate>false</LinksUpToDate>
  <CharactersWithSpaces>7334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2025-12-25T04:15:36Z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