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中共霍城县委员会社会工作部2024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204C166">
      <w:r>
        <w:br w:type="page"/>
      </w:r>
    </w:p>
    <w:p w14:paraId="192DED59">
      <w:pPr>
        <w:spacing w:line="640" w:lineRule="exact"/>
        <w:jc w:val="center"/>
        <w:outlineLvl w:val="1"/>
      </w:pPr>
      <w:r>
        <w:rPr>
          <w:rFonts w:ascii="黑体" w:hAnsi="黑体" w:eastAsia="黑体"/>
          <w:sz w:val="32"/>
        </w:rPr>
        <w:t>第一部分 单位概况</w:t>
      </w:r>
    </w:p>
    <w:p w14:paraId="5A8FCF30">
      <w:pPr>
        <w:spacing w:line="640" w:lineRule="exact"/>
        <w:ind w:firstLine="640"/>
        <w:jc w:val="both"/>
        <w:outlineLvl w:val="2"/>
      </w:pPr>
      <w:r>
        <w:rPr>
          <w:rFonts w:ascii="黑体" w:hAnsi="黑体" w:eastAsia="黑体"/>
          <w:sz w:val="32"/>
        </w:rPr>
        <w:t>一、主要职能</w:t>
      </w:r>
    </w:p>
    <w:p w14:paraId="43972AF7">
      <w:pPr>
        <w:spacing w:line="580" w:lineRule="exact"/>
        <w:ind w:firstLine="640"/>
        <w:jc w:val="both"/>
      </w:pPr>
      <w:r>
        <w:rPr>
          <w:rFonts w:ascii="仿宋_GB2312" w:hAnsi="仿宋_GB2312" w:eastAsia="仿宋_GB2312"/>
          <w:sz w:val="32"/>
        </w:rPr>
        <w:t>1是统筹指导信访与建议征集‌：负责人民信访工作指导及人民建议征集协调‌。</w:t>
      </w:r>
    </w:p>
    <w:p w14:paraId="69CA5605">
      <w:pPr>
        <w:spacing w:line="580" w:lineRule="exact"/>
        <w:ind w:firstLine="640"/>
        <w:jc w:val="both"/>
      </w:pPr>
      <w:r>
        <w:rPr>
          <w:rFonts w:ascii="仿宋_GB2312" w:hAnsi="仿宋_GB2312" w:eastAsia="仿宋_GB2312"/>
          <w:sz w:val="32"/>
        </w:rPr>
        <w:t>2是党建引领基层治理‌：推进基层治理和政权建设中的党建工作，健全相关工作机制‌。</w:t>
      </w:r>
    </w:p>
    <w:p w14:paraId="48A7CDA0">
      <w:pPr>
        <w:spacing w:line="580" w:lineRule="exact"/>
        <w:ind w:firstLine="640"/>
        <w:jc w:val="both"/>
      </w:pPr>
      <w:r>
        <w:rPr>
          <w:rFonts w:ascii="仿宋_GB2312" w:hAnsi="仿宋_GB2312" w:eastAsia="仿宋_GB2312"/>
          <w:sz w:val="32"/>
        </w:rPr>
        <w:t>3是行业协会商会管理‌：统一领导行业协会商会党建工作，推动其改革与转型‌。</w:t>
      </w:r>
    </w:p>
    <w:p w14:paraId="408A447C">
      <w:pPr>
        <w:spacing w:line="580" w:lineRule="exact"/>
        <w:ind w:firstLine="640"/>
        <w:jc w:val="both"/>
      </w:pPr>
      <w:r>
        <w:rPr>
          <w:rFonts w:ascii="仿宋_GB2312" w:hAnsi="仿宋_GB2312" w:eastAsia="仿宋_GB2312"/>
          <w:sz w:val="32"/>
        </w:rPr>
        <w:t>‌4是新兴领域党建‌：指导混合所有制企业、非公企业及“三新”组织（新经济组织、新社会组织、新就业群体）的党建工作‌。</w:t>
      </w:r>
    </w:p>
    <w:p w14:paraId="4A2E1F3F">
      <w:pPr>
        <w:spacing w:line="580" w:lineRule="exact"/>
        <w:ind w:firstLine="640"/>
        <w:jc w:val="both"/>
      </w:pPr>
      <w:r>
        <w:rPr>
          <w:rFonts w:ascii="仿宋_GB2312" w:hAnsi="仿宋_GB2312" w:eastAsia="仿宋_GB2312"/>
          <w:sz w:val="32"/>
        </w:rPr>
        <w:t>5是人才与志愿服务‌：指导社会工作人才队伍建设，统筹志愿服务工作‌。</w:t>
      </w:r>
    </w:p>
    <w:p w14:paraId="5D3B851C">
      <w:pPr>
        <w:spacing w:line="640" w:lineRule="exact"/>
        <w:ind w:firstLine="640"/>
        <w:jc w:val="both"/>
        <w:outlineLvl w:val="2"/>
      </w:pPr>
      <w:r>
        <w:rPr>
          <w:rFonts w:ascii="黑体" w:hAnsi="黑体" w:eastAsia="黑体"/>
          <w:sz w:val="32"/>
        </w:rPr>
        <w:t>二、机构设置及人员情况</w:t>
      </w:r>
    </w:p>
    <w:p w14:paraId="68CF3AFE">
      <w:pPr>
        <w:spacing w:line="580" w:lineRule="exact"/>
        <w:ind w:firstLine="640"/>
        <w:jc w:val="both"/>
      </w:pPr>
      <w:r>
        <w:rPr>
          <w:rFonts w:ascii="仿宋_GB2312" w:hAnsi="仿宋_GB2312" w:eastAsia="仿宋_GB2312"/>
          <w:sz w:val="32"/>
        </w:rPr>
        <w:t>中共霍城县委员会社会工作部2024年度，实有人数7人，其中：在职人员7人，增加7人；离休人员0人，增加0人；退休人员0人,增加0人。</w:t>
      </w:r>
    </w:p>
    <w:p w14:paraId="43FE4A51">
      <w:pPr>
        <w:spacing w:line="580" w:lineRule="exact"/>
        <w:ind w:firstLine="640"/>
        <w:jc w:val="both"/>
      </w:pPr>
      <w:r>
        <w:rPr>
          <w:rFonts w:ascii="仿宋_GB2312" w:hAnsi="仿宋_GB2312" w:eastAsia="仿宋_GB2312"/>
          <w:sz w:val="32"/>
        </w:rPr>
        <w:t>中共霍城县委员会社会工作部无下属预算单位，下设3个科室，分别是：办公室、基层治理科、新兴领域党建科。</w:t>
      </w:r>
    </w:p>
    <w:p w14:paraId="0DB846C5">
      <w:r>
        <w:br w:type="page"/>
      </w:r>
    </w:p>
    <w:p w14:paraId="1E32ED79">
      <w:pPr>
        <w:spacing w:line="240" w:lineRule="auto"/>
        <w:jc w:val="center"/>
        <w:outlineLvl w:val="1"/>
      </w:pPr>
      <w:r>
        <w:rPr>
          <w:rFonts w:ascii="黑体" w:hAnsi="黑体" w:eastAsia="黑体"/>
          <w:sz w:val="32"/>
        </w:rPr>
        <w:t>第二部分 部门决算情况说明</w:t>
      </w:r>
    </w:p>
    <w:p w14:paraId="075037AD">
      <w:pPr>
        <w:spacing w:line="640" w:lineRule="exact"/>
        <w:ind w:firstLine="640"/>
        <w:jc w:val="both"/>
        <w:outlineLvl w:val="2"/>
      </w:pPr>
      <w:r>
        <w:rPr>
          <w:rFonts w:ascii="黑体" w:hAnsi="黑体" w:eastAsia="黑体"/>
          <w:sz w:val="32"/>
        </w:rPr>
        <w:t>一、收入支出决算总体情况说明</w:t>
      </w:r>
    </w:p>
    <w:p w14:paraId="4C076C7D">
      <w:pPr>
        <w:spacing w:line="580" w:lineRule="exact"/>
        <w:ind w:firstLine="640"/>
        <w:jc w:val="both"/>
      </w:pPr>
      <w:r>
        <w:rPr>
          <w:rFonts w:ascii="仿宋_GB2312" w:hAnsi="仿宋_GB2312" w:eastAsia="仿宋_GB2312"/>
          <w:b/>
          <w:sz w:val="32"/>
        </w:rPr>
        <w:t>2024年度收入总计28.31万元，</w:t>
      </w:r>
      <w:r>
        <w:rPr>
          <w:rFonts w:ascii="仿宋_GB2312" w:hAnsi="仿宋_GB2312" w:eastAsia="仿宋_GB2312"/>
          <w:b w:val="0"/>
          <w:sz w:val="32"/>
        </w:rPr>
        <w:t>其中：本年收入合计28.31万元，使用非财政拨款结余（含专用结余）0.00万元，年初结转和结余0.00万元。</w:t>
      </w:r>
    </w:p>
    <w:p w14:paraId="6EA5FFA8">
      <w:pPr>
        <w:spacing w:line="580" w:lineRule="exact"/>
        <w:ind w:firstLine="640"/>
        <w:jc w:val="both"/>
      </w:pPr>
      <w:r>
        <w:rPr>
          <w:rFonts w:ascii="仿宋_GB2312" w:hAnsi="仿宋_GB2312" w:eastAsia="仿宋_GB2312"/>
          <w:b/>
          <w:sz w:val="32"/>
        </w:rPr>
        <w:t>2024年度支出总计28.31万元，</w:t>
      </w:r>
      <w:r>
        <w:rPr>
          <w:rFonts w:ascii="仿宋_GB2312" w:hAnsi="仿宋_GB2312" w:eastAsia="仿宋_GB2312"/>
          <w:b w:val="0"/>
          <w:sz w:val="32"/>
        </w:rPr>
        <w:t>其中：本年支出合计28.31万元，结余分配0.00万元，年末结转和结余0.00万元。</w:t>
      </w:r>
    </w:p>
    <w:p w14:paraId="6DE2BED7">
      <w:pPr>
        <w:spacing w:line="580" w:lineRule="exact"/>
        <w:ind w:firstLine="640"/>
        <w:jc w:val="both"/>
      </w:pPr>
      <w:r>
        <w:rPr>
          <w:rFonts w:ascii="仿宋_GB2312" w:hAnsi="仿宋_GB2312" w:eastAsia="仿宋_GB2312"/>
          <w:b w:val="0"/>
          <w:sz w:val="32"/>
        </w:rPr>
        <w:t>收入支出总体与上年相比，增加28.31万元，增长100.00%，主要原因是：本单位为2024年10月新成立单位，无上年对比</w:t>
      </w:r>
      <w:r>
        <w:rPr>
          <w:rFonts w:hint="eastAsia" w:ascii="仿宋_GB2312" w:hAnsi="仿宋_GB2312" w:eastAsia="仿宋_GB2312"/>
          <w:b w:val="0"/>
          <w:sz w:val="32"/>
          <w:lang w:val="en-US" w:eastAsia="zh-CN"/>
        </w:rPr>
        <w:t>数据</w:t>
      </w:r>
      <w:r>
        <w:rPr>
          <w:rFonts w:ascii="仿宋_GB2312" w:hAnsi="仿宋_GB2312" w:eastAsia="仿宋_GB2312"/>
          <w:b w:val="0"/>
          <w:sz w:val="32"/>
        </w:rPr>
        <w:t>。</w:t>
      </w:r>
    </w:p>
    <w:p w14:paraId="3F68365F">
      <w:pPr>
        <w:spacing w:line="640" w:lineRule="exact"/>
        <w:ind w:firstLine="640"/>
        <w:jc w:val="both"/>
        <w:outlineLvl w:val="2"/>
      </w:pPr>
      <w:r>
        <w:rPr>
          <w:rFonts w:ascii="黑体" w:hAnsi="黑体" w:eastAsia="黑体"/>
          <w:sz w:val="32"/>
        </w:rPr>
        <w:t>二、收入决算情况说明</w:t>
      </w:r>
    </w:p>
    <w:p w14:paraId="39F76C7A">
      <w:pPr>
        <w:spacing w:line="580" w:lineRule="exact"/>
        <w:ind w:firstLine="640"/>
        <w:jc w:val="both"/>
      </w:pPr>
      <w:r>
        <w:rPr>
          <w:rFonts w:ascii="仿宋_GB2312" w:hAnsi="仿宋_GB2312" w:eastAsia="仿宋_GB2312"/>
          <w:b/>
          <w:sz w:val="32"/>
        </w:rPr>
        <w:t>本年收入28.31万元，</w:t>
      </w:r>
      <w:r>
        <w:rPr>
          <w:rFonts w:ascii="仿宋_GB2312" w:hAnsi="仿宋_GB2312" w:eastAsia="仿宋_GB2312"/>
          <w:b w:val="0"/>
          <w:sz w:val="32"/>
        </w:rPr>
        <w:t>其中：财政拨款收入28.31万元，占100.00%；上级补助收入0.00万元，占0.00%；事业收入0.00万元，占0.00%；经营收入0.00万元，占0.00%；附属单位上缴收入0.00万元，占0.00%；其他收入0.00万元，占0.00%。</w:t>
      </w:r>
    </w:p>
    <w:p w14:paraId="2241367C">
      <w:pPr>
        <w:spacing w:line="640" w:lineRule="exact"/>
        <w:ind w:firstLine="640"/>
        <w:jc w:val="both"/>
        <w:outlineLvl w:val="2"/>
      </w:pPr>
      <w:r>
        <w:rPr>
          <w:rFonts w:ascii="黑体" w:hAnsi="黑体" w:eastAsia="黑体"/>
          <w:sz w:val="32"/>
        </w:rPr>
        <w:t>三、支出决算情况说明</w:t>
      </w:r>
    </w:p>
    <w:p w14:paraId="1BE15D08">
      <w:pPr>
        <w:spacing w:line="580" w:lineRule="exact"/>
        <w:ind w:firstLine="640"/>
        <w:jc w:val="both"/>
      </w:pPr>
      <w:r>
        <w:rPr>
          <w:rFonts w:ascii="仿宋_GB2312" w:hAnsi="仿宋_GB2312" w:eastAsia="仿宋_GB2312"/>
          <w:b/>
          <w:sz w:val="32"/>
        </w:rPr>
        <w:t>本年支出28.31万元，</w:t>
      </w:r>
      <w:r>
        <w:rPr>
          <w:rFonts w:ascii="仿宋_GB2312" w:hAnsi="仿宋_GB2312" w:eastAsia="仿宋_GB2312"/>
          <w:b w:val="0"/>
          <w:sz w:val="32"/>
        </w:rPr>
        <w:t>其中：基本支出28.31万元，占100.00%；项目支出0.00万元，占0.00%；上缴上级支出0.00万元，占0.00%；经营支出0.00万元，占0.00%；对附属单位补助支出0.00万元，占0.00%。</w:t>
      </w:r>
    </w:p>
    <w:p w14:paraId="312CE179">
      <w:pPr>
        <w:spacing w:line="640" w:lineRule="exact"/>
        <w:ind w:firstLine="640"/>
        <w:jc w:val="both"/>
        <w:outlineLvl w:val="2"/>
      </w:pPr>
      <w:r>
        <w:rPr>
          <w:rFonts w:ascii="黑体" w:hAnsi="黑体" w:eastAsia="黑体"/>
          <w:sz w:val="32"/>
        </w:rPr>
        <w:t>四、财政拨款收入支出决算总体情况说明</w:t>
      </w:r>
    </w:p>
    <w:p w14:paraId="33D0F50E">
      <w:pPr>
        <w:spacing w:line="580" w:lineRule="exact"/>
        <w:ind w:firstLine="640"/>
        <w:jc w:val="both"/>
      </w:pPr>
      <w:r>
        <w:rPr>
          <w:rFonts w:ascii="仿宋_GB2312" w:hAnsi="仿宋_GB2312" w:eastAsia="仿宋_GB2312"/>
          <w:b/>
          <w:sz w:val="32"/>
        </w:rPr>
        <w:t>2024年度财政拨款收入总计28.31万元，</w:t>
      </w:r>
      <w:r>
        <w:rPr>
          <w:rFonts w:ascii="仿宋_GB2312" w:hAnsi="仿宋_GB2312" w:eastAsia="仿宋_GB2312"/>
          <w:b w:val="0"/>
          <w:sz w:val="32"/>
        </w:rPr>
        <w:t>其中：年初财政拨款结转和结余0.00万元，本年财政拨款收入28.31万元。</w:t>
      </w:r>
      <w:r>
        <w:rPr>
          <w:rFonts w:ascii="仿宋_GB2312" w:hAnsi="仿宋_GB2312" w:eastAsia="仿宋_GB2312"/>
          <w:b/>
          <w:sz w:val="32"/>
        </w:rPr>
        <w:t>财政拨款支出总计28.31万元，</w:t>
      </w:r>
      <w:r>
        <w:rPr>
          <w:rFonts w:ascii="仿宋_GB2312" w:hAnsi="仿宋_GB2312" w:eastAsia="仿宋_GB2312"/>
          <w:b w:val="0"/>
          <w:sz w:val="32"/>
        </w:rPr>
        <w:t>其中：年末财政拨款结转和结余0.00万元，本年财政拨款支出28.31万元。</w:t>
      </w:r>
    </w:p>
    <w:p w14:paraId="793DF1F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增加28.31万元，增长100.00%，主要原因是：本单位为2024年10月新成立单位，无上年对比</w:t>
      </w:r>
      <w:r>
        <w:rPr>
          <w:rFonts w:hint="eastAsia" w:ascii="仿宋_GB2312" w:hAnsi="仿宋_GB2312" w:eastAsia="仿宋_GB2312"/>
          <w:b w:val="0"/>
          <w:sz w:val="32"/>
          <w:lang w:val="en-US" w:eastAsia="zh-CN"/>
        </w:rPr>
        <w:t>数据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年初预算数0.00万元，决算数28.31万元，预决算差异率100.00%，主要原因是：本单位为2024年10月新成立单位，年中追加人员经费，导致预决算存在差异。</w:t>
      </w:r>
    </w:p>
    <w:p w14:paraId="09ADC3F4">
      <w:pPr>
        <w:spacing w:line="640" w:lineRule="exact"/>
        <w:ind w:firstLine="640"/>
        <w:jc w:val="both"/>
        <w:outlineLvl w:val="2"/>
      </w:pPr>
      <w:r>
        <w:rPr>
          <w:rFonts w:ascii="黑体" w:hAnsi="黑体" w:eastAsia="黑体"/>
          <w:sz w:val="32"/>
        </w:rPr>
        <w:t>五、一般公共预算财政拨款支出决算情况说明</w:t>
      </w:r>
    </w:p>
    <w:p w14:paraId="010C36B4">
      <w:pPr>
        <w:spacing w:line="640" w:lineRule="exact"/>
        <w:ind w:firstLine="640"/>
        <w:jc w:val="both"/>
        <w:outlineLvl w:val="3"/>
      </w:pPr>
      <w:r>
        <w:rPr>
          <w:rFonts w:ascii="楷体_GB2312" w:hAnsi="楷体_GB2312" w:eastAsia="楷体_GB2312"/>
          <w:b/>
          <w:sz w:val="32"/>
        </w:rPr>
        <w:t>（一）一般公共预算财政拨款支出决算总体情况</w:t>
      </w:r>
    </w:p>
    <w:p w14:paraId="10B916DF">
      <w:pPr>
        <w:spacing w:line="580" w:lineRule="exact"/>
        <w:ind w:firstLine="640"/>
        <w:jc w:val="both"/>
      </w:pPr>
      <w:r>
        <w:rPr>
          <w:rFonts w:ascii="仿宋_GB2312" w:hAnsi="仿宋_GB2312" w:eastAsia="仿宋_GB2312"/>
          <w:b/>
          <w:sz w:val="32"/>
        </w:rPr>
        <w:t>2024年度一般公共预算财政拨款支出28.31万元，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增加28.31万元，增长100.00%，主要原因是：本单位为2024年10月新成立单位，无上年对比</w:t>
      </w:r>
      <w:r>
        <w:rPr>
          <w:rFonts w:hint="eastAsia" w:ascii="仿宋_GB2312" w:hAnsi="仿宋_GB2312" w:eastAsia="仿宋_GB2312"/>
          <w:b w:val="0"/>
          <w:sz w:val="32"/>
          <w:lang w:val="en-US" w:eastAsia="zh-CN"/>
        </w:rPr>
        <w:t>数据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年初预算数0.00万元，决算数28.31万元，预决算差异率100.00%，主要原因是：本单位为2024年10月新成立单位，年中追加人员经费，导致预决算存在差异。</w:t>
      </w:r>
    </w:p>
    <w:p w14:paraId="11B60A35">
      <w:pPr>
        <w:spacing w:line="640" w:lineRule="exact"/>
        <w:ind w:firstLine="640"/>
        <w:jc w:val="both"/>
        <w:outlineLvl w:val="3"/>
      </w:pPr>
      <w:r>
        <w:rPr>
          <w:rFonts w:ascii="楷体_GB2312" w:hAnsi="楷体_GB2312" w:eastAsia="楷体_GB2312"/>
          <w:b/>
          <w:sz w:val="32"/>
        </w:rPr>
        <w:t>（二）一般公共预算财政拨款支出决算结构情况</w:t>
      </w:r>
    </w:p>
    <w:p w14:paraId="2F885AC1">
      <w:pPr>
        <w:spacing w:line="580" w:lineRule="exact"/>
        <w:ind w:firstLine="640"/>
        <w:jc w:val="both"/>
      </w:pPr>
      <w:r>
        <w:rPr>
          <w:rFonts w:ascii="仿宋_GB2312" w:hAnsi="仿宋_GB2312" w:eastAsia="仿宋_GB2312"/>
          <w:b w:val="0"/>
          <w:sz w:val="32"/>
        </w:rPr>
        <w:t>1.一般公共服务支出(类)21.70万元,占76.65%。</w:t>
      </w:r>
    </w:p>
    <w:p w14:paraId="69F9599D">
      <w:pPr>
        <w:spacing w:line="580" w:lineRule="exact"/>
        <w:ind w:firstLine="640"/>
        <w:jc w:val="both"/>
      </w:pPr>
      <w:r>
        <w:rPr>
          <w:rFonts w:ascii="仿宋_GB2312" w:hAnsi="仿宋_GB2312" w:eastAsia="仿宋_GB2312"/>
          <w:b w:val="0"/>
          <w:sz w:val="32"/>
        </w:rPr>
        <w:t>2.社会保障和就业支出(类)2.81万元,占9.93%。</w:t>
      </w:r>
    </w:p>
    <w:p w14:paraId="27281B88">
      <w:pPr>
        <w:spacing w:line="580" w:lineRule="exact"/>
        <w:ind w:firstLine="640"/>
        <w:jc w:val="both"/>
      </w:pPr>
      <w:r>
        <w:rPr>
          <w:rFonts w:ascii="仿宋_GB2312" w:hAnsi="仿宋_GB2312" w:eastAsia="仿宋_GB2312"/>
          <w:b w:val="0"/>
          <w:sz w:val="32"/>
        </w:rPr>
        <w:t>3.卫生健康支出(类)1.43万元,占5.05%。</w:t>
      </w:r>
    </w:p>
    <w:p w14:paraId="58B2B0A7">
      <w:pPr>
        <w:spacing w:line="580" w:lineRule="exact"/>
        <w:ind w:firstLine="640"/>
        <w:jc w:val="both"/>
      </w:pPr>
      <w:r>
        <w:rPr>
          <w:rFonts w:ascii="仿宋_GB2312" w:hAnsi="仿宋_GB2312" w:eastAsia="仿宋_GB2312"/>
          <w:b w:val="0"/>
          <w:sz w:val="32"/>
        </w:rPr>
        <w:t>4.住房保障支出(类)2.37万元,占8.37%。</w:t>
      </w:r>
    </w:p>
    <w:p w14:paraId="39BF31BF">
      <w:pPr>
        <w:spacing w:line="640" w:lineRule="exact"/>
        <w:ind w:firstLine="640"/>
        <w:jc w:val="both"/>
        <w:outlineLvl w:val="3"/>
      </w:pPr>
      <w:r>
        <w:rPr>
          <w:rFonts w:ascii="楷体_GB2312" w:hAnsi="楷体_GB2312" w:eastAsia="楷体_GB2312"/>
          <w:b/>
          <w:sz w:val="32"/>
        </w:rPr>
        <w:t>（三）一般公共预算财政拨款支出决算具体情况</w:t>
      </w:r>
    </w:p>
    <w:p w14:paraId="304A437D">
      <w:pPr>
        <w:spacing w:line="580" w:lineRule="exact"/>
        <w:ind w:firstLine="640"/>
        <w:jc w:val="both"/>
      </w:pPr>
      <w:r>
        <w:rPr>
          <w:rFonts w:ascii="仿宋_GB2312" w:hAnsi="仿宋_GB2312" w:eastAsia="仿宋_GB2312"/>
          <w:b w:val="0"/>
          <w:sz w:val="32"/>
        </w:rPr>
        <w:t>1.一般公共服务支出(类)社会工作事务(款)行政运行(项):支出决算数为16.56万元，比上年决算增加16.56万元，增长100.00%,主要原因是：本单位为2024年10月新成立单位，无上年对比</w:t>
      </w:r>
      <w:r>
        <w:rPr>
          <w:rFonts w:hint="eastAsia" w:ascii="仿宋_GB2312" w:hAnsi="仿宋_GB2312" w:eastAsia="仿宋_GB2312"/>
          <w:b w:val="0"/>
          <w:sz w:val="32"/>
          <w:lang w:val="en-US" w:eastAsia="zh-CN"/>
        </w:rPr>
        <w:t>数据</w:t>
      </w:r>
      <w:r>
        <w:rPr>
          <w:rFonts w:ascii="仿宋_GB2312" w:hAnsi="仿宋_GB2312" w:eastAsia="仿宋_GB2312"/>
          <w:b w:val="0"/>
          <w:sz w:val="32"/>
        </w:rPr>
        <w:t>。</w:t>
      </w:r>
    </w:p>
    <w:p w14:paraId="0FDC75CE">
      <w:pPr>
        <w:spacing w:line="580" w:lineRule="exact"/>
        <w:ind w:firstLine="640"/>
        <w:jc w:val="both"/>
      </w:pPr>
      <w:r>
        <w:rPr>
          <w:rFonts w:ascii="仿宋_GB2312" w:hAnsi="仿宋_GB2312" w:eastAsia="仿宋_GB2312"/>
          <w:b w:val="0"/>
          <w:sz w:val="32"/>
        </w:rPr>
        <w:t>2.一般公共服务支出(类)社会工作事务(款)事业运行(项):支出决算数为5.14万元，比上年决算增加5.14万元，增长100.00%,主要原因是：本单位为2024年10月新成立单位，无上年对比</w:t>
      </w:r>
      <w:r>
        <w:rPr>
          <w:rFonts w:hint="eastAsia" w:ascii="仿宋_GB2312" w:hAnsi="仿宋_GB2312" w:eastAsia="仿宋_GB2312"/>
          <w:b w:val="0"/>
          <w:sz w:val="32"/>
          <w:lang w:val="en-US" w:eastAsia="zh-CN"/>
        </w:rPr>
        <w:t>数据</w:t>
      </w:r>
      <w:r>
        <w:rPr>
          <w:rFonts w:ascii="仿宋_GB2312" w:hAnsi="仿宋_GB2312" w:eastAsia="仿宋_GB2312"/>
          <w:b w:val="0"/>
          <w:sz w:val="32"/>
        </w:rPr>
        <w:t>。</w:t>
      </w:r>
    </w:p>
    <w:p w14:paraId="33C90847">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3.社会保障和就业支出(类)行政事业单位养老支出(款)机关事业单位基本养老保险缴费支出(项):支出决算数为2.81万元，比上年决算增加2.81万元，增长100.00%,主要原因是：本单位为2024年10月新成立单位，无上年对比</w:t>
      </w:r>
      <w:r>
        <w:rPr>
          <w:rFonts w:hint="eastAsia" w:ascii="仿宋_GB2312" w:hAnsi="仿宋_GB2312" w:eastAsia="仿宋_GB2312"/>
          <w:b w:val="0"/>
          <w:sz w:val="32"/>
          <w:lang w:val="en-US" w:eastAsia="zh-CN"/>
        </w:rPr>
        <w:t>数据</w:t>
      </w:r>
      <w:r>
        <w:rPr>
          <w:rFonts w:ascii="仿宋_GB2312" w:hAnsi="仿宋_GB2312" w:eastAsia="仿宋_GB2312"/>
          <w:b w:val="0"/>
          <w:sz w:val="32"/>
        </w:rPr>
        <w:t>。</w:t>
      </w:r>
    </w:p>
    <w:p w14:paraId="08F5A0C5">
      <w:pPr>
        <w:spacing w:line="580" w:lineRule="exact"/>
        <w:ind w:firstLine="640"/>
        <w:jc w:val="both"/>
      </w:pPr>
      <w:r>
        <w:rPr>
          <w:rFonts w:ascii="仿宋_GB2312" w:hAnsi="仿宋_GB2312" w:eastAsia="仿宋_GB2312"/>
          <w:b w:val="0"/>
          <w:sz w:val="32"/>
        </w:rPr>
        <w:t>4.卫生健康支出(类)行政事业单位医疗(款)行政单位医疗(项):支出决算数为1.03万元，比上年决算增加1.03万元，增长100.00%,主要原因是：本单位为2024年10月新成立单位，无上年对比</w:t>
      </w:r>
      <w:r>
        <w:rPr>
          <w:rFonts w:hint="eastAsia" w:ascii="仿宋_GB2312" w:hAnsi="仿宋_GB2312" w:eastAsia="仿宋_GB2312"/>
          <w:b w:val="0"/>
          <w:sz w:val="32"/>
          <w:lang w:val="en-US" w:eastAsia="zh-CN"/>
        </w:rPr>
        <w:t>数据</w:t>
      </w:r>
      <w:r>
        <w:rPr>
          <w:rFonts w:ascii="仿宋_GB2312" w:hAnsi="仿宋_GB2312" w:eastAsia="仿宋_GB2312"/>
          <w:b w:val="0"/>
          <w:sz w:val="32"/>
        </w:rPr>
        <w:t>。</w:t>
      </w:r>
    </w:p>
    <w:p w14:paraId="13E50059">
      <w:pPr>
        <w:spacing w:line="580" w:lineRule="exact"/>
        <w:ind w:firstLine="640"/>
        <w:jc w:val="both"/>
      </w:pPr>
      <w:r>
        <w:rPr>
          <w:rFonts w:ascii="仿宋_GB2312" w:hAnsi="仿宋_GB2312" w:eastAsia="仿宋_GB2312"/>
          <w:b w:val="0"/>
          <w:sz w:val="32"/>
        </w:rPr>
        <w:t>5.卫生健康支出(类)行政事业单位医疗(款)事业单位医疗(项):支出决算数为0.37万元，比上年决算增加0.37万元，增长100.00%,主要原因是：本单位为2024年10月新成立单位，无上年对比</w:t>
      </w:r>
      <w:r>
        <w:rPr>
          <w:rFonts w:hint="eastAsia" w:ascii="仿宋_GB2312" w:hAnsi="仿宋_GB2312" w:eastAsia="仿宋_GB2312"/>
          <w:b w:val="0"/>
          <w:sz w:val="32"/>
          <w:lang w:val="en-US" w:eastAsia="zh-CN"/>
        </w:rPr>
        <w:t>数据</w:t>
      </w:r>
      <w:r>
        <w:rPr>
          <w:rFonts w:ascii="仿宋_GB2312" w:hAnsi="仿宋_GB2312" w:eastAsia="仿宋_GB2312"/>
          <w:b w:val="0"/>
          <w:sz w:val="32"/>
        </w:rPr>
        <w:t>。</w:t>
      </w:r>
    </w:p>
    <w:p w14:paraId="5737E24D">
      <w:pPr>
        <w:spacing w:line="580" w:lineRule="exact"/>
        <w:ind w:firstLine="640"/>
        <w:jc w:val="both"/>
      </w:pPr>
      <w:r>
        <w:rPr>
          <w:rFonts w:ascii="仿宋_GB2312" w:hAnsi="仿宋_GB2312" w:eastAsia="仿宋_GB2312"/>
          <w:b w:val="0"/>
          <w:sz w:val="32"/>
        </w:rPr>
        <w:t>6.卫生健康支出(类)行政事业单位医疗(款)公务员医疗补助(项):支出决算数为0.02万元，比上年决算增加0.02万元，增长100.00%,主要原因是：本单位为2024年10月新成立单位，无上年对比</w:t>
      </w:r>
      <w:r>
        <w:rPr>
          <w:rFonts w:hint="eastAsia" w:ascii="仿宋_GB2312" w:hAnsi="仿宋_GB2312" w:eastAsia="仿宋_GB2312"/>
          <w:b w:val="0"/>
          <w:sz w:val="32"/>
          <w:lang w:val="en-US" w:eastAsia="zh-CN"/>
        </w:rPr>
        <w:t>数据</w:t>
      </w:r>
      <w:r>
        <w:rPr>
          <w:rFonts w:ascii="仿宋_GB2312" w:hAnsi="仿宋_GB2312" w:eastAsia="仿宋_GB2312"/>
          <w:b w:val="0"/>
          <w:sz w:val="32"/>
        </w:rPr>
        <w:t>。</w:t>
      </w:r>
    </w:p>
    <w:p w14:paraId="474B1425">
      <w:pPr>
        <w:spacing w:line="580" w:lineRule="exact"/>
        <w:ind w:firstLine="640"/>
        <w:jc w:val="both"/>
      </w:pPr>
      <w:r>
        <w:rPr>
          <w:rFonts w:ascii="仿宋_GB2312" w:hAnsi="仿宋_GB2312" w:eastAsia="仿宋_GB2312"/>
          <w:b w:val="0"/>
          <w:sz w:val="32"/>
        </w:rPr>
        <w:t>7.住房保障支出(类)住房改革支出(款)住房公积金(项):支出决算数为2.37万元，比上年决算增加2.37万元，增长100.00%,主要原因是：本单位为2024年10月新成立单位，无上年对比</w:t>
      </w:r>
      <w:r>
        <w:rPr>
          <w:rFonts w:hint="eastAsia" w:ascii="仿宋_GB2312" w:hAnsi="仿宋_GB2312" w:eastAsia="仿宋_GB2312"/>
          <w:b w:val="0"/>
          <w:sz w:val="32"/>
          <w:lang w:val="en-US" w:eastAsia="zh-CN"/>
        </w:rPr>
        <w:t>数据</w:t>
      </w:r>
      <w:r>
        <w:rPr>
          <w:rFonts w:ascii="仿宋_GB2312" w:hAnsi="仿宋_GB2312" w:eastAsia="仿宋_GB2312"/>
          <w:b w:val="0"/>
          <w:sz w:val="32"/>
        </w:rPr>
        <w:t>。</w:t>
      </w:r>
    </w:p>
    <w:p w14:paraId="0606D262">
      <w:pPr>
        <w:spacing w:line="640" w:lineRule="exact"/>
        <w:ind w:firstLine="640"/>
        <w:jc w:val="both"/>
        <w:outlineLvl w:val="2"/>
      </w:pPr>
      <w:r>
        <w:rPr>
          <w:rFonts w:ascii="黑体" w:hAnsi="黑体" w:eastAsia="黑体"/>
          <w:sz w:val="32"/>
        </w:rPr>
        <w:t>六、一般公共预算财政拨款基本支出决算情况说明</w:t>
      </w:r>
    </w:p>
    <w:p w14:paraId="55BA605A">
      <w:pPr>
        <w:spacing w:line="580" w:lineRule="exact"/>
        <w:ind w:firstLine="640"/>
        <w:jc w:val="both"/>
      </w:pPr>
      <w:r>
        <w:rPr>
          <w:rFonts w:ascii="仿宋_GB2312" w:hAnsi="仿宋_GB2312" w:eastAsia="仿宋_GB2312"/>
          <w:b w:val="0"/>
          <w:sz w:val="32"/>
        </w:rPr>
        <w:t>2024年度一般公共预算财政拨款基本支出28.31万元，其中：</w:t>
      </w:r>
      <w:r>
        <w:rPr>
          <w:rFonts w:ascii="仿宋_GB2312" w:hAnsi="仿宋_GB2312" w:eastAsia="仿宋_GB2312"/>
          <w:b/>
          <w:sz w:val="32"/>
        </w:rPr>
        <w:t>人员经费25.38万元，</w:t>
      </w:r>
      <w:r>
        <w:rPr>
          <w:rFonts w:ascii="仿宋_GB2312" w:hAnsi="仿宋_GB2312" w:eastAsia="仿宋_GB2312"/>
          <w:b w:val="0"/>
          <w:sz w:val="32"/>
        </w:rPr>
        <w:t>包括：基本工资、津贴补贴、奖金、绩效工资、机关事业单位基本养老保险缴费、职工基本医疗保险缴费、公务员医疗补助缴费、住房公积金。</w:t>
      </w:r>
    </w:p>
    <w:p w14:paraId="09700E11">
      <w:pPr>
        <w:spacing w:line="580" w:lineRule="exact"/>
        <w:ind w:firstLine="640"/>
        <w:jc w:val="both"/>
      </w:pPr>
      <w:r>
        <w:rPr>
          <w:rFonts w:ascii="仿宋_GB2312" w:hAnsi="仿宋_GB2312" w:eastAsia="仿宋_GB2312"/>
          <w:b/>
          <w:sz w:val="32"/>
        </w:rPr>
        <w:t>公用经费2.93万元，</w:t>
      </w:r>
      <w:r>
        <w:rPr>
          <w:rFonts w:ascii="仿宋_GB2312" w:hAnsi="仿宋_GB2312" w:eastAsia="仿宋_GB2312"/>
          <w:b w:val="0"/>
          <w:sz w:val="32"/>
        </w:rPr>
        <w:t>包括：办公费。</w:t>
      </w:r>
    </w:p>
    <w:p w14:paraId="4F9B5110">
      <w:pPr>
        <w:spacing w:line="640" w:lineRule="exact"/>
        <w:ind w:firstLine="640"/>
        <w:jc w:val="both"/>
        <w:outlineLvl w:val="2"/>
      </w:pPr>
      <w:r>
        <w:rPr>
          <w:rFonts w:ascii="黑体" w:hAnsi="黑体" w:eastAsia="黑体"/>
          <w:sz w:val="32"/>
        </w:rPr>
        <w:t>七、政府性基金预算财政拨款收入支出决算情况说明</w:t>
      </w:r>
    </w:p>
    <w:p w14:paraId="37C9099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49F4C11">
      <w:pPr>
        <w:spacing w:line="640" w:lineRule="exact"/>
        <w:ind w:firstLine="640"/>
        <w:jc w:val="both"/>
        <w:outlineLvl w:val="2"/>
      </w:pPr>
      <w:r>
        <w:rPr>
          <w:rFonts w:ascii="黑体" w:hAnsi="黑体" w:eastAsia="黑体"/>
          <w:sz w:val="32"/>
        </w:rPr>
        <w:t>八、国有资本经营预算财政拨款收入支出决算情况说明</w:t>
      </w:r>
    </w:p>
    <w:p w14:paraId="2D3C488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3913F5">
      <w:pPr>
        <w:spacing w:line="640" w:lineRule="exact"/>
        <w:ind w:firstLine="640"/>
        <w:jc w:val="both"/>
        <w:outlineLvl w:val="2"/>
      </w:pPr>
      <w:r>
        <w:rPr>
          <w:rFonts w:ascii="黑体" w:hAnsi="黑体" w:eastAsia="黑体"/>
          <w:sz w:val="32"/>
        </w:rPr>
        <w:t>九、财政拨款“三公”经费支出决算情况说明</w:t>
      </w:r>
    </w:p>
    <w:p w14:paraId="59F7BF7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15F0D9AC">
      <w:pPr>
        <w:spacing w:line="580" w:lineRule="exact"/>
        <w:ind w:firstLine="640"/>
        <w:jc w:val="both"/>
      </w:pPr>
      <w:r>
        <w:rPr>
          <w:rFonts w:ascii="仿宋_GB2312" w:hAnsi="仿宋_GB2312" w:eastAsia="仿宋_GB2312"/>
          <w:b/>
          <w:sz w:val="32"/>
        </w:rPr>
        <w:t>具体情况如下：</w:t>
      </w:r>
    </w:p>
    <w:p w14:paraId="315F79A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156077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90996E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9502A4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8311C74">
      <w:pPr>
        <w:spacing w:line="640" w:lineRule="exact"/>
        <w:ind w:firstLine="640"/>
        <w:jc w:val="both"/>
        <w:outlineLvl w:val="2"/>
      </w:pPr>
      <w:r>
        <w:rPr>
          <w:rFonts w:ascii="黑体" w:hAnsi="黑体" w:eastAsia="黑体"/>
          <w:sz w:val="32"/>
        </w:rPr>
        <w:t>十、其他重要事项的情况说明</w:t>
      </w:r>
    </w:p>
    <w:p w14:paraId="2514D884">
      <w:pPr>
        <w:spacing w:line="640" w:lineRule="exact"/>
        <w:ind w:firstLine="640"/>
        <w:jc w:val="both"/>
        <w:outlineLvl w:val="3"/>
      </w:pPr>
      <w:r>
        <w:rPr>
          <w:rFonts w:ascii="楷体_GB2312" w:hAnsi="楷体_GB2312" w:eastAsia="楷体_GB2312"/>
          <w:b/>
          <w:sz w:val="32"/>
        </w:rPr>
        <w:t>（一）机关运行经费及公用经费支出情况</w:t>
      </w:r>
    </w:p>
    <w:p w14:paraId="7B1F189E">
      <w:pPr>
        <w:spacing w:line="580" w:lineRule="exact"/>
        <w:ind w:firstLine="640"/>
        <w:jc w:val="both"/>
      </w:pPr>
      <w:r>
        <w:rPr>
          <w:rFonts w:ascii="仿宋_GB2312" w:hAnsi="仿宋_GB2312" w:eastAsia="仿宋_GB2312"/>
          <w:b w:val="0"/>
          <w:sz w:val="32"/>
        </w:rPr>
        <w:t>2024年度中共霍城县委员会社会工作部（行政单位和参照公务员法管理事业单位）机关运行经费支出2.93万元，比上年增加2.93万元，增长100.00%，主要原因是：本单位为2024年10月新成立单位，无上年对比</w:t>
      </w:r>
      <w:r>
        <w:rPr>
          <w:rFonts w:hint="eastAsia" w:ascii="仿宋_GB2312" w:hAnsi="仿宋_GB2312" w:eastAsia="仿宋_GB2312"/>
          <w:b w:val="0"/>
          <w:sz w:val="32"/>
          <w:lang w:val="en-US" w:eastAsia="zh-CN"/>
        </w:rPr>
        <w:t>数据</w:t>
      </w:r>
      <w:r>
        <w:rPr>
          <w:rFonts w:ascii="仿宋_GB2312" w:hAnsi="仿宋_GB2312" w:eastAsia="仿宋_GB2312"/>
          <w:b w:val="0"/>
          <w:sz w:val="32"/>
        </w:rPr>
        <w:t>。</w:t>
      </w:r>
    </w:p>
    <w:p w14:paraId="2237A3C2">
      <w:pPr>
        <w:spacing w:line="640" w:lineRule="exact"/>
        <w:ind w:firstLine="640"/>
        <w:jc w:val="both"/>
        <w:outlineLvl w:val="3"/>
      </w:pPr>
      <w:r>
        <w:rPr>
          <w:rFonts w:ascii="楷体_GB2312" w:hAnsi="楷体_GB2312" w:eastAsia="楷体_GB2312"/>
          <w:b/>
          <w:sz w:val="32"/>
        </w:rPr>
        <w:t>（二）政府采购情况</w:t>
      </w:r>
    </w:p>
    <w:p w14:paraId="1C6F77F2">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C5A95C5">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2A61B85">
      <w:pPr>
        <w:spacing w:line="640" w:lineRule="exact"/>
        <w:ind w:firstLine="640"/>
        <w:jc w:val="both"/>
        <w:outlineLvl w:val="3"/>
      </w:pPr>
      <w:r>
        <w:rPr>
          <w:rFonts w:ascii="楷体_GB2312" w:hAnsi="楷体_GB2312" w:eastAsia="楷体_GB2312"/>
          <w:b/>
          <w:sz w:val="32"/>
        </w:rPr>
        <w:t>（三）国有资产占用情况说明</w:t>
      </w:r>
    </w:p>
    <w:p w14:paraId="5F2D63C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74F0316">
      <w:pPr>
        <w:spacing w:line="640" w:lineRule="exact"/>
        <w:ind w:firstLine="640"/>
        <w:jc w:val="both"/>
        <w:outlineLvl w:val="2"/>
      </w:pPr>
      <w:r>
        <w:rPr>
          <w:rFonts w:ascii="黑体" w:hAnsi="黑体" w:eastAsia="黑体"/>
          <w:sz w:val="32"/>
        </w:rPr>
        <w:t>十一、预算绩效的情况说明</w:t>
      </w:r>
    </w:p>
    <w:p w14:paraId="185F2273">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表。发现的问题及原因：本单位无绩效自评表。下一步改进措施：本单位无绩效自评表。</w:t>
      </w:r>
    </w:p>
    <w:p w14:paraId="64BA2A5C">
      <w:r>
        <w:br w:type="page"/>
      </w:r>
    </w:p>
    <w:p w14:paraId="6D96E411">
      <w:pPr>
        <w:spacing w:line="640" w:lineRule="exact"/>
        <w:ind w:firstLine="640"/>
        <w:jc w:val="both"/>
        <w:outlineLvl w:val="2"/>
      </w:pPr>
      <w:r>
        <w:rPr>
          <w:rFonts w:ascii="黑体" w:hAnsi="黑体" w:eastAsia="黑体"/>
          <w:sz w:val="32"/>
        </w:rPr>
        <w:t>十二、其他需说明的事项</w:t>
      </w:r>
    </w:p>
    <w:p w14:paraId="4D550788">
      <w:pPr>
        <w:spacing w:line="580" w:lineRule="exact"/>
        <w:ind w:firstLine="640"/>
        <w:jc w:val="both"/>
        <w:rPr>
          <w:rFonts w:hint="eastAsia" w:ascii="仿宋_GB2312" w:hAnsi="仿宋_GB2312" w:eastAsia="仿宋_GB2312"/>
          <w:b w:val="0"/>
          <w:sz w:val="32"/>
          <w:lang w:eastAsia="zh-CN"/>
        </w:rPr>
      </w:pPr>
      <w:r>
        <w:rPr>
          <w:rFonts w:ascii="仿宋_GB2312" w:hAnsi="仿宋_GB2312" w:eastAsia="仿宋_GB2312"/>
          <w:b w:val="0"/>
          <w:sz w:val="32"/>
        </w:rPr>
        <w:t>本单位2024年10月新成立，无整体支出绩效自评表</w:t>
      </w:r>
      <w:r>
        <w:rPr>
          <w:rFonts w:hint="eastAsia" w:ascii="仿宋_GB2312" w:hAnsi="仿宋_GB2312" w:eastAsia="仿宋_GB2312"/>
          <w:b w:val="0"/>
          <w:sz w:val="32"/>
          <w:lang w:eastAsia="zh-CN"/>
        </w:rPr>
        <w:t>。</w:t>
      </w:r>
    </w:p>
    <w:p w14:paraId="56B2D2DC">
      <w:pPr>
        <w:spacing w:line="580" w:lineRule="exact"/>
        <w:ind w:firstLine="640"/>
        <w:jc w:val="both"/>
      </w:pPr>
      <w:bookmarkStart w:id="0" w:name="_GoBack"/>
      <w:bookmarkEnd w:id="0"/>
      <w:r>
        <w:rPr>
          <w:rFonts w:ascii="仿宋_GB2312" w:hAnsi="仿宋_GB2312" w:eastAsia="仿宋_GB2312"/>
          <w:b w:val="0"/>
          <w:sz w:val="32"/>
        </w:rPr>
        <w:t>本单位2024年度无政府采购支出，授予中小企业合同金额0.00万元。</w:t>
      </w:r>
    </w:p>
    <w:p w14:paraId="43623FCF">
      <w:r>
        <w:br w:type="page"/>
      </w:r>
    </w:p>
    <w:p w14:paraId="167BF51F">
      <w:pPr>
        <w:spacing w:line="240" w:lineRule="auto"/>
        <w:jc w:val="center"/>
        <w:outlineLvl w:val="1"/>
      </w:pPr>
      <w:r>
        <w:rPr>
          <w:rFonts w:ascii="黑体" w:hAnsi="黑体" w:eastAsia="黑体"/>
          <w:sz w:val="32"/>
        </w:rPr>
        <w:t>第三部分 专业名词解释</w:t>
      </w:r>
    </w:p>
    <w:p w14:paraId="03C0544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8DECD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1701E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86A838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3A02BD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A35F38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8A928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7F40D2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7240B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6F52B2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B3891C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10832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7CA0B5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E103DB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C0DDA98">
      <w:r>
        <w:br w:type="page"/>
      </w:r>
    </w:p>
    <w:p w14:paraId="5052A278">
      <w:pPr>
        <w:spacing w:line="240" w:lineRule="auto"/>
        <w:jc w:val="center"/>
        <w:outlineLvl w:val="1"/>
      </w:pPr>
      <w:r>
        <w:rPr>
          <w:rFonts w:ascii="黑体" w:hAnsi="黑体" w:eastAsia="黑体"/>
          <w:sz w:val="32"/>
        </w:rPr>
        <w:t>第四部分 部门决算报表（见附表）</w:t>
      </w:r>
    </w:p>
    <w:p w14:paraId="3238F255">
      <w:pPr>
        <w:spacing w:line="240" w:lineRule="auto"/>
        <w:ind w:firstLine="640"/>
        <w:jc w:val="both"/>
      </w:pPr>
      <w:r>
        <w:rPr>
          <w:rFonts w:ascii="仿宋_GB2312" w:hAnsi="仿宋_GB2312" w:eastAsia="仿宋_GB2312"/>
          <w:b w:val="0"/>
          <w:sz w:val="32"/>
        </w:rPr>
        <w:t>一、《收入支出决算总表》</w:t>
      </w:r>
    </w:p>
    <w:p w14:paraId="1D24D698">
      <w:pPr>
        <w:spacing w:line="240" w:lineRule="auto"/>
        <w:ind w:firstLine="640"/>
        <w:jc w:val="both"/>
      </w:pPr>
      <w:r>
        <w:rPr>
          <w:rFonts w:ascii="仿宋_GB2312" w:hAnsi="仿宋_GB2312" w:eastAsia="仿宋_GB2312"/>
          <w:b w:val="0"/>
          <w:sz w:val="32"/>
        </w:rPr>
        <w:t>二、《收入决算表》</w:t>
      </w:r>
    </w:p>
    <w:p w14:paraId="3DD90EF2">
      <w:pPr>
        <w:spacing w:line="240" w:lineRule="auto"/>
        <w:ind w:firstLine="640"/>
        <w:jc w:val="both"/>
      </w:pPr>
      <w:r>
        <w:rPr>
          <w:rFonts w:ascii="仿宋_GB2312" w:hAnsi="仿宋_GB2312" w:eastAsia="仿宋_GB2312"/>
          <w:b w:val="0"/>
          <w:sz w:val="32"/>
        </w:rPr>
        <w:t>三、《支出决算表》</w:t>
      </w:r>
    </w:p>
    <w:p w14:paraId="019732FF">
      <w:pPr>
        <w:spacing w:line="240" w:lineRule="auto"/>
        <w:ind w:firstLine="640"/>
        <w:jc w:val="both"/>
      </w:pPr>
      <w:r>
        <w:rPr>
          <w:rFonts w:ascii="仿宋_GB2312" w:hAnsi="仿宋_GB2312" w:eastAsia="仿宋_GB2312"/>
          <w:b w:val="0"/>
          <w:sz w:val="32"/>
        </w:rPr>
        <w:t>四、《财政拨款收入支出决算总表》</w:t>
      </w:r>
    </w:p>
    <w:p w14:paraId="38CC1B4E">
      <w:pPr>
        <w:spacing w:line="240" w:lineRule="auto"/>
        <w:ind w:firstLine="640"/>
        <w:jc w:val="both"/>
      </w:pPr>
      <w:r>
        <w:rPr>
          <w:rFonts w:ascii="仿宋_GB2312" w:hAnsi="仿宋_GB2312" w:eastAsia="仿宋_GB2312"/>
          <w:b w:val="0"/>
          <w:sz w:val="32"/>
        </w:rPr>
        <w:t>五、《一般公共预算财政拨款支出决算表》</w:t>
      </w:r>
    </w:p>
    <w:p w14:paraId="68B12298">
      <w:pPr>
        <w:spacing w:line="240" w:lineRule="auto"/>
        <w:ind w:firstLine="640"/>
        <w:jc w:val="both"/>
      </w:pPr>
      <w:r>
        <w:rPr>
          <w:rFonts w:ascii="仿宋_GB2312" w:hAnsi="仿宋_GB2312" w:eastAsia="仿宋_GB2312"/>
          <w:b w:val="0"/>
          <w:sz w:val="32"/>
        </w:rPr>
        <w:t>六、《一般公共预算财政拨款基本支出决算表》</w:t>
      </w:r>
    </w:p>
    <w:p w14:paraId="4DBA2B70">
      <w:pPr>
        <w:spacing w:line="240" w:lineRule="auto"/>
        <w:ind w:firstLine="640"/>
        <w:jc w:val="both"/>
      </w:pPr>
      <w:r>
        <w:rPr>
          <w:rFonts w:ascii="仿宋_GB2312" w:hAnsi="仿宋_GB2312" w:eastAsia="仿宋_GB2312"/>
          <w:b w:val="0"/>
          <w:sz w:val="32"/>
        </w:rPr>
        <w:t>七、《政府性基金预算财政拨款收入支出决算表》</w:t>
      </w:r>
    </w:p>
    <w:p w14:paraId="356FE751">
      <w:pPr>
        <w:spacing w:line="240" w:lineRule="auto"/>
        <w:ind w:firstLine="640"/>
        <w:jc w:val="both"/>
      </w:pPr>
      <w:r>
        <w:rPr>
          <w:rFonts w:ascii="仿宋_GB2312" w:hAnsi="仿宋_GB2312" w:eastAsia="仿宋_GB2312"/>
          <w:b w:val="0"/>
          <w:sz w:val="32"/>
        </w:rPr>
        <w:t>八、《国有资本经营预算财政拨款收入支出决算表》</w:t>
      </w:r>
    </w:p>
    <w:p w14:paraId="6749128E">
      <w:pPr>
        <w:spacing w:line="240" w:lineRule="auto"/>
        <w:ind w:firstLine="640"/>
        <w:jc w:val="both"/>
      </w:pPr>
      <w:r>
        <w:rPr>
          <w:rFonts w:ascii="仿宋_GB2312" w:hAnsi="仿宋_GB2312" w:eastAsia="仿宋_GB2312"/>
          <w:b w:val="0"/>
          <w:sz w:val="32"/>
        </w:rPr>
        <w:t>九、《财政拨款“三公”经费支出决算表》</w:t>
      </w:r>
    </w:p>
    <w:p w14:paraId="7A2B6F9D">
      <w:pPr>
        <w:spacing w:line="240" w:lineRule="auto"/>
        <w:ind w:firstLine="640"/>
        <w:jc w:val="both"/>
      </w:pPr>
    </w:p>
    <w:p w14:paraId="24FBB6D4">
      <w:pPr>
        <w:spacing w:line="240" w:lineRule="auto"/>
        <w:ind w:firstLine="640"/>
        <w:jc w:val="both"/>
      </w:pPr>
    </w:p>
    <w:p w14:paraId="799ED895">
      <w:pPr>
        <w:spacing w:line="240" w:lineRule="auto"/>
        <w:ind w:firstLine="640"/>
        <w:jc w:val="both"/>
      </w:pPr>
    </w:p>
    <w:p w14:paraId="5DF945E5">
      <w:pPr>
        <w:spacing w:line="240" w:lineRule="auto"/>
        <w:ind w:firstLine="640"/>
        <w:jc w:val="both"/>
      </w:pPr>
    </w:p>
    <w:p w14:paraId="64578F2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E6840A-97D4-4236-B8C5-DF91DA6C4D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0FE9933-5A46-44F7-8B39-87608CB9E017}"/>
  </w:font>
  <w:font w:name="仿宋_GB2312">
    <w:panose1 w:val="02010609030101010101"/>
    <w:charset w:val="86"/>
    <w:family w:val="modern"/>
    <w:pitch w:val="default"/>
    <w:sig w:usb0="00000001" w:usb1="080E0000" w:usb2="00000000" w:usb3="00000000" w:csb0="00040000" w:csb1="00000000"/>
    <w:embedRegular r:id="rId3" w:fontKey="{3D750BDD-2D6D-4598-AFCC-9942F3C0E5C1}"/>
  </w:font>
  <w:font w:name="楷体_GB2312">
    <w:panose1 w:val="02010609030101010101"/>
    <w:charset w:val="86"/>
    <w:family w:val="auto"/>
    <w:pitch w:val="default"/>
    <w:sig w:usb0="00000001" w:usb1="080E0000" w:usb2="00000000" w:usb3="00000000" w:csb0="00040000" w:csb1="00000000"/>
    <w:embedRegular r:id="rId4" w:fontKey="{DB9E7DE9-354E-4F35-AE9B-09AFF95AA510}"/>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6108ED"/>
    <w:rsid w:val="0EA04331"/>
    <w:rsid w:val="0F9811B3"/>
    <w:rsid w:val="10B32152"/>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4980</Words>
  <Characters>5636</Characters>
  <Lines>0</Lines>
  <Paragraphs>0</Paragraphs>
  <TotalTime>2</TotalTime>
  <ScaleCrop>false</ScaleCrop>
  <LinksUpToDate>false</LinksUpToDate>
  <CharactersWithSpaces>5646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2025-09-25T06:19:59Z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