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霍城县融媒体中心2024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D9CB28">
      <w:r>
        <w:br w:type="page"/>
      </w:r>
    </w:p>
    <w:p w14:paraId="48BD57F7">
      <w:pPr>
        <w:spacing w:line="640" w:lineRule="exact"/>
        <w:jc w:val="center"/>
        <w:outlineLvl w:val="1"/>
      </w:pPr>
      <w:r>
        <w:rPr>
          <w:rFonts w:ascii="黑体" w:hAnsi="黑体" w:eastAsia="黑体"/>
          <w:sz w:val="32"/>
        </w:rPr>
        <w:t>第一部分 单位概况</w:t>
      </w:r>
    </w:p>
    <w:p w14:paraId="005DA47A">
      <w:pPr>
        <w:spacing w:line="640" w:lineRule="exact"/>
        <w:ind w:firstLine="640"/>
        <w:jc w:val="both"/>
        <w:outlineLvl w:val="2"/>
      </w:pPr>
      <w:r>
        <w:rPr>
          <w:rFonts w:ascii="黑体" w:hAnsi="黑体" w:eastAsia="黑体"/>
          <w:sz w:val="32"/>
        </w:rPr>
        <w:t>一、主要职能</w:t>
      </w:r>
    </w:p>
    <w:p w14:paraId="33B53A04">
      <w:pPr>
        <w:spacing w:line="580" w:lineRule="exact"/>
        <w:ind w:firstLine="640"/>
        <w:jc w:val="both"/>
      </w:pPr>
      <w:r>
        <w:rPr>
          <w:rFonts w:ascii="仿宋_GB2312" w:hAnsi="仿宋_GB2312" w:eastAsia="仿宋_GB2312"/>
          <w:sz w:val="32"/>
        </w:rPr>
        <w:t>（1）贯彻执行党和国家新闻宣传、广播、电视管理方针政策和法律法规。</w:t>
      </w:r>
    </w:p>
    <w:p w14:paraId="27CB8203">
      <w:pPr>
        <w:spacing w:line="580" w:lineRule="exact"/>
        <w:ind w:firstLine="640"/>
        <w:jc w:val="both"/>
      </w:pPr>
      <w:r>
        <w:rPr>
          <w:rFonts w:ascii="仿宋_GB2312" w:hAnsi="仿宋_GB2312" w:eastAsia="仿宋_GB2312"/>
          <w:sz w:val="32"/>
        </w:rPr>
        <w:t>（2）拟定全县融媒体事业发展规划、计划，并组织实施。</w:t>
      </w:r>
    </w:p>
    <w:p w14:paraId="40BC5B3F">
      <w:pPr>
        <w:spacing w:line="580" w:lineRule="exact"/>
        <w:ind w:firstLine="640"/>
        <w:jc w:val="both"/>
      </w:pPr>
      <w:r>
        <w:rPr>
          <w:rFonts w:ascii="仿宋_GB2312" w:hAnsi="仿宋_GB2312" w:eastAsia="仿宋_GB2312"/>
          <w:sz w:val="32"/>
        </w:rPr>
        <w:t>（3）负责广播电视、网络新媒体宣传工作，推动媒体融合发展。</w:t>
      </w:r>
    </w:p>
    <w:p w14:paraId="52E24776">
      <w:pPr>
        <w:spacing w:line="580" w:lineRule="exact"/>
        <w:ind w:firstLine="640"/>
        <w:jc w:val="both"/>
      </w:pPr>
      <w:r>
        <w:rPr>
          <w:rFonts w:ascii="仿宋_GB2312" w:hAnsi="仿宋_GB2312" w:eastAsia="仿宋_GB2312"/>
          <w:sz w:val="32"/>
        </w:rPr>
        <w:t>（4）研究新闻采编报道中的重大问题，组织全局性重大宣传报道活动。</w:t>
      </w:r>
    </w:p>
    <w:p w14:paraId="09893DCE">
      <w:pPr>
        <w:spacing w:line="580" w:lineRule="exact"/>
        <w:ind w:firstLine="640"/>
        <w:jc w:val="both"/>
      </w:pPr>
      <w:r>
        <w:rPr>
          <w:rFonts w:ascii="仿宋_GB2312" w:hAnsi="仿宋_GB2312" w:eastAsia="仿宋_GB2312"/>
          <w:sz w:val="32"/>
        </w:rPr>
        <w:t>（5）负责广播电视及新媒体的建设、管理、维护。</w:t>
      </w:r>
    </w:p>
    <w:p w14:paraId="12D1FF03">
      <w:pPr>
        <w:spacing w:line="580" w:lineRule="exact"/>
        <w:ind w:firstLine="640"/>
        <w:jc w:val="both"/>
      </w:pPr>
      <w:r>
        <w:rPr>
          <w:rFonts w:ascii="仿宋_GB2312" w:hAnsi="仿宋_GB2312" w:eastAsia="仿宋_GB2312"/>
          <w:sz w:val="32"/>
        </w:rPr>
        <w:t>（6）提供政务服务、生活服务、社交传播等综合服务等。</w:t>
      </w:r>
    </w:p>
    <w:p w14:paraId="19651262">
      <w:pPr>
        <w:spacing w:line="640" w:lineRule="exact"/>
        <w:ind w:firstLine="640"/>
        <w:jc w:val="both"/>
        <w:outlineLvl w:val="2"/>
      </w:pPr>
      <w:r>
        <w:rPr>
          <w:rFonts w:ascii="黑体" w:hAnsi="黑体" w:eastAsia="黑体"/>
          <w:sz w:val="32"/>
        </w:rPr>
        <w:t>二、机构设置及人员情况</w:t>
      </w:r>
    </w:p>
    <w:p w14:paraId="05E07B4E">
      <w:pPr>
        <w:spacing w:line="580" w:lineRule="exact"/>
        <w:ind w:firstLine="640"/>
        <w:jc w:val="both"/>
      </w:pPr>
      <w:r>
        <w:rPr>
          <w:rFonts w:ascii="仿宋_GB2312" w:hAnsi="仿宋_GB2312" w:eastAsia="仿宋_GB2312"/>
          <w:sz w:val="32"/>
        </w:rPr>
        <w:t>霍城县融媒体中心2024年度，实有人数86人，其中：在职人员50人，减少4人；离休人员0人，增加0人；退休人员36人,增加0人。</w:t>
      </w:r>
    </w:p>
    <w:p w14:paraId="09E41184">
      <w:pPr>
        <w:spacing w:line="580" w:lineRule="exact"/>
        <w:ind w:firstLine="640"/>
        <w:jc w:val="both"/>
      </w:pPr>
      <w:r>
        <w:rPr>
          <w:rFonts w:ascii="仿宋_GB2312" w:hAnsi="仿宋_GB2312" w:eastAsia="仿宋_GB2312"/>
          <w:sz w:val="32"/>
        </w:rPr>
        <w:t>霍城县融媒体中心无下属预算单位，下设5个科室，分别是：新闻信息采</w:t>
      </w:r>
      <w:bookmarkStart w:id="0" w:name="_GoBack"/>
      <w:r>
        <w:rPr>
          <w:rFonts w:ascii="仿宋_GB2312" w:hAnsi="仿宋_GB2312" w:eastAsia="仿宋_GB2312"/>
          <w:sz w:val="32"/>
        </w:rPr>
        <w:t>集中心、编辑中心、播出发射中心、网络技术中心、综合服务中心。</w:t>
      </w:r>
    </w:p>
    <w:bookmarkEnd w:id="0"/>
    <w:p w14:paraId="27B789A0">
      <w:r>
        <w:br w:type="page"/>
      </w:r>
    </w:p>
    <w:p w14:paraId="7F439C87">
      <w:pPr>
        <w:spacing w:line="240" w:lineRule="auto"/>
        <w:jc w:val="center"/>
        <w:outlineLvl w:val="1"/>
      </w:pPr>
      <w:r>
        <w:rPr>
          <w:rFonts w:ascii="黑体" w:hAnsi="黑体" w:eastAsia="黑体"/>
          <w:sz w:val="32"/>
        </w:rPr>
        <w:t>第二部分 部门决算情况说明</w:t>
      </w:r>
    </w:p>
    <w:p w14:paraId="5F18F5E5">
      <w:pPr>
        <w:spacing w:line="640" w:lineRule="exact"/>
        <w:ind w:firstLine="640"/>
        <w:jc w:val="both"/>
        <w:outlineLvl w:val="2"/>
      </w:pPr>
      <w:r>
        <w:rPr>
          <w:rFonts w:ascii="黑体" w:hAnsi="黑体" w:eastAsia="黑体"/>
          <w:sz w:val="32"/>
        </w:rPr>
        <w:t>一、收入支出决算总体情况说明</w:t>
      </w:r>
    </w:p>
    <w:p w14:paraId="2FF928E8">
      <w:pPr>
        <w:spacing w:line="580" w:lineRule="exact"/>
        <w:ind w:firstLine="640"/>
        <w:jc w:val="both"/>
      </w:pPr>
      <w:r>
        <w:rPr>
          <w:rFonts w:ascii="仿宋_GB2312" w:hAnsi="仿宋_GB2312" w:eastAsia="仿宋_GB2312"/>
          <w:b/>
          <w:sz w:val="32"/>
        </w:rPr>
        <w:t>2024年度收入总计1,054.66万元，</w:t>
      </w:r>
      <w:r>
        <w:rPr>
          <w:rFonts w:ascii="仿宋_GB2312" w:hAnsi="仿宋_GB2312" w:eastAsia="仿宋_GB2312"/>
          <w:b w:val="0"/>
          <w:sz w:val="32"/>
        </w:rPr>
        <w:t>其中：本年收入合计1,054.66万元，使用非财政拨款结余（含专用结余）0.00万元，年初结转和结余0.00万元。</w:t>
      </w:r>
    </w:p>
    <w:p w14:paraId="66A8FB27">
      <w:pPr>
        <w:spacing w:line="580" w:lineRule="exact"/>
        <w:ind w:firstLine="640"/>
        <w:jc w:val="both"/>
      </w:pPr>
      <w:r>
        <w:rPr>
          <w:rFonts w:ascii="仿宋_GB2312" w:hAnsi="仿宋_GB2312" w:eastAsia="仿宋_GB2312"/>
          <w:b/>
          <w:sz w:val="32"/>
        </w:rPr>
        <w:t>2024年度支出总计1,054.66万元，</w:t>
      </w:r>
      <w:r>
        <w:rPr>
          <w:rFonts w:ascii="仿宋_GB2312" w:hAnsi="仿宋_GB2312" w:eastAsia="仿宋_GB2312"/>
          <w:b w:val="0"/>
          <w:sz w:val="32"/>
        </w:rPr>
        <w:t>其中：本年支出合计1,052.96万元，结余分配0.00万元，年末结转和结余1.70万元。</w:t>
      </w:r>
    </w:p>
    <w:p w14:paraId="4599187E">
      <w:pPr>
        <w:spacing w:line="580" w:lineRule="exact"/>
        <w:ind w:firstLine="640"/>
        <w:jc w:val="both"/>
      </w:pPr>
      <w:r>
        <w:rPr>
          <w:rFonts w:ascii="仿宋_GB2312" w:hAnsi="仿宋_GB2312" w:eastAsia="仿宋_GB2312"/>
          <w:b w:val="0"/>
          <w:sz w:val="32"/>
        </w:rPr>
        <w:t>收入支出总体与上年相比，增加56.82万元，增长5.69%，主要原因是：本年增加</w:t>
      </w:r>
      <w:r>
        <w:rPr>
          <w:rFonts w:hint="eastAsia" w:ascii="仿宋_GB2312" w:hAnsi="仿宋_GB2312" w:eastAsia="仿宋_GB2312"/>
          <w:b w:val="0"/>
          <w:sz w:val="32"/>
          <w:lang w:eastAsia="zh-CN"/>
        </w:rPr>
        <w:t>县委宣传部拨付</w:t>
      </w:r>
      <w:r>
        <w:rPr>
          <w:rFonts w:ascii="仿宋_GB2312" w:hAnsi="仿宋_GB2312" w:eastAsia="仿宋_GB2312"/>
          <w:b w:val="0"/>
          <w:sz w:val="32"/>
        </w:rPr>
        <w:t>越野赛活动费用于直播、租赁费、制作费；增加援疆资金用于霍城县城市宣传片项目。</w:t>
      </w:r>
    </w:p>
    <w:p w14:paraId="731F6E0C">
      <w:pPr>
        <w:spacing w:line="640" w:lineRule="exact"/>
        <w:ind w:firstLine="640"/>
        <w:jc w:val="both"/>
        <w:outlineLvl w:val="2"/>
      </w:pPr>
      <w:r>
        <w:rPr>
          <w:rFonts w:ascii="黑体" w:hAnsi="黑体" w:eastAsia="黑体"/>
          <w:sz w:val="32"/>
        </w:rPr>
        <w:t>二、收入决算情况说明</w:t>
      </w:r>
    </w:p>
    <w:p w14:paraId="73819AE1">
      <w:pPr>
        <w:spacing w:line="580" w:lineRule="exact"/>
        <w:ind w:firstLine="640"/>
        <w:jc w:val="both"/>
      </w:pPr>
      <w:r>
        <w:rPr>
          <w:rFonts w:ascii="仿宋_GB2312" w:hAnsi="仿宋_GB2312" w:eastAsia="仿宋_GB2312"/>
          <w:b/>
          <w:sz w:val="32"/>
        </w:rPr>
        <w:t>本年收入1,054.66万元，</w:t>
      </w:r>
      <w:r>
        <w:rPr>
          <w:rFonts w:ascii="仿宋_GB2312" w:hAnsi="仿宋_GB2312" w:eastAsia="仿宋_GB2312"/>
          <w:b w:val="0"/>
          <w:sz w:val="32"/>
        </w:rPr>
        <w:t>其中：财政拨款收入1,000.73万元，占94.89%；上级补助收入0.00万元，占0.00%；事业收入0.00万元，占0.00%；经营收入0.00万元，占0.00%；附属单位上缴收入0.00万元，占0.00%；其他收入53.93万元，占5.11%。</w:t>
      </w:r>
    </w:p>
    <w:p w14:paraId="19A09798">
      <w:pPr>
        <w:spacing w:line="640" w:lineRule="exact"/>
        <w:ind w:firstLine="640"/>
        <w:jc w:val="both"/>
        <w:outlineLvl w:val="2"/>
      </w:pPr>
      <w:r>
        <w:rPr>
          <w:rFonts w:ascii="黑体" w:hAnsi="黑体" w:eastAsia="黑体"/>
          <w:sz w:val="32"/>
        </w:rPr>
        <w:t>三、支出决算情况说明</w:t>
      </w:r>
    </w:p>
    <w:p w14:paraId="6D72A129">
      <w:pPr>
        <w:spacing w:line="580" w:lineRule="exact"/>
        <w:ind w:firstLine="640"/>
        <w:jc w:val="both"/>
      </w:pPr>
      <w:r>
        <w:rPr>
          <w:rFonts w:ascii="仿宋_GB2312" w:hAnsi="仿宋_GB2312" w:eastAsia="仿宋_GB2312"/>
          <w:b/>
          <w:sz w:val="32"/>
        </w:rPr>
        <w:t>本年支出1,052.96万元，</w:t>
      </w:r>
      <w:r>
        <w:rPr>
          <w:rFonts w:ascii="仿宋_GB2312" w:hAnsi="仿宋_GB2312" w:eastAsia="仿宋_GB2312"/>
          <w:b w:val="0"/>
          <w:sz w:val="32"/>
        </w:rPr>
        <w:t>其中：基本支出849.16万元，占80.65%；项目支出203.80万元，占19.35%；上缴上级支出0.00万元，占0.00%；经营支出0.00万元，占0.00%；对附属单位补助支出0.00万元，占0.00%。</w:t>
      </w:r>
    </w:p>
    <w:p w14:paraId="0FA02560">
      <w:pPr>
        <w:spacing w:line="640" w:lineRule="exact"/>
        <w:ind w:firstLine="640"/>
        <w:jc w:val="both"/>
        <w:outlineLvl w:val="2"/>
      </w:pPr>
      <w:r>
        <w:rPr>
          <w:rFonts w:ascii="黑体" w:hAnsi="黑体" w:eastAsia="黑体"/>
          <w:sz w:val="32"/>
        </w:rPr>
        <w:t>四、财政拨款收入支出决算总体情况说明</w:t>
      </w:r>
    </w:p>
    <w:p w14:paraId="637F08AA">
      <w:pPr>
        <w:spacing w:line="580" w:lineRule="exact"/>
        <w:ind w:firstLine="640"/>
        <w:jc w:val="both"/>
      </w:pPr>
      <w:r>
        <w:rPr>
          <w:rFonts w:ascii="仿宋_GB2312" w:hAnsi="仿宋_GB2312" w:eastAsia="仿宋_GB2312"/>
          <w:b/>
          <w:sz w:val="32"/>
        </w:rPr>
        <w:t>2024年度财政拨款收入总计1,000.73万元，</w:t>
      </w:r>
      <w:r>
        <w:rPr>
          <w:rFonts w:ascii="仿宋_GB2312" w:hAnsi="仿宋_GB2312" w:eastAsia="仿宋_GB2312"/>
          <w:b w:val="0"/>
          <w:sz w:val="32"/>
        </w:rPr>
        <w:t>其中：年初财政拨款结转和结余0.00万元，本年财政拨款收入1,000.73万元。</w:t>
      </w:r>
      <w:r>
        <w:rPr>
          <w:rFonts w:ascii="仿宋_GB2312" w:hAnsi="仿宋_GB2312" w:eastAsia="仿宋_GB2312"/>
          <w:b/>
          <w:sz w:val="32"/>
        </w:rPr>
        <w:t>财政拨款支出总计1,000.73万元，</w:t>
      </w:r>
      <w:r>
        <w:rPr>
          <w:rFonts w:ascii="仿宋_GB2312" w:hAnsi="仿宋_GB2312" w:eastAsia="仿宋_GB2312"/>
          <w:b w:val="0"/>
          <w:sz w:val="32"/>
        </w:rPr>
        <w:t>其中：年末财政拨款结转和结余0.00万元，本年财政拨款支出1,000.73万元。</w:t>
      </w:r>
    </w:p>
    <w:p w14:paraId="6F28DC1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增加2.89万元，增长0.29%，主要原因是：本年度自治区广播电视节目无线覆盖运行维护经费、中央补助地方公共文化服务体系建设补助资金较上年增加。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年初预算数895.01万元，决算数1,000.73万元，预决算差异率11.81%，主要原因是：年中追加临聘人员工资及中央补助地方公共文化服务体系建设补助资金，导致预决算存在差异。</w:t>
      </w:r>
    </w:p>
    <w:p w14:paraId="6DE48502">
      <w:pPr>
        <w:spacing w:line="640" w:lineRule="exact"/>
        <w:ind w:firstLine="640"/>
        <w:jc w:val="both"/>
        <w:outlineLvl w:val="2"/>
      </w:pPr>
      <w:r>
        <w:rPr>
          <w:rFonts w:ascii="黑体" w:hAnsi="黑体" w:eastAsia="黑体"/>
          <w:sz w:val="32"/>
        </w:rPr>
        <w:t>五、一般公共预算财政拨款支出决算情况说明</w:t>
      </w:r>
    </w:p>
    <w:p w14:paraId="3B67BDBE">
      <w:pPr>
        <w:spacing w:line="640" w:lineRule="exact"/>
        <w:ind w:firstLine="640"/>
        <w:jc w:val="both"/>
        <w:outlineLvl w:val="3"/>
      </w:pPr>
      <w:r>
        <w:rPr>
          <w:rFonts w:ascii="楷体_GB2312" w:hAnsi="楷体_GB2312" w:eastAsia="楷体_GB2312"/>
          <w:b/>
          <w:sz w:val="32"/>
        </w:rPr>
        <w:t>（一）一般公共预算财政拨款支出决算总体情况</w:t>
      </w:r>
    </w:p>
    <w:p w14:paraId="37EA2E99">
      <w:pPr>
        <w:spacing w:line="580" w:lineRule="exact"/>
        <w:ind w:firstLine="640"/>
        <w:jc w:val="both"/>
      </w:pPr>
      <w:r>
        <w:rPr>
          <w:rFonts w:ascii="仿宋_GB2312" w:hAnsi="仿宋_GB2312" w:eastAsia="仿宋_GB2312"/>
          <w:b/>
          <w:sz w:val="32"/>
        </w:rPr>
        <w:t>2024年度一般公共预算财政拨款支出1,000.73万元，</w:t>
      </w:r>
      <w:r>
        <w:rPr>
          <w:rFonts w:ascii="仿宋_GB2312" w:hAnsi="仿宋_GB2312" w:eastAsia="仿宋_GB2312"/>
          <w:b w:val="0"/>
          <w:sz w:val="32"/>
        </w:rPr>
        <w:t>占本年支出合计的95.04%。</w:t>
      </w:r>
      <w:r>
        <w:rPr>
          <w:rFonts w:ascii="仿宋_GB2312" w:hAnsi="仿宋_GB2312" w:eastAsia="仿宋_GB2312"/>
          <w:b/>
          <w:sz w:val="32"/>
        </w:rPr>
        <w:t>与上年相比，</w:t>
      </w:r>
      <w:r>
        <w:rPr>
          <w:rFonts w:ascii="仿宋_GB2312" w:hAnsi="仿宋_GB2312" w:eastAsia="仿宋_GB2312"/>
          <w:b w:val="0"/>
          <w:sz w:val="32"/>
        </w:rPr>
        <w:t>增加2.89万元，增长0.29%，主要原因是：本年度自治区广播电视节目无线覆盖运行维护经费、中央补助地方公共文化服务体系建设补助资金较上年增加。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年初预算数895.01万元，决算数1,000.73万元，预决算差异率11.81%，主要原因是：年中追加临聘人员工资及中央补助地方公共文化服务体系建设补助资金，导致预决算存在差异。</w:t>
      </w:r>
    </w:p>
    <w:p w14:paraId="5AF187DC">
      <w:pPr>
        <w:spacing w:line="640" w:lineRule="exact"/>
        <w:ind w:firstLine="640"/>
        <w:jc w:val="both"/>
        <w:outlineLvl w:val="3"/>
      </w:pPr>
      <w:r>
        <w:rPr>
          <w:rFonts w:ascii="楷体_GB2312" w:hAnsi="楷体_GB2312" w:eastAsia="楷体_GB2312"/>
          <w:b/>
          <w:sz w:val="32"/>
        </w:rPr>
        <w:t>（二）一般公共预算财政拨款支出决算结构情况</w:t>
      </w:r>
    </w:p>
    <w:p w14:paraId="1992D32E">
      <w:pPr>
        <w:spacing w:line="580" w:lineRule="exact"/>
        <w:ind w:firstLine="640"/>
        <w:jc w:val="both"/>
      </w:pPr>
      <w:r>
        <w:rPr>
          <w:rFonts w:ascii="仿宋_GB2312" w:hAnsi="仿宋_GB2312" w:eastAsia="仿宋_GB2312"/>
          <w:b w:val="0"/>
          <w:sz w:val="32"/>
        </w:rPr>
        <w:t>1.文化旅游体育与传媒支出(类)781.52万元,占78.09%。</w:t>
      </w:r>
    </w:p>
    <w:p w14:paraId="481BB26F">
      <w:pPr>
        <w:spacing w:line="580" w:lineRule="exact"/>
        <w:ind w:firstLine="640"/>
        <w:jc w:val="both"/>
      </w:pPr>
      <w:r>
        <w:rPr>
          <w:rFonts w:ascii="仿宋_GB2312" w:hAnsi="仿宋_GB2312" w:eastAsia="仿宋_GB2312"/>
          <w:b w:val="0"/>
          <w:sz w:val="32"/>
        </w:rPr>
        <w:t>2.社会保障和就业支出(类)109.95万元,占10.99%。</w:t>
      </w:r>
    </w:p>
    <w:p w14:paraId="780D09E9">
      <w:pPr>
        <w:spacing w:line="580" w:lineRule="exact"/>
        <w:ind w:firstLine="640"/>
        <w:jc w:val="both"/>
      </w:pPr>
      <w:r>
        <w:rPr>
          <w:rFonts w:ascii="仿宋_GB2312" w:hAnsi="仿宋_GB2312" w:eastAsia="仿宋_GB2312"/>
          <w:b w:val="0"/>
          <w:sz w:val="32"/>
        </w:rPr>
        <w:t>3.卫生健康支出(类)41.75万元,占4.17%。</w:t>
      </w:r>
    </w:p>
    <w:p w14:paraId="483A2063">
      <w:pPr>
        <w:spacing w:line="580" w:lineRule="exact"/>
        <w:ind w:firstLine="640"/>
        <w:jc w:val="both"/>
      </w:pPr>
      <w:r>
        <w:rPr>
          <w:rFonts w:ascii="仿宋_GB2312" w:hAnsi="仿宋_GB2312" w:eastAsia="仿宋_GB2312"/>
          <w:b w:val="0"/>
          <w:sz w:val="32"/>
        </w:rPr>
        <w:t>4.住房保障支出(类)67.52万元,占6.75%。</w:t>
      </w:r>
    </w:p>
    <w:p w14:paraId="55553158">
      <w:pPr>
        <w:spacing w:line="640" w:lineRule="exact"/>
        <w:ind w:firstLine="640"/>
        <w:jc w:val="both"/>
        <w:outlineLvl w:val="3"/>
      </w:pPr>
      <w:r>
        <w:rPr>
          <w:rFonts w:ascii="楷体_GB2312" w:hAnsi="楷体_GB2312" w:eastAsia="楷体_GB2312"/>
          <w:b/>
          <w:sz w:val="32"/>
        </w:rPr>
        <w:t>（三）一般公共预算财政拨款支出决算具体情况</w:t>
      </w:r>
    </w:p>
    <w:p w14:paraId="40054498">
      <w:pPr>
        <w:spacing w:line="580" w:lineRule="exact"/>
        <w:ind w:firstLine="640"/>
        <w:jc w:val="both"/>
      </w:pPr>
      <w:r>
        <w:rPr>
          <w:rFonts w:ascii="仿宋_GB2312" w:hAnsi="仿宋_GB2312" w:eastAsia="仿宋_GB2312"/>
          <w:b w:val="0"/>
          <w:sz w:val="32"/>
        </w:rPr>
        <w:t>1.文化旅游体育与传媒支出(类)新闻出版电影(款)新闻通讯(项):支出决算数为707.11万元，比上年决算减少13.76万元，下降1.91%,主要原因是：本年在职人员减少，人员经费减少。</w:t>
      </w:r>
    </w:p>
    <w:p w14:paraId="024B813F">
      <w:pPr>
        <w:spacing w:line="580" w:lineRule="exact"/>
        <w:ind w:firstLine="640"/>
        <w:jc w:val="both"/>
      </w:pPr>
      <w:r>
        <w:rPr>
          <w:rFonts w:ascii="仿宋_GB2312" w:hAnsi="仿宋_GB2312" w:eastAsia="仿宋_GB2312"/>
          <w:b w:val="0"/>
          <w:sz w:val="32"/>
        </w:rPr>
        <w:t>2.文化旅游体育与传媒支出(类)广播电视(款)其他广播电视支出(项):支出决算数为22.00万元，比上年决算增加1.56万元，增长7.63%,主要原因是：本年度自治区广播电视节目无线覆盖运行维护经费较上年增加。</w:t>
      </w:r>
    </w:p>
    <w:p w14:paraId="7AAEDE36">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52.41万元，比上年决算增加9.84万元，增长23.11%,主要原因是：本年度中央补助地方公共文化服务体系建设补助资金较上年增加。</w:t>
      </w:r>
    </w:p>
    <w:p w14:paraId="5B190068">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4.社会保障和就业支出(类)行政事业单位养老支出(款)事业单位离退休(项):支出决算数为26.46万元，比上年决算增加19.10万元，增长259.51%,主要原因是：本年增加退休人员基础绩效奖，退休费支出增加。</w:t>
      </w:r>
    </w:p>
    <w:p w14:paraId="0E34B6AC">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83.49万元，比上年决算增加5.26万元，增长6.72%,主要原因是：本年在职人员工资基数调增，养老缴费基数上涨，相应支出增加。</w:t>
      </w:r>
    </w:p>
    <w:p w14:paraId="4E4CCC74">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6.54万元，下降100.00%,主要原因是：本年无新增退休人员，职业年金缴费较上年减少。</w:t>
      </w:r>
    </w:p>
    <w:p w14:paraId="0E125DF0">
      <w:pPr>
        <w:spacing w:line="580" w:lineRule="exact"/>
        <w:ind w:firstLine="640"/>
        <w:jc w:val="both"/>
      </w:pPr>
      <w:r>
        <w:rPr>
          <w:rFonts w:ascii="仿宋_GB2312" w:hAnsi="仿宋_GB2312" w:eastAsia="仿宋_GB2312"/>
          <w:b w:val="0"/>
          <w:sz w:val="32"/>
        </w:rPr>
        <w:t>7.卫生健康支出(类)行政事业单位医疗(款)事业单位医疗(项):支出决算数为41.75万元，比上年决算减少16.04万元，下降27.76%,主要原因是：本年在职人员减少，事业单位医疗支出较上年减少。</w:t>
      </w:r>
    </w:p>
    <w:p w14:paraId="189CF729">
      <w:pPr>
        <w:spacing w:line="580" w:lineRule="exact"/>
        <w:ind w:firstLine="640"/>
        <w:jc w:val="both"/>
      </w:pPr>
      <w:r>
        <w:rPr>
          <w:rFonts w:ascii="仿宋_GB2312" w:hAnsi="仿宋_GB2312" w:eastAsia="仿宋_GB2312"/>
          <w:b w:val="0"/>
          <w:sz w:val="32"/>
        </w:rPr>
        <w:t>8.住房保障支出(类)住房改革支出(款)住房公积金(项):支出决算数为67.52万元，比上年决算增加3.49万元，增长5.45%,主要原因是：本年在职人员工资基数调增，公积金缴费基数上涨，相应支出增加。</w:t>
      </w:r>
    </w:p>
    <w:p w14:paraId="3664D644">
      <w:pPr>
        <w:spacing w:line="640" w:lineRule="exact"/>
        <w:ind w:firstLine="640"/>
        <w:jc w:val="both"/>
        <w:outlineLvl w:val="2"/>
      </w:pPr>
      <w:r>
        <w:rPr>
          <w:rFonts w:ascii="黑体" w:hAnsi="黑体" w:eastAsia="黑体"/>
          <w:sz w:val="32"/>
        </w:rPr>
        <w:t>六、一般公共预算财政拨款基本支出决算情况说明</w:t>
      </w:r>
    </w:p>
    <w:p w14:paraId="3F705365">
      <w:pPr>
        <w:spacing w:line="580" w:lineRule="exact"/>
        <w:ind w:firstLine="640"/>
        <w:jc w:val="both"/>
      </w:pPr>
      <w:r>
        <w:rPr>
          <w:rFonts w:ascii="仿宋_GB2312" w:hAnsi="仿宋_GB2312" w:eastAsia="仿宋_GB2312"/>
          <w:b w:val="0"/>
          <w:sz w:val="32"/>
        </w:rPr>
        <w:t>2024年度一般公共预算财政拨款基本支出834.43万元，其中：</w:t>
      </w:r>
      <w:r>
        <w:rPr>
          <w:rFonts w:ascii="仿宋_GB2312" w:hAnsi="仿宋_GB2312" w:eastAsia="仿宋_GB2312"/>
          <w:b/>
          <w:sz w:val="32"/>
        </w:rPr>
        <w:t>人员经费814.09万元，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14:paraId="7736C39F">
      <w:pPr>
        <w:spacing w:line="580" w:lineRule="exact"/>
        <w:ind w:firstLine="640"/>
        <w:jc w:val="both"/>
      </w:pPr>
      <w:r>
        <w:rPr>
          <w:rFonts w:ascii="仿宋_GB2312" w:hAnsi="仿宋_GB2312" w:eastAsia="仿宋_GB2312"/>
          <w:b/>
          <w:sz w:val="32"/>
        </w:rPr>
        <w:t>公用经费20.34万元，</w:t>
      </w:r>
      <w:r>
        <w:rPr>
          <w:rFonts w:ascii="仿宋_GB2312" w:hAnsi="仿宋_GB2312" w:eastAsia="仿宋_GB2312"/>
          <w:b w:val="0"/>
          <w:sz w:val="32"/>
        </w:rPr>
        <w:t>包括：办公费、水费、电费、邮电费、取暖费、租赁费、培训费、劳务费、工会经费、福利费、公务用车运行维护费。</w:t>
      </w:r>
    </w:p>
    <w:p w14:paraId="63D70B15">
      <w:pPr>
        <w:spacing w:line="640" w:lineRule="exact"/>
        <w:ind w:firstLine="640"/>
        <w:jc w:val="both"/>
        <w:outlineLvl w:val="2"/>
      </w:pPr>
      <w:r>
        <w:rPr>
          <w:rFonts w:ascii="黑体" w:hAnsi="黑体" w:eastAsia="黑体"/>
          <w:sz w:val="32"/>
        </w:rPr>
        <w:t>七、政府性基金预算财政拨款收入支出决算情况说明</w:t>
      </w:r>
    </w:p>
    <w:p w14:paraId="4F2922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ACB4A57">
      <w:pPr>
        <w:spacing w:line="640" w:lineRule="exact"/>
        <w:ind w:firstLine="640"/>
        <w:jc w:val="both"/>
        <w:outlineLvl w:val="2"/>
      </w:pPr>
      <w:r>
        <w:rPr>
          <w:rFonts w:ascii="黑体" w:hAnsi="黑体" w:eastAsia="黑体"/>
          <w:sz w:val="32"/>
        </w:rPr>
        <w:t>八、国有资本经营预算财政拨款收入支出决算情况说明</w:t>
      </w:r>
    </w:p>
    <w:p w14:paraId="75380E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AE5C742">
      <w:pPr>
        <w:spacing w:line="640" w:lineRule="exact"/>
        <w:ind w:firstLine="640"/>
        <w:jc w:val="both"/>
        <w:outlineLvl w:val="2"/>
      </w:pPr>
      <w:r>
        <w:rPr>
          <w:rFonts w:ascii="黑体" w:hAnsi="黑体" w:eastAsia="黑体"/>
          <w:sz w:val="32"/>
        </w:rPr>
        <w:t>九、财政拨款“三公”经费支出决算情况说明</w:t>
      </w:r>
    </w:p>
    <w:p w14:paraId="7DFA9F41">
      <w:pPr>
        <w:spacing w:line="580" w:lineRule="exact"/>
        <w:ind w:firstLine="640"/>
        <w:jc w:val="both"/>
      </w:pPr>
      <w:r>
        <w:rPr>
          <w:rFonts w:ascii="仿宋_GB2312" w:hAnsi="仿宋_GB2312" w:eastAsia="仿宋_GB2312"/>
          <w:b/>
          <w:sz w:val="32"/>
        </w:rPr>
        <w:t>2024年度财政拨款“三公”经费支出3.20万元，</w:t>
      </w:r>
      <w:r>
        <w:rPr>
          <w:rFonts w:ascii="仿宋_GB2312" w:hAnsi="仿宋_GB2312" w:eastAsia="仿宋_GB2312"/>
          <w:b w:val="0"/>
          <w:sz w:val="32"/>
        </w:rPr>
        <w:t>比上年增加1.20万元，增长60.00%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3.20万元，占100.00%，比上年增加1.20万元，增长60.00%，主要原因是：本年因采访任务频繁，用车次数增加，燃油费增加，导致公务用车运行维护费较上年增加。公务接待费支出0.00万元，占0.00%，比上年增加0.00万元，增长0.00%，主要原因是：2023年与2024年均未安排公务接待费支出。</w:t>
      </w:r>
    </w:p>
    <w:p w14:paraId="21262FB1">
      <w:pPr>
        <w:spacing w:line="580" w:lineRule="exact"/>
        <w:ind w:firstLine="640"/>
        <w:jc w:val="both"/>
      </w:pPr>
      <w:r>
        <w:rPr>
          <w:rFonts w:ascii="仿宋_GB2312" w:hAnsi="仿宋_GB2312" w:eastAsia="仿宋_GB2312"/>
          <w:b/>
          <w:sz w:val="32"/>
        </w:rPr>
        <w:t>具体情况如下：</w:t>
      </w:r>
    </w:p>
    <w:p w14:paraId="0BABA5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24E529">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25C6C36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2F17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3.20万元，决算数3.20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3.20万元，决算数3.20万元，预决算差异率0.00%，主要原因是：严格按照预算执行，预决算无差异。公务接待费全年预算数0.00万元，决算数0.00万元，预决算差异率0.00%，主要原因是：本单位无公务接待费。</w:t>
      </w:r>
    </w:p>
    <w:p w14:paraId="7A1FDE9C">
      <w:pPr>
        <w:spacing w:line="640" w:lineRule="exact"/>
        <w:ind w:firstLine="640"/>
        <w:jc w:val="both"/>
        <w:outlineLvl w:val="2"/>
      </w:pPr>
      <w:r>
        <w:rPr>
          <w:rFonts w:ascii="黑体" w:hAnsi="黑体" w:eastAsia="黑体"/>
          <w:sz w:val="32"/>
        </w:rPr>
        <w:t>十、其他重要事项的情况说明</w:t>
      </w:r>
    </w:p>
    <w:p w14:paraId="192B8114">
      <w:pPr>
        <w:spacing w:line="640" w:lineRule="exact"/>
        <w:ind w:firstLine="640"/>
        <w:jc w:val="both"/>
        <w:outlineLvl w:val="3"/>
      </w:pPr>
      <w:r>
        <w:rPr>
          <w:rFonts w:ascii="楷体_GB2312" w:hAnsi="楷体_GB2312" w:eastAsia="楷体_GB2312"/>
          <w:b/>
          <w:sz w:val="32"/>
        </w:rPr>
        <w:t>（一）机关运行经费及公用经费支出情况</w:t>
      </w:r>
    </w:p>
    <w:p w14:paraId="465AF1B4">
      <w:pPr>
        <w:spacing w:line="580" w:lineRule="exact"/>
        <w:ind w:firstLine="640"/>
        <w:jc w:val="both"/>
      </w:pPr>
      <w:r>
        <w:rPr>
          <w:rFonts w:ascii="仿宋_GB2312" w:hAnsi="仿宋_GB2312" w:eastAsia="仿宋_GB2312"/>
          <w:b w:val="0"/>
          <w:sz w:val="32"/>
        </w:rPr>
        <w:t>2024年度霍城县融媒体中心（事业单位）公用经费支出20.34万元，比上年增加4.32万元，增长26.97%，主要原因是：本年更新、维护补充办公用品，导致公用经费较上年增加。</w:t>
      </w:r>
    </w:p>
    <w:p w14:paraId="79281787">
      <w:pPr>
        <w:spacing w:line="640" w:lineRule="exact"/>
        <w:ind w:firstLine="640"/>
        <w:jc w:val="both"/>
        <w:outlineLvl w:val="3"/>
      </w:pPr>
      <w:r>
        <w:rPr>
          <w:rFonts w:ascii="楷体_GB2312" w:hAnsi="楷体_GB2312" w:eastAsia="楷体_GB2312"/>
          <w:b/>
          <w:sz w:val="32"/>
        </w:rPr>
        <w:t>（二）政府采购情况</w:t>
      </w:r>
    </w:p>
    <w:p w14:paraId="5E189334">
      <w:pPr>
        <w:spacing w:line="580" w:lineRule="exact"/>
        <w:ind w:firstLine="640"/>
        <w:jc w:val="both"/>
      </w:pPr>
      <w:r>
        <w:rPr>
          <w:rFonts w:ascii="仿宋_GB2312" w:hAnsi="仿宋_GB2312" w:eastAsia="仿宋_GB2312"/>
          <w:b w:val="0"/>
          <w:sz w:val="32"/>
        </w:rPr>
        <w:t>2024年度政府采购支出总额1.84万元，其中：政府采购货物支出1.84万元、政府采购工程支出0.00万元、政府采购服务支出0.00万元。</w:t>
      </w:r>
    </w:p>
    <w:p w14:paraId="0ED6646B">
      <w:pPr>
        <w:spacing w:line="580" w:lineRule="exact"/>
        <w:ind w:firstLine="640"/>
        <w:jc w:val="both"/>
      </w:pPr>
      <w:r>
        <w:rPr>
          <w:rFonts w:ascii="仿宋_GB2312" w:hAnsi="仿宋_GB2312" w:eastAsia="仿宋_GB2312"/>
          <w:b w:val="0"/>
          <w:sz w:val="32"/>
        </w:rPr>
        <w:t>授予中小企业合同金额1.84万元，占政府采购支出总额的100.00%，其中：授予小微企业合同金额1.84万元，占政府采购支出总额的100.00%。</w:t>
      </w:r>
    </w:p>
    <w:p w14:paraId="7A30CCA3">
      <w:pPr>
        <w:spacing w:line="640" w:lineRule="exact"/>
        <w:ind w:firstLine="640"/>
        <w:jc w:val="both"/>
        <w:outlineLvl w:val="3"/>
      </w:pPr>
      <w:r>
        <w:rPr>
          <w:rFonts w:ascii="楷体_GB2312" w:hAnsi="楷体_GB2312" w:eastAsia="楷体_GB2312"/>
          <w:b/>
          <w:sz w:val="32"/>
        </w:rPr>
        <w:t>（三）国有资产占用情况说明</w:t>
      </w:r>
    </w:p>
    <w:p w14:paraId="2A29F117">
      <w:pPr>
        <w:spacing w:line="580" w:lineRule="exact"/>
        <w:ind w:firstLine="640"/>
        <w:jc w:val="both"/>
      </w:pPr>
      <w:r>
        <w:rPr>
          <w:rFonts w:ascii="仿宋_GB2312" w:hAnsi="仿宋_GB2312" w:eastAsia="仿宋_GB2312"/>
          <w:b w:val="0"/>
          <w:sz w:val="32"/>
        </w:rPr>
        <w:t>截至2024年12月31日，房屋12,943.86平方米，价值1,357.33万元。车辆4辆，价值68.36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4台（套）。</w:t>
      </w:r>
    </w:p>
    <w:p w14:paraId="10AD2405">
      <w:pPr>
        <w:spacing w:line="640" w:lineRule="exact"/>
        <w:ind w:firstLine="640"/>
        <w:jc w:val="both"/>
        <w:outlineLvl w:val="2"/>
      </w:pPr>
      <w:r>
        <w:rPr>
          <w:rFonts w:ascii="黑体" w:hAnsi="黑体" w:eastAsia="黑体"/>
          <w:sz w:val="32"/>
        </w:rPr>
        <w:t>十一、预算绩效的情况说明</w:t>
      </w:r>
    </w:p>
    <w:p w14:paraId="4B31CE5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1,054.65万元，实际执行总额1,052.95万元；预算绩效评价项目3个，全年预算数80.41万元，全年执行数80.41万元。预算绩效管理取得的成效：一是购置补充其他广播电视发射设施设备，实现各发射机台站按规定完整转播好中央、自治区电视节目，无线覆盖免费收听中央、自治区广播，做到“满功率、满调幅度、满时间”安全播出有序进行；二是切实保障城乡居民听好广播、看好电视的重要举措，是通过项目的实施可进一步巩固中央、自治区广播电视节目无线覆盖成果，进一步提升广播电视公共服务水平和质量。发现的问题及原因：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进一步完善项目评价过程中有关数据和资料的收集、整理、审核及分析。项目启动时同步做好档案的归纳与整理，及时整理、收集、汇总，健全档案资料。项目后续管理有待进一步加强和跟踪。具体附整体支出绩效自评表，项目支出绩效自评表和评价报告。</w:t>
      </w:r>
    </w:p>
    <w:p w14:paraId="38B7809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4DBEB4">
        <w:tblPrEx>
          <w:tblCellMar>
            <w:top w:w="0" w:type="dxa"/>
            <w:left w:w="108" w:type="dxa"/>
            <w:bottom w:w="0" w:type="dxa"/>
            <w:right w:w="108" w:type="dxa"/>
          </w:tblCellMar>
        </w:tblPrEx>
        <w:tc>
          <w:tcPr>
            <w:tcW w:w="8840" w:type="dxa"/>
            <w:gridSpan w:val="8"/>
            <w:vAlign w:val="center"/>
          </w:tcPr>
          <w:p w14:paraId="6D8E97AC">
            <w:pPr>
              <w:jc w:val="center"/>
            </w:pPr>
            <w:r>
              <w:rPr>
                <w:rFonts w:ascii="宋体" w:hAnsi="宋体" w:eastAsia="宋体"/>
                <w:sz w:val="24"/>
              </w:rPr>
              <w:t>单位整体支出绩效自评表</w:t>
            </w:r>
          </w:p>
        </w:tc>
      </w:tr>
      <w:tr w14:paraId="0A906C74">
        <w:tblPrEx>
          <w:tblCellMar>
            <w:top w:w="0" w:type="dxa"/>
            <w:left w:w="108" w:type="dxa"/>
            <w:bottom w:w="0" w:type="dxa"/>
            <w:right w:w="108" w:type="dxa"/>
          </w:tblCellMar>
        </w:tblPrEx>
        <w:tc>
          <w:tcPr>
            <w:tcW w:w="8840" w:type="dxa"/>
            <w:gridSpan w:val="8"/>
            <w:vAlign w:val="center"/>
          </w:tcPr>
          <w:p w14:paraId="2B2CBC20">
            <w:pPr>
              <w:jc w:val="center"/>
            </w:pPr>
            <w:r>
              <w:rPr>
                <w:rFonts w:ascii="宋体" w:hAnsi="宋体" w:eastAsia="宋体"/>
                <w:sz w:val="24"/>
              </w:rPr>
              <w:t>（2024年度）</w:t>
            </w:r>
          </w:p>
        </w:tc>
      </w:tr>
      <w:tr w14:paraId="4E8CFF6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E436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A3D611">
            <w:pPr>
              <w:jc w:val="center"/>
            </w:pPr>
            <w:r>
              <w:rPr>
                <w:rFonts w:ascii="宋体" w:hAnsi="宋体" w:eastAsia="宋体"/>
                <w:sz w:val="16"/>
              </w:rPr>
              <w:t>霍城县融媒体中心</w:t>
            </w:r>
          </w:p>
        </w:tc>
      </w:tr>
      <w:tr w14:paraId="6130847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F2DF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0BA6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98DD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13FA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6C05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73B4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E2B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8399">
            <w:pPr>
              <w:jc w:val="center"/>
            </w:pPr>
            <w:r>
              <w:rPr>
                <w:rFonts w:ascii="宋体" w:hAnsi="宋体" w:eastAsia="宋体"/>
                <w:sz w:val="16"/>
              </w:rPr>
              <w:t>得分</w:t>
            </w:r>
          </w:p>
        </w:tc>
      </w:tr>
      <w:tr w14:paraId="23B11E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C52A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F7A0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151E6">
            <w:pPr>
              <w:jc w:val="center"/>
            </w:pPr>
            <w:r>
              <w:rPr>
                <w:rFonts w:ascii="宋体" w:hAnsi="宋体" w:eastAsia="宋体"/>
                <w:sz w:val="16"/>
              </w:rPr>
              <w:t>895.01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21D72">
            <w:pPr>
              <w:jc w:val="center"/>
            </w:pPr>
            <w:r>
              <w:rPr>
                <w:rFonts w:ascii="宋体" w:hAnsi="宋体" w:eastAsia="宋体"/>
                <w:sz w:val="16"/>
              </w:rPr>
              <w:t>1,054.65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1F0B4">
            <w:pPr>
              <w:jc w:val="center"/>
            </w:pPr>
            <w:r>
              <w:rPr>
                <w:rFonts w:ascii="宋体" w:hAnsi="宋体" w:eastAsia="宋体"/>
                <w:sz w:val="16"/>
              </w:rPr>
              <w:t>1,052.95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3FA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2EA99">
            <w:pPr>
              <w:jc w:val="center"/>
            </w:pPr>
            <w:r>
              <w:rPr>
                <w:rFonts w:ascii="宋体" w:hAnsi="宋体" w:eastAsia="宋体"/>
                <w:sz w:val="16"/>
              </w:rPr>
              <w:t>99.84%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C8349">
            <w:pPr>
              <w:jc w:val="center"/>
            </w:pPr>
            <w:r>
              <w:rPr>
                <w:rFonts w:ascii="宋体" w:hAnsi="宋体" w:eastAsia="宋体"/>
                <w:sz w:val="16"/>
              </w:rPr>
              <w:t>9.98</w:t>
            </w:r>
          </w:p>
        </w:tc>
      </w:tr>
      <w:tr w14:paraId="65EBEC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C772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E827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048D5">
            <w:pPr>
              <w:jc w:val="center"/>
            </w:pPr>
            <w:r>
              <w:rPr>
                <w:rFonts w:ascii="宋体" w:hAnsi="宋体" w:eastAsia="宋体"/>
                <w:sz w:val="16"/>
              </w:rPr>
              <w:t>70.70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D5ECA">
            <w:pPr>
              <w:jc w:val="center"/>
            </w:pPr>
            <w:r>
              <w:rPr>
                <w:rFonts w:ascii="宋体" w:hAnsi="宋体" w:eastAsia="宋体"/>
                <w:sz w:val="16"/>
              </w:rPr>
              <w:t>70.41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4F7B6">
            <w:pPr>
              <w:jc w:val="center"/>
            </w:pPr>
            <w:r>
              <w:rPr>
                <w:rFonts w:ascii="宋体" w:hAnsi="宋体" w:eastAsia="宋体"/>
                <w:sz w:val="16"/>
              </w:rPr>
              <w:t>70.41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AF8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E5A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9AC1F">
            <w:pPr>
              <w:jc w:val="center"/>
            </w:pPr>
            <w:r>
              <w:rPr>
                <w:rFonts w:ascii="宋体" w:hAnsi="宋体" w:eastAsia="宋体"/>
                <w:sz w:val="16"/>
              </w:rPr>
              <w:t>-</w:t>
            </w:r>
          </w:p>
        </w:tc>
      </w:tr>
      <w:tr w14:paraId="5A9E13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E144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3BB3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E86BE">
            <w:pPr>
              <w:jc w:val="center"/>
            </w:pPr>
            <w:r>
              <w:rPr>
                <w:rFonts w:ascii="宋体" w:hAnsi="宋体" w:eastAsia="宋体"/>
                <w:sz w:val="16"/>
              </w:rPr>
              <w:t>824.31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5DBAF">
            <w:pPr>
              <w:jc w:val="center"/>
            </w:pPr>
            <w:r>
              <w:rPr>
                <w:rFonts w:ascii="宋体" w:hAnsi="宋体" w:eastAsia="宋体"/>
                <w:sz w:val="16"/>
              </w:rPr>
              <w:t>930.32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D1494">
            <w:pPr>
              <w:jc w:val="center"/>
            </w:pPr>
            <w:r>
              <w:rPr>
                <w:rFonts w:ascii="宋体" w:hAnsi="宋体" w:eastAsia="宋体"/>
                <w:sz w:val="16"/>
              </w:rPr>
              <w:t>928.62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A8D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0C0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1BD69">
            <w:pPr>
              <w:jc w:val="center"/>
            </w:pPr>
            <w:r>
              <w:rPr>
                <w:rFonts w:ascii="宋体" w:hAnsi="宋体" w:eastAsia="宋体"/>
                <w:sz w:val="16"/>
              </w:rPr>
              <w:t>-</w:t>
            </w:r>
          </w:p>
        </w:tc>
      </w:tr>
      <w:tr w14:paraId="63067C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46A2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6B71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05C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3A1BF">
            <w:pPr>
              <w:jc w:val="center"/>
            </w:pPr>
            <w:r>
              <w:rPr>
                <w:rFonts w:ascii="宋体" w:hAnsi="宋体" w:eastAsia="宋体"/>
                <w:sz w:val="16"/>
              </w:rPr>
              <w:t>53.92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416EE">
            <w:pPr>
              <w:jc w:val="center"/>
            </w:pPr>
            <w:r>
              <w:rPr>
                <w:rFonts w:ascii="宋体" w:hAnsi="宋体" w:eastAsia="宋体"/>
                <w:sz w:val="16"/>
              </w:rPr>
              <w:t>53.92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E4C4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05A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D8E9D">
            <w:pPr>
              <w:jc w:val="center"/>
            </w:pPr>
            <w:r>
              <w:rPr>
                <w:rFonts w:ascii="宋体" w:hAnsi="宋体" w:eastAsia="宋体"/>
                <w:sz w:val="16"/>
              </w:rPr>
              <w:t>-</w:t>
            </w:r>
          </w:p>
        </w:tc>
      </w:tr>
      <w:tr w14:paraId="75983B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78A2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09425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9537FD">
            <w:pPr>
              <w:jc w:val="center"/>
            </w:pPr>
            <w:r>
              <w:rPr>
                <w:rFonts w:ascii="宋体" w:hAnsi="宋体" w:eastAsia="宋体"/>
                <w:sz w:val="16"/>
              </w:rPr>
              <w:t>实际完成情况</w:t>
            </w:r>
          </w:p>
        </w:tc>
      </w:tr>
      <w:tr w14:paraId="6B77C9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2D8DE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B6F42">
            <w:pPr>
              <w:jc w:val="both"/>
            </w:pPr>
            <w:r>
              <w:rPr>
                <w:rFonts w:ascii="宋体" w:hAnsi="宋体" w:eastAsia="宋体"/>
                <w:sz w:val="16"/>
              </w:rPr>
              <w:t>霍城县融媒体中心持续贯彻执行党和国家新闻宣传、广播、电视管理方针政策和法律法规；负责广播电视及新媒体建设、管理、维护；推动多种媒体深度融合，提升融媒产品质量，提升霍城县宣传发布水平和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根据广播电视领域事业规划和发展，提升广播电视行业管理服务能力和治理能力，推动广播电视公共服务提质增效。</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36D9F6">
            <w:pPr>
              <w:jc w:val="both"/>
            </w:pPr>
            <w:r>
              <w:rPr>
                <w:rFonts w:ascii="宋体" w:hAnsi="宋体" w:eastAsia="宋体"/>
                <w:sz w:val="16"/>
              </w:rPr>
              <w:t>本单位严格落实自治区、自治州党委、政府关于媒体融合发展总体要求，结合本地实际，在保障在职、聘用人员基本工资及单位运转的基础上，重点开展上级安排项目，及时支配下达资金确保发射机运转正常，实现本县发射台按规定完整转播好中央、自治区节目，保证中央、自治区数字广播及电视“满功率、满调幅度、满时间”安全播出。</w:t>
            </w:r>
          </w:p>
        </w:tc>
      </w:tr>
      <w:tr w14:paraId="2B6AA76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5AC6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3C62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59FE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F4CD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B9AD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3E7D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4099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C506F">
            <w:pPr>
              <w:jc w:val="center"/>
            </w:pPr>
            <w:r>
              <w:rPr>
                <w:rFonts w:ascii="宋体" w:hAnsi="宋体" w:eastAsia="宋体"/>
                <w:sz w:val="16"/>
              </w:rPr>
              <w:t>得分</w:t>
            </w:r>
          </w:p>
        </w:tc>
      </w:tr>
      <w:tr w14:paraId="7C3D397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F9CB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DAAA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47C6D">
            <w:pPr>
              <w:jc w:val="center"/>
            </w:pPr>
            <w:r>
              <w:rPr>
                <w:rFonts w:ascii="宋体" w:hAnsi="宋体" w:eastAsia="宋体"/>
                <w:sz w:val="16"/>
              </w:rPr>
              <w:t>组织创作、编辑弘扬中华优秀传统文化，民俗文化的产品和节目稿件数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66DDF">
            <w:pPr>
              <w:jc w:val="center"/>
            </w:pPr>
            <w:r>
              <w:rPr>
                <w:rFonts w:ascii="宋体" w:hAnsi="宋体" w:eastAsia="宋体"/>
                <w:sz w:val="16"/>
              </w:rPr>
              <w:t>=30条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1DF76">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5E829">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55794">
            <w:pPr>
              <w:jc w:val="center"/>
            </w:pPr>
            <w:r>
              <w:rPr>
                <w:rFonts w:ascii="宋体" w:hAnsi="宋体" w:eastAsia="宋体"/>
                <w:sz w:val="16"/>
              </w:rPr>
              <w:t>96条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29585">
            <w:pPr>
              <w:jc w:val="center"/>
            </w:pPr>
            <w:r>
              <w:rPr>
                <w:rFonts w:ascii="宋体" w:hAnsi="宋体" w:eastAsia="宋体"/>
                <w:sz w:val="16"/>
              </w:rPr>
              <w:t>25</w:t>
            </w:r>
          </w:p>
        </w:tc>
      </w:tr>
      <w:tr w14:paraId="5FBC53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7446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2498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68FC9">
            <w:pPr>
              <w:jc w:val="center"/>
            </w:pPr>
            <w:r>
              <w:rPr>
                <w:rFonts w:ascii="宋体" w:hAnsi="宋体" w:eastAsia="宋体"/>
                <w:sz w:val="16"/>
              </w:rPr>
              <w:t>广播电视播出自制、译制节目数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EB91F">
            <w:pPr>
              <w:jc w:val="center"/>
            </w:pPr>
            <w:r>
              <w:rPr>
                <w:rFonts w:ascii="宋体" w:hAnsi="宋体" w:eastAsia="宋体"/>
                <w:sz w:val="16"/>
              </w:rPr>
              <w:t>&gt;=180条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8DAEA">
            <w:pPr>
              <w:jc w:val="center"/>
            </w:pPr>
            <w:r>
              <w:rPr>
                <w:rFonts w:ascii="宋体" w:hAnsi="宋体" w:eastAsia="宋体"/>
                <w:sz w:val="16"/>
              </w:rPr>
              <w:t>霍城县融媒体中心2023年工作总结及2024年计划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B73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3C5EE">
            <w:pPr>
              <w:jc w:val="center"/>
            </w:pPr>
            <w:r>
              <w:rPr>
                <w:rFonts w:ascii="宋体" w:hAnsi="宋体" w:eastAsia="宋体"/>
                <w:sz w:val="16"/>
              </w:rPr>
              <w:t>1075条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2B99E">
            <w:pPr>
              <w:jc w:val="center"/>
            </w:pPr>
            <w:r>
              <w:rPr>
                <w:rFonts w:ascii="宋体" w:hAnsi="宋体" w:eastAsia="宋体"/>
                <w:sz w:val="16"/>
              </w:rPr>
              <w:t>15</w:t>
            </w:r>
          </w:p>
        </w:tc>
      </w:tr>
      <w:tr w14:paraId="590B26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616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B4FB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A389E">
            <w:pPr>
              <w:jc w:val="center"/>
            </w:pPr>
            <w:r>
              <w:rPr>
                <w:rFonts w:ascii="宋体" w:hAnsi="宋体" w:eastAsia="宋体"/>
                <w:sz w:val="16"/>
              </w:rPr>
              <w:t>融媒体作品产出增长率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57A51">
            <w:pPr>
              <w:jc w:val="center"/>
            </w:pPr>
            <w:r>
              <w:rPr>
                <w:rFonts w:ascii="宋体" w:hAnsi="宋体" w:eastAsia="宋体"/>
                <w:sz w:val="16"/>
              </w:rPr>
              <w:t>&gt;=5%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E087A">
            <w:pPr>
              <w:jc w:val="center"/>
            </w:pPr>
            <w:r>
              <w:rPr>
                <w:rFonts w:ascii="宋体" w:hAnsi="宋体" w:eastAsia="宋体"/>
                <w:sz w:val="16"/>
              </w:rPr>
              <w:t>霍城县融媒体中心2023年工作总结及2024年计划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08FC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57860">
            <w:pPr>
              <w:jc w:val="center"/>
            </w:pPr>
            <w:r>
              <w:rPr>
                <w:rFonts w:ascii="宋体" w:hAnsi="宋体" w:eastAsia="宋体"/>
                <w:sz w:val="16"/>
              </w:rPr>
              <w:t>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636CF">
            <w:pPr>
              <w:jc w:val="center"/>
            </w:pPr>
            <w:r>
              <w:rPr>
                <w:rFonts w:ascii="宋体" w:hAnsi="宋体" w:eastAsia="宋体"/>
                <w:sz w:val="16"/>
              </w:rPr>
              <w:t>10</w:t>
            </w:r>
          </w:p>
        </w:tc>
      </w:tr>
      <w:tr w14:paraId="3B6EAF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CE7C3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54B9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D7652">
            <w:pPr>
              <w:jc w:val="center"/>
            </w:pPr>
            <w:r>
              <w:rPr>
                <w:rFonts w:ascii="宋体" w:hAnsi="宋体" w:eastAsia="宋体"/>
                <w:sz w:val="16"/>
              </w:rPr>
              <w:t>广播电视综合人口覆盖率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90CB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863AA">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9E11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F239B">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B52C8">
            <w:pPr>
              <w:jc w:val="center"/>
            </w:pPr>
            <w:r>
              <w:rPr>
                <w:rFonts w:ascii="宋体" w:hAnsi="宋体" w:eastAsia="宋体"/>
                <w:sz w:val="16"/>
              </w:rPr>
              <w:t>20</w:t>
            </w:r>
          </w:p>
        </w:tc>
      </w:tr>
      <w:tr w14:paraId="42AADE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3C16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D4A1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4CCCA">
            <w:pPr>
              <w:jc w:val="center"/>
            </w:pPr>
            <w:r>
              <w:rPr>
                <w:rFonts w:ascii="宋体" w:hAnsi="宋体" w:eastAsia="宋体"/>
                <w:sz w:val="16"/>
              </w:rPr>
              <w:t>电视节目综合人口覆盖率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BC92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62836">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D063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F9710">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46F02">
            <w:pPr>
              <w:jc w:val="center"/>
            </w:pPr>
            <w:r>
              <w:rPr>
                <w:rFonts w:ascii="宋体" w:hAnsi="宋体" w:eastAsia="宋体"/>
                <w:sz w:val="16"/>
              </w:rPr>
              <w:t>20</w:t>
            </w:r>
          </w:p>
        </w:tc>
      </w:tr>
    </w:tbl>
    <w:p w14:paraId="17C278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6914D6F4">
        <w:tblPrEx>
          <w:tblCellMar>
            <w:top w:w="0" w:type="dxa"/>
            <w:left w:w="108" w:type="dxa"/>
            <w:bottom w:w="0" w:type="dxa"/>
            <w:right w:w="108" w:type="dxa"/>
          </w:tblCellMar>
        </w:tblPrEx>
        <w:tc>
          <w:tcPr>
            <w:tcW w:w="8848" w:type="dxa"/>
            <w:gridSpan w:val="14"/>
            <w:vAlign w:val="center"/>
          </w:tcPr>
          <w:p w14:paraId="6D39A3D3">
            <w:pPr>
              <w:jc w:val="center"/>
            </w:pPr>
            <w:r>
              <w:rPr>
                <w:rFonts w:ascii="宋体" w:hAnsi="宋体" w:eastAsia="宋体"/>
                <w:sz w:val="24"/>
              </w:rPr>
              <w:t>项目支出绩效自评表</w:t>
            </w:r>
          </w:p>
        </w:tc>
      </w:tr>
      <w:tr w14:paraId="49030A7D">
        <w:tblPrEx>
          <w:tblCellMar>
            <w:top w:w="0" w:type="dxa"/>
            <w:left w:w="108" w:type="dxa"/>
            <w:bottom w:w="0" w:type="dxa"/>
            <w:right w:w="108" w:type="dxa"/>
          </w:tblCellMar>
        </w:tblPrEx>
        <w:tc>
          <w:tcPr>
            <w:tcW w:w="8848" w:type="dxa"/>
            <w:gridSpan w:val="14"/>
            <w:vAlign w:val="center"/>
          </w:tcPr>
          <w:p w14:paraId="32DF54D3">
            <w:pPr>
              <w:jc w:val="center"/>
            </w:pPr>
            <w:r>
              <w:rPr>
                <w:rFonts w:ascii="宋体" w:hAnsi="宋体" w:eastAsia="宋体"/>
                <w:sz w:val="24"/>
              </w:rPr>
              <w:t>(2024年度)</w:t>
            </w:r>
          </w:p>
        </w:tc>
      </w:tr>
      <w:tr w14:paraId="04E22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1D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B5F406">
            <w:pPr>
              <w:jc w:val="center"/>
            </w:pPr>
            <w:r>
              <w:rPr>
                <w:rFonts w:ascii="宋体" w:hAnsi="宋体" w:eastAsia="宋体"/>
                <w:sz w:val="16"/>
              </w:rPr>
              <w:t>2024年中央补助地方公共文化服务体系建设补助资金</w:t>
            </w:r>
          </w:p>
        </w:tc>
      </w:tr>
      <w:tr w14:paraId="05DFD9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16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95A0B">
            <w:pPr>
              <w:jc w:val="center"/>
            </w:pPr>
            <w:r>
              <w:rPr>
                <w:rFonts w:ascii="宋体" w:hAnsi="宋体" w:eastAsia="宋体"/>
                <w:sz w:val="16"/>
              </w:rPr>
              <w:t>霍城县融媒体中心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B2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E5EA33">
            <w:pPr>
              <w:jc w:val="center"/>
            </w:pPr>
            <w:r>
              <w:rPr>
                <w:rFonts w:ascii="宋体" w:hAnsi="宋体" w:eastAsia="宋体"/>
                <w:sz w:val="16"/>
              </w:rPr>
              <w:t>霍城县融媒体中心</w:t>
            </w:r>
          </w:p>
        </w:tc>
      </w:tr>
      <w:tr w14:paraId="5F84B5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305E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E8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E13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4A5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39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E99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EB7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9219">
            <w:pPr>
              <w:jc w:val="center"/>
            </w:pPr>
            <w:r>
              <w:rPr>
                <w:rFonts w:ascii="宋体" w:hAnsi="宋体" w:eastAsia="宋体"/>
                <w:sz w:val="16"/>
              </w:rPr>
              <w:t>得分</w:t>
            </w:r>
          </w:p>
        </w:tc>
      </w:tr>
      <w:tr w14:paraId="55F27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567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3B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DC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8351">
            <w:pPr>
              <w:jc w:val="center"/>
            </w:pPr>
            <w:r>
              <w:rPr>
                <w:rFonts w:ascii="宋体" w:hAnsi="宋体" w:eastAsia="宋体"/>
                <w:sz w:val="16"/>
              </w:rPr>
              <w:t>48.41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AC7F">
            <w:pPr>
              <w:jc w:val="center"/>
            </w:pPr>
            <w:r>
              <w:rPr>
                <w:rFonts w:ascii="宋体" w:hAnsi="宋体" w:eastAsia="宋体"/>
                <w:sz w:val="16"/>
              </w:rPr>
              <w:t>48.41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651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D2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6806">
            <w:pPr>
              <w:jc w:val="center"/>
            </w:pPr>
            <w:r>
              <w:rPr>
                <w:rFonts w:ascii="宋体" w:hAnsi="宋体" w:eastAsia="宋体"/>
                <w:sz w:val="16"/>
              </w:rPr>
              <w:t>10.00</w:t>
            </w:r>
          </w:p>
        </w:tc>
      </w:tr>
      <w:tr w14:paraId="1BBA8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7B9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D78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E68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105EB">
            <w:pPr>
              <w:jc w:val="center"/>
            </w:pPr>
            <w:r>
              <w:rPr>
                <w:rFonts w:ascii="宋体" w:hAnsi="宋体" w:eastAsia="宋体"/>
                <w:sz w:val="16"/>
              </w:rPr>
              <w:t>48.41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80A8">
            <w:pPr>
              <w:jc w:val="center"/>
            </w:pPr>
            <w:r>
              <w:rPr>
                <w:rFonts w:ascii="宋体" w:hAnsi="宋体" w:eastAsia="宋体"/>
                <w:sz w:val="16"/>
              </w:rPr>
              <w:t>48.41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71A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13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D947">
            <w:pPr>
              <w:jc w:val="center"/>
            </w:pPr>
            <w:r>
              <w:rPr>
                <w:rFonts w:ascii="宋体" w:hAnsi="宋体" w:eastAsia="宋体"/>
                <w:sz w:val="16"/>
              </w:rPr>
              <w:t>—</w:t>
            </w:r>
          </w:p>
        </w:tc>
      </w:tr>
      <w:tr w14:paraId="1DD14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5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1E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13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046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D3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AF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DA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73C9">
            <w:pPr>
              <w:jc w:val="center"/>
            </w:pPr>
            <w:r>
              <w:rPr>
                <w:rFonts w:ascii="宋体" w:hAnsi="宋体" w:eastAsia="宋体"/>
                <w:sz w:val="16"/>
              </w:rPr>
              <w:t>—</w:t>
            </w:r>
          </w:p>
        </w:tc>
      </w:tr>
      <w:tr w14:paraId="64FC5D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CD73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210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D73CB3">
            <w:pPr>
              <w:jc w:val="center"/>
            </w:pPr>
            <w:r>
              <w:rPr>
                <w:rFonts w:ascii="宋体" w:hAnsi="宋体" w:eastAsia="宋体"/>
                <w:sz w:val="16"/>
              </w:rPr>
              <w:t>实际完成情况</w:t>
            </w:r>
          </w:p>
        </w:tc>
      </w:tr>
      <w:tr w14:paraId="20328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BCB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8523A2">
            <w:pPr>
              <w:jc w:val="both"/>
            </w:pPr>
            <w:r>
              <w:rPr>
                <w:rFonts w:ascii="宋体" w:hAnsi="宋体" w:eastAsia="宋体"/>
                <w:sz w:val="16"/>
              </w:rPr>
              <w:t>目标1：中央广播电视节目无线覆盖工程是推进基本公共文化服务标准化、均等化的重要任务，是切实保障城乡居民听好广播、看好电视的重要举措，是通过项目的实施可进一步巩固中央广播电视节目无线覆盖成果，进一步提升广播电视公共服务水平和质量。目标2：实现本县发射台站按规定完整转播好中央电视节目，按照各项资金额度和绩效目标，及时分解下达资金5.71万元确保霍城县发射机运转正常，下达资金9万元保证转播中央数字广播4套节目及资金33.7万元数字电视12套节目“满功率、满调幅度、满时间”安全播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23E632">
            <w:pPr>
              <w:jc w:val="both"/>
            </w:pPr>
            <w:r>
              <w:rPr>
                <w:rFonts w:ascii="宋体" w:hAnsi="宋体" w:eastAsia="宋体"/>
                <w:sz w:val="16"/>
              </w:rPr>
              <w:t>全年完成了对广播电视发射机的检修工作，完成了在全县范围内转播中央数字广播及数字电视节目，给广大群众提供了政策宣导、突发事件通报等服务，通过纪录片、戏曲频道，弘扬了优秀的传统文化，通过少儿节目科教频道提升全民科学素养，通过主旋律电视剧和公益广告等引导社会风尚，促进了全县公共文化服务的发展。</w:t>
            </w:r>
          </w:p>
        </w:tc>
      </w:tr>
      <w:tr w14:paraId="78C59B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B6D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84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12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4E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4C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AD9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62C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1F9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A13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0E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14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AA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6CE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5456">
            <w:pPr>
              <w:jc w:val="center"/>
            </w:pPr>
            <w:r>
              <w:rPr>
                <w:rFonts w:ascii="宋体" w:hAnsi="宋体" w:eastAsia="宋体"/>
                <w:sz w:val="16"/>
              </w:rPr>
              <w:t>偏差原因分析及改进措施</w:t>
            </w:r>
          </w:p>
        </w:tc>
      </w:tr>
      <w:tr w14:paraId="5046C0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29C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7672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70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5C2F">
            <w:pPr>
              <w:jc w:val="center"/>
            </w:pPr>
            <w:r>
              <w:rPr>
                <w:rFonts w:ascii="宋体" w:hAnsi="宋体" w:eastAsia="宋体"/>
                <w:sz w:val="16"/>
              </w:rPr>
              <w:t>发射机维护数量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9EA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069C">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F636">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2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7199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0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DB57">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C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B5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5DA0">
            <w:pPr>
              <w:jc w:val="center"/>
            </w:pPr>
          </w:p>
        </w:tc>
      </w:tr>
      <w:tr w14:paraId="74272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EC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D6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B0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FFAC">
            <w:pPr>
              <w:jc w:val="center"/>
            </w:pPr>
            <w:r>
              <w:rPr>
                <w:rFonts w:ascii="宋体" w:hAnsi="宋体" w:eastAsia="宋体"/>
                <w:sz w:val="16"/>
              </w:rPr>
              <w:t>模拟发射机满功率满时间满调制度播出率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EA7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9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C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F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332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44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4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6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B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50E65">
            <w:pPr>
              <w:jc w:val="center"/>
            </w:pPr>
          </w:p>
        </w:tc>
      </w:tr>
      <w:tr w14:paraId="69ADC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01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0A4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F9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29B7">
            <w:pPr>
              <w:jc w:val="center"/>
            </w:pPr>
            <w:r>
              <w:rPr>
                <w:rFonts w:ascii="宋体" w:hAnsi="宋体" w:eastAsia="宋体"/>
                <w:sz w:val="16"/>
              </w:rPr>
              <w:t>中央模拟广播电视节目播出任务完成率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F18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F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B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00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A91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B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2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25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C1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1771">
            <w:pPr>
              <w:jc w:val="center"/>
            </w:pPr>
          </w:p>
        </w:tc>
      </w:tr>
      <w:tr w14:paraId="40C19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64E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3CE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0E4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A6E1">
            <w:pPr>
              <w:jc w:val="center"/>
            </w:pPr>
            <w:r>
              <w:rPr>
                <w:rFonts w:ascii="宋体" w:hAnsi="宋体" w:eastAsia="宋体"/>
                <w:sz w:val="16"/>
              </w:rPr>
              <w:t>调频发射机运行维护费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F8E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5A13">
            <w:pPr>
              <w:jc w:val="center"/>
            </w:pPr>
            <w:r>
              <w:rPr>
                <w:rFonts w:ascii="宋体" w:hAnsi="宋体" w:eastAsia="宋体"/>
                <w:sz w:val="16"/>
              </w:rPr>
              <w:t>&lt;=5.71万元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ED1D">
            <w:pPr>
              <w:jc w:val="center"/>
            </w:pPr>
            <w:r>
              <w:rPr>
                <w:rFonts w:ascii="宋体" w:hAnsi="宋体" w:eastAsia="宋体"/>
                <w:sz w:val="16"/>
              </w:rPr>
              <w: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7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4C8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14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AFAE">
            <w:pPr>
              <w:jc w:val="center"/>
            </w:pPr>
            <w:r>
              <w:rPr>
                <w:rFonts w:ascii="宋体" w:hAnsi="宋体" w:eastAsia="宋体"/>
                <w:sz w:val="16"/>
              </w:rPr>
              <w:t>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4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CB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04D8">
            <w:pPr>
              <w:jc w:val="center"/>
            </w:pPr>
          </w:p>
        </w:tc>
      </w:tr>
      <w:tr w14:paraId="3B748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7ED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66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A0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8861">
            <w:pPr>
              <w:jc w:val="center"/>
            </w:pPr>
            <w:r>
              <w:rPr>
                <w:rFonts w:ascii="宋体" w:hAnsi="宋体" w:eastAsia="宋体"/>
                <w:sz w:val="16"/>
              </w:rPr>
              <w:t>数字广播运行维护费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20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97D4D">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8124">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0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66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1D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2A9A">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F4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08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14EF">
            <w:pPr>
              <w:jc w:val="center"/>
            </w:pPr>
          </w:p>
        </w:tc>
      </w:tr>
      <w:tr w14:paraId="31E9F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B2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23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16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3A2C">
            <w:pPr>
              <w:jc w:val="center"/>
            </w:pPr>
            <w:r>
              <w:rPr>
                <w:rFonts w:ascii="宋体" w:hAnsi="宋体" w:eastAsia="宋体"/>
                <w:sz w:val="16"/>
              </w:rPr>
              <w:t>数字电视运行维护费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E0C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9875">
            <w:pPr>
              <w:jc w:val="center"/>
            </w:pPr>
            <w:r>
              <w:rPr>
                <w:rFonts w:ascii="宋体" w:hAnsi="宋体" w:eastAsia="宋体"/>
                <w:sz w:val="16"/>
              </w:rPr>
              <w:t>&lt;=33.7万元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A7D9">
            <w:pPr>
              <w:jc w:val="center"/>
            </w:pPr>
            <w:r>
              <w:rPr>
                <w:rFonts w:ascii="宋体" w:hAnsi="宋体" w:eastAsia="宋体"/>
                <w:sz w:val="16"/>
              </w:rPr>
              <w:t>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6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1A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7D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8A30">
            <w:pPr>
              <w:jc w:val="center"/>
            </w:pPr>
            <w:r>
              <w:rPr>
                <w:rFonts w:ascii="宋体" w:hAnsi="宋体" w:eastAsia="宋体"/>
                <w:sz w:val="16"/>
              </w:rPr>
              <w:t>30.65万元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A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2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9E95">
            <w:pPr>
              <w:jc w:val="center"/>
            </w:pPr>
          </w:p>
        </w:tc>
      </w:tr>
      <w:tr w14:paraId="37A8B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109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446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5AA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0914">
            <w:pPr>
              <w:jc w:val="center"/>
            </w:pPr>
            <w:r>
              <w:rPr>
                <w:rFonts w:ascii="宋体" w:hAnsi="宋体" w:eastAsia="宋体"/>
                <w:sz w:val="16"/>
              </w:rPr>
              <w:t>转播中央无线电视节目人口覆盖率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224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3880">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3FA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32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60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6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84A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F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97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2011">
            <w:pPr>
              <w:jc w:val="center"/>
            </w:pPr>
          </w:p>
        </w:tc>
      </w:tr>
      <w:tr w14:paraId="1DFD9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24D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F9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50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C0FF">
            <w:pPr>
              <w:jc w:val="center"/>
            </w:pPr>
            <w:r>
              <w:rPr>
                <w:rFonts w:ascii="宋体" w:hAnsi="宋体" w:eastAsia="宋体"/>
                <w:sz w:val="16"/>
              </w:rPr>
              <w:t>转播中央无线广播节目人口覆盖率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D7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73EB">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BD0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8F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A5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2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BB0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9E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40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A7F4">
            <w:pPr>
              <w:jc w:val="center"/>
            </w:pPr>
          </w:p>
        </w:tc>
      </w:tr>
      <w:tr w14:paraId="62B59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930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D8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D5A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0ABA">
            <w:pPr>
              <w:jc w:val="center"/>
            </w:pPr>
            <w:r>
              <w:rPr>
                <w:rFonts w:ascii="宋体" w:hAnsi="宋体" w:eastAsia="宋体"/>
                <w:sz w:val="16"/>
              </w:rPr>
              <w:t>环境友好无污染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8A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F7D9">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9105">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3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3F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38DD">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A5C7">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D6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05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3469">
            <w:pPr>
              <w:jc w:val="center"/>
            </w:pPr>
          </w:p>
        </w:tc>
      </w:tr>
      <w:tr w14:paraId="6594D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F0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2B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CB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875B">
            <w:pPr>
              <w:jc w:val="center"/>
            </w:pPr>
            <w:r>
              <w:rPr>
                <w:rFonts w:ascii="宋体" w:hAnsi="宋体" w:eastAsia="宋体"/>
                <w:sz w:val="16"/>
              </w:rPr>
              <w:t>收听收看广播电视节目的满意率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8D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13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9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B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90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735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62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1B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B4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48D6">
            <w:pPr>
              <w:jc w:val="center"/>
            </w:pPr>
          </w:p>
        </w:tc>
      </w:tr>
      <w:tr w14:paraId="4B8555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0281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1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F0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BA6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26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05B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9E9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00B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071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84F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9F5CE"/>
        </w:tc>
      </w:tr>
    </w:tbl>
    <w:p w14:paraId="2C2E7C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019E5B80">
        <w:tblPrEx>
          <w:tblCellMar>
            <w:top w:w="0" w:type="dxa"/>
            <w:left w:w="108" w:type="dxa"/>
            <w:bottom w:w="0" w:type="dxa"/>
            <w:right w:w="108" w:type="dxa"/>
          </w:tblCellMar>
        </w:tblPrEx>
        <w:tc>
          <w:tcPr>
            <w:tcW w:w="8848" w:type="dxa"/>
            <w:gridSpan w:val="14"/>
            <w:vAlign w:val="center"/>
          </w:tcPr>
          <w:p w14:paraId="4BF901F1">
            <w:pPr>
              <w:jc w:val="center"/>
            </w:pPr>
            <w:r>
              <w:rPr>
                <w:rFonts w:ascii="宋体" w:hAnsi="宋体" w:eastAsia="宋体"/>
                <w:sz w:val="24"/>
              </w:rPr>
              <w:t>项目支出绩效自评表</w:t>
            </w:r>
          </w:p>
        </w:tc>
      </w:tr>
      <w:tr w14:paraId="47511D54">
        <w:tblPrEx>
          <w:tblCellMar>
            <w:top w:w="0" w:type="dxa"/>
            <w:left w:w="108" w:type="dxa"/>
            <w:bottom w:w="0" w:type="dxa"/>
            <w:right w:w="108" w:type="dxa"/>
          </w:tblCellMar>
        </w:tblPrEx>
        <w:tc>
          <w:tcPr>
            <w:tcW w:w="8848" w:type="dxa"/>
            <w:gridSpan w:val="14"/>
            <w:vAlign w:val="center"/>
          </w:tcPr>
          <w:p w14:paraId="356B55D2">
            <w:pPr>
              <w:jc w:val="center"/>
            </w:pPr>
            <w:r>
              <w:rPr>
                <w:rFonts w:ascii="宋体" w:hAnsi="宋体" w:eastAsia="宋体"/>
                <w:sz w:val="24"/>
              </w:rPr>
              <w:t>(2024年度)</w:t>
            </w:r>
          </w:p>
        </w:tc>
      </w:tr>
      <w:tr w14:paraId="226DCB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1AA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D2194B">
            <w:pPr>
              <w:jc w:val="center"/>
            </w:pPr>
            <w:r>
              <w:rPr>
                <w:rFonts w:ascii="宋体" w:hAnsi="宋体" w:eastAsia="宋体"/>
                <w:sz w:val="16"/>
              </w:rPr>
              <w:t>2024年自治区广播电视节目无线覆盖运行维护项目</w:t>
            </w:r>
          </w:p>
        </w:tc>
      </w:tr>
      <w:tr w14:paraId="5D180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02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5EA27">
            <w:pPr>
              <w:jc w:val="center"/>
            </w:pPr>
            <w:r>
              <w:rPr>
                <w:rFonts w:ascii="宋体" w:hAnsi="宋体" w:eastAsia="宋体"/>
                <w:sz w:val="16"/>
              </w:rPr>
              <w:t>霍城县融媒体中心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A0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398161">
            <w:pPr>
              <w:jc w:val="center"/>
            </w:pPr>
            <w:r>
              <w:rPr>
                <w:rFonts w:ascii="宋体" w:hAnsi="宋体" w:eastAsia="宋体"/>
                <w:sz w:val="16"/>
              </w:rPr>
              <w:t>霍城县融媒体中心</w:t>
            </w:r>
          </w:p>
        </w:tc>
      </w:tr>
      <w:tr w14:paraId="64E1D4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066A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35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35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1A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EF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E1D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C8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5C20">
            <w:pPr>
              <w:jc w:val="center"/>
            </w:pPr>
            <w:r>
              <w:rPr>
                <w:rFonts w:ascii="宋体" w:hAnsi="宋体" w:eastAsia="宋体"/>
                <w:sz w:val="16"/>
              </w:rPr>
              <w:t>得分</w:t>
            </w:r>
          </w:p>
        </w:tc>
      </w:tr>
      <w:tr w14:paraId="637EE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085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DCB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9EC9">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4A46">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19A79">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33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3A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AA6F">
            <w:pPr>
              <w:jc w:val="center"/>
            </w:pPr>
            <w:r>
              <w:rPr>
                <w:rFonts w:ascii="宋体" w:hAnsi="宋体" w:eastAsia="宋体"/>
                <w:sz w:val="16"/>
              </w:rPr>
              <w:t>10.00</w:t>
            </w:r>
          </w:p>
        </w:tc>
      </w:tr>
      <w:tr w14:paraId="08108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F77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0FF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A07E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D9E8">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6EEC4">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94C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CA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0CFC4">
            <w:pPr>
              <w:jc w:val="center"/>
            </w:pPr>
            <w:r>
              <w:rPr>
                <w:rFonts w:ascii="宋体" w:hAnsi="宋体" w:eastAsia="宋体"/>
                <w:sz w:val="16"/>
              </w:rPr>
              <w:t>—</w:t>
            </w:r>
          </w:p>
        </w:tc>
      </w:tr>
      <w:tr w14:paraId="109DF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07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DE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81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207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70A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74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67F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AC98">
            <w:pPr>
              <w:jc w:val="center"/>
            </w:pPr>
            <w:r>
              <w:rPr>
                <w:rFonts w:ascii="宋体" w:hAnsi="宋体" w:eastAsia="宋体"/>
                <w:sz w:val="16"/>
              </w:rPr>
              <w:t>—</w:t>
            </w:r>
          </w:p>
        </w:tc>
      </w:tr>
      <w:tr w14:paraId="568A3E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AB4D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DF8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24E03">
            <w:pPr>
              <w:jc w:val="center"/>
            </w:pPr>
            <w:r>
              <w:rPr>
                <w:rFonts w:ascii="宋体" w:hAnsi="宋体" w:eastAsia="宋体"/>
                <w:sz w:val="16"/>
              </w:rPr>
              <w:t>实际完成情况</w:t>
            </w:r>
          </w:p>
        </w:tc>
      </w:tr>
      <w:tr w14:paraId="2B9F4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ED4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7E78C">
            <w:pPr>
              <w:jc w:val="both"/>
            </w:pPr>
            <w:r>
              <w:rPr>
                <w:rFonts w:ascii="宋体" w:hAnsi="宋体" w:eastAsia="宋体"/>
                <w:sz w:val="16"/>
              </w:rPr>
              <w:t>根据自治区下发广播电视无线覆盖工程实施要求，使全县广大农村各族群众及时收听看到中央和自治区的广播节目需求，同时确保自治区无线覆盖工程配备的转播自治区节目的调频发射机正常运转，从而巩固自治区广播电视无线覆盖工程实施效果，实现发射台按规定完整转播好自治区广播节目，做到“满功率、满调幅度、满时间”安全播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0B614C">
            <w:pPr>
              <w:jc w:val="both"/>
            </w:pPr>
            <w:r>
              <w:rPr>
                <w:rFonts w:ascii="宋体" w:hAnsi="宋体" w:eastAsia="宋体"/>
                <w:sz w:val="16"/>
              </w:rPr>
              <w:t>全年完成了对广播电视发射机的检修工作，完成了在全县范围内转播中央数字广播及数字电视节目，给广大群众提供了政策宣导、突发事件通报等服务，通过纪录片、戏曲频道，弘扬了优秀的传统文化，通过少儿节目科教频道提升全民科学素养，通过主旋律电视剧和公益广告等引导社会风尚，促进了全县公共文化服务的发展。</w:t>
            </w:r>
          </w:p>
        </w:tc>
      </w:tr>
      <w:tr w14:paraId="5A3D08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436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EA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D7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0F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A8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487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4C4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A3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10A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F2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4F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34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54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6D65">
            <w:pPr>
              <w:jc w:val="center"/>
            </w:pPr>
            <w:r>
              <w:rPr>
                <w:rFonts w:ascii="宋体" w:hAnsi="宋体" w:eastAsia="宋体"/>
                <w:sz w:val="16"/>
              </w:rPr>
              <w:t>偏差原因分析及改进措施</w:t>
            </w:r>
          </w:p>
        </w:tc>
      </w:tr>
      <w:tr w14:paraId="013F8A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088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1D77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A4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1A66">
            <w:pPr>
              <w:jc w:val="center"/>
            </w:pPr>
            <w:r>
              <w:rPr>
                <w:rFonts w:ascii="宋体" w:hAnsi="宋体" w:eastAsia="宋体"/>
                <w:sz w:val="16"/>
              </w:rPr>
              <w:t>模拟调频广播发射机维护数量（部）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83B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E020">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C63E">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DE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0D8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D29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8CAE">
            <w:pPr>
              <w:jc w:val="center"/>
            </w:pPr>
            <w:r>
              <w:rPr>
                <w:rFonts w:ascii="宋体" w:hAnsi="宋体" w:eastAsia="宋体"/>
                <w:sz w:val="16"/>
              </w:rPr>
              <w:t>3部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4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68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38C9">
            <w:pPr>
              <w:jc w:val="center"/>
            </w:pPr>
          </w:p>
        </w:tc>
      </w:tr>
      <w:tr w14:paraId="57D9C5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F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8D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B9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5F76">
            <w:pPr>
              <w:jc w:val="center"/>
            </w:pPr>
            <w:r>
              <w:rPr>
                <w:rFonts w:ascii="宋体" w:hAnsi="宋体" w:eastAsia="宋体"/>
                <w:sz w:val="16"/>
              </w:rPr>
              <w:t>模拟发射机“三满”播出率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700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C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3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5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D19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098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F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E4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35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AEAA">
            <w:pPr>
              <w:jc w:val="center"/>
            </w:pPr>
          </w:p>
        </w:tc>
      </w:tr>
      <w:tr w14:paraId="4A607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DE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351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3A0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BC1A">
            <w:pPr>
              <w:jc w:val="center"/>
            </w:pPr>
            <w:r>
              <w:rPr>
                <w:rFonts w:ascii="宋体" w:hAnsi="宋体" w:eastAsia="宋体"/>
                <w:sz w:val="16"/>
              </w:rPr>
              <w:t>转移支付资金到位率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9ED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D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5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D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9854">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8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2BD3">
            <w:pPr>
              <w:jc w:val="center"/>
            </w:pPr>
            <w:r>
              <w:rPr>
                <w:rFonts w:ascii="宋体" w:hAnsi="宋体" w:eastAsia="宋体"/>
                <w:sz w:val="16"/>
              </w:rPr>
              <w:t>92.93%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72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E7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AC90">
            <w:pPr>
              <w:jc w:val="center"/>
            </w:pPr>
          </w:p>
        </w:tc>
      </w:tr>
      <w:tr w14:paraId="2D59C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A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80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38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FD0E">
            <w:pPr>
              <w:jc w:val="center"/>
            </w:pPr>
            <w:r>
              <w:rPr>
                <w:rFonts w:ascii="宋体" w:hAnsi="宋体" w:eastAsia="宋体"/>
                <w:sz w:val="16"/>
              </w:rPr>
              <w:t>自治区模拟广播电视节目任务完成率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88D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8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6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C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8A88">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6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E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E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DA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149E">
            <w:pPr>
              <w:jc w:val="center"/>
            </w:pPr>
          </w:p>
        </w:tc>
      </w:tr>
      <w:tr w14:paraId="41A51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33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9AB3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FA7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8806">
            <w:pPr>
              <w:jc w:val="center"/>
            </w:pPr>
            <w:r>
              <w:rPr>
                <w:rFonts w:ascii="宋体" w:hAnsi="宋体" w:eastAsia="宋体"/>
                <w:sz w:val="16"/>
              </w:rPr>
              <w:t>广播节目综合人口覆盖率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7F3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AEA0">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92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9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E3C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30C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3BD98">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1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7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0EB9">
            <w:pPr>
              <w:jc w:val="center"/>
            </w:pPr>
          </w:p>
        </w:tc>
      </w:tr>
      <w:tr w14:paraId="4EB2C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E68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1C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A0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78C9">
            <w:pPr>
              <w:jc w:val="center"/>
            </w:pPr>
            <w:r>
              <w:rPr>
                <w:rFonts w:ascii="宋体" w:hAnsi="宋体" w:eastAsia="宋体"/>
                <w:sz w:val="16"/>
              </w:rPr>
              <w:t>基本公共文化服务水平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02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4E20">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94C0">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3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DCF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4C6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EA6B">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59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79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9C39">
            <w:pPr>
              <w:jc w:val="center"/>
            </w:pPr>
          </w:p>
        </w:tc>
      </w:tr>
      <w:tr w14:paraId="2C5A6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53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B1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F3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CB8A">
            <w:pPr>
              <w:jc w:val="center"/>
            </w:pPr>
            <w:r>
              <w:rPr>
                <w:rFonts w:ascii="宋体" w:hAnsi="宋体" w:eastAsia="宋体"/>
                <w:sz w:val="16"/>
              </w:rPr>
              <w:t>群众对广播电视基本公共服务满意度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9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2C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9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F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8B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C0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7F1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52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58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328A">
            <w:pPr>
              <w:jc w:val="center"/>
            </w:pPr>
          </w:p>
        </w:tc>
      </w:tr>
      <w:tr w14:paraId="4298DE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8FD7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6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0C86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152B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61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FED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3BB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FDB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3D2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1DA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61CD6F"/>
        </w:tc>
      </w:tr>
    </w:tbl>
    <w:p w14:paraId="53EBF358">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613"/>
        <w:gridCol w:w="936"/>
        <w:gridCol w:w="776"/>
        <w:gridCol w:w="622"/>
        <w:gridCol w:w="613"/>
        <w:gridCol w:w="604"/>
        <w:gridCol w:w="604"/>
        <w:gridCol w:w="606"/>
        <w:gridCol w:w="605"/>
        <w:gridCol w:w="630"/>
      </w:tblGrid>
      <w:tr w14:paraId="6643B81C">
        <w:tblPrEx>
          <w:tblCellMar>
            <w:top w:w="0" w:type="dxa"/>
            <w:left w:w="108" w:type="dxa"/>
            <w:bottom w:w="0" w:type="dxa"/>
            <w:right w:w="108" w:type="dxa"/>
          </w:tblCellMar>
        </w:tblPrEx>
        <w:tc>
          <w:tcPr>
            <w:tcW w:w="8848" w:type="dxa"/>
            <w:gridSpan w:val="14"/>
            <w:vAlign w:val="center"/>
          </w:tcPr>
          <w:p w14:paraId="7BFDFBF6">
            <w:pPr>
              <w:jc w:val="center"/>
            </w:pPr>
            <w:r>
              <w:rPr>
                <w:rFonts w:ascii="宋体" w:hAnsi="宋体" w:eastAsia="宋体"/>
                <w:sz w:val="24"/>
              </w:rPr>
              <w:t>项目支出绩效自评表</w:t>
            </w:r>
          </w:p>
        </w:tc>
      </w:tr>
      <w:tr w14:paraId="71394CC3">
        <w:tblPrEx>
          <w:tblCellMar>
            <w:top w:w="0" w:type="dxa"/>
            <w:left w:w="108" w:type="dxa"/>
            <w:bottom w:w="0" w:type="dxa"/>
            <w:right w:w="108" w:type="dxa"/>
          </w:tblCellMar>
        </w:tblPrEx>
        <w:tc>
          <w:tcPr>
            <w:tcW w:w="8848" w:type="dxa"/>
            <w:gridSpan w:val="14"/>
            <w:vAlign w:val="center"/>
          </w:tcPr>
          <w:p w14:paraId="22817A01">
            <w:pPr>
              <w:jc w:val="center"/>
            </w:pPr>
            <w:r>
              <w:rPr>
                <w:rFonts w:ascii="宋体" w:hAnsi="宋体" w:eastAsia="宋体"/>
                <w:sz w:val="24"/>
              </w:rPr>
              <w:t>(2024年度)</w:t>
            </w:r>
          </w:p>
        </w:tc>
      </w:tr>
      <w:tr w14:paraId="7341A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A1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44BC90">
            <w:pPr>
              <w:jc w:val="center"/>
            </w:pPr>
            <w:r>
              <w:rPr>
                <w:rFonts w:ascii="宋体" w:hAnsi="宋体" w:eastAsia="宋体"/>
                <w:sz w:val="16"/>
              </w:rPr>
              <w:t>融媒体中心工作项目</w:t>
            </w:r>
          </w:p>
        </w:tc>
      </w:tr>
      <w:tr w14:paraId="71EFC2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44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850E5B">
            <w:pPr>
              <w:jc w:val="center"/>
            </w:pPr>
            <w:r>
              <w:rPr>
                <w:rFonts w:ascii="宋体" w:hAnsi="宋体" w:eastAsia="宋体"/>
                <w:sz w:val="16"/>
              </w:rPr>
              <w:t>霍城县融媒体中心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71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CACD6">
            <w:pPr>
              <w:jc w:val="center"/>
            </w:pPr>
            <w:r>
              <w:rPr>
                <w:rFonts w:ascii="宋体" w:hAnsi="宋体" w:eastAsia="宋体"/>
                <w:sz w:val="16"/>
              </w:rPr>
              <w:t>霍城县融媒体中心</w:t>
            </w:r>
          </w:p>
        </w:tc>
      </w:tr>
      <w:tr w14:paraId="581A32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EB93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56D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4EC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AF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4A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692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FB0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AD7A">
            <w:pPr>
              <w:jc w:val="center"/>
            </w:pPr>
            <w:r>
              <w:rPr>
                <w:rFonts w:ascii="宋体" w:hAnsi="宋体" w:eastAsia="宋体"/>
                <w:sz w:val="16"/>
              </w:rPr>
              <w:t>得分</w:t>
            </w:r>
          </w:p>
        </w:tc>
      </w:tr>
      <w:tr w14:paraId="73FCD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9B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EB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DEA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D67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C5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5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2C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71C1">
            <w:pPr>
              <w:jc w:val="center"/>
            </w:pPr>
            <w:r>
              <w:rPr>
                <w:rFonts w:ascii="宋体" w:hAnsi="宋体" w:eastAsia="宋体"/>
                <w:sz w:val="16"/>
              </w:rPr>
              <w:t>10.00</w:t>
            </w:r>
          </w:p>
        </w:tc>
      </w:tr>
      <w:tr w14:paraId="6DB96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F13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FA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EA9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A9CB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B6B8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1A4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C5F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EDB6F">
            <w:pPr>
              <w:jc w:val="center"/>
            </w:pPr>
            <w:r>
              <w:rPr>
                <w:rFonts w:ascii="宋体" w:hAnsi="宋体" w:eastAsia="宋体"/>
                <w:sz w:val="16"/>
              </w:rPr>
              <w:t>—</w:t>
            </w:r>
          </w:p>
        </w:tc>
      </w:tr>
      <w:tr w14:paraId="7E58A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B3C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86A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B12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3B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26A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A8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44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1645">
            <w:pPr>
              <w:jc w:val="center"/>
            </w:pPr>
            <w:r>
              <w:rPr>
                <w:rFonts w:ascii="宋体" w:hAnsi="宋体" w:eastAsia="宋体"/>
                <w:sz w:val="16"/>
              </w:rPr>
              <w:t>—</w:t>
            </w:r>
          </w:p>
        </w:tc>
      </w:tr>
      <w:tr w14:paraId="7F4F62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EB0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594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4400C">
            <w:pPr>
              <w:jc w:val="center"/>
            </w:pPr>
            <w:r>
              <w:rPr>
                <w:rFonts w:ascii="宋体" w:hAnsi="宋体" w:eastAsia="宋体"/>
                <w:sz w:val="16"/>
              </w:rPr>
              <w:t>实际完成情况</w:t>
            </w:r>
          </w:p>
        </w:tc>
      </w:tr>
      <w:tr w14:paraId="1D1D6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B9E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E15AE">
            <w:pPr>
              <w:jc w:val="both"/>
            </w:pPr>
            <w:r>
              <w:rPr>
                <w:rFonts w:ascii="宋体" w:hAnsi="宋体" w:eastAsia="宋体"/>
                <w:sz w:val="16"/>
              </w:rPr>
              <w:t>为推动媒体深度融合，提升融媒产品质量：1、保障临聘人员8人（养事不养人7人、记者岗1人）基本工资待遇水平，按时缴纳社保费用；2、稳定重要岗位专业人员队伍，提高工作积极性，</w:t>
            </w:r>
            <w:r>
              <w:rPr>
                <w:rFonts w:hint="eastAsia" w:ascii="宋体" w:hAnsi="宋体"/>
                <w:sz w:val="16"/>
                <w:lang w:eastAsia="zh-CN"/>
              </w:rPr>
              <w:t>更好地</w:t>
            </w:r>
            <w:r>
              <w:rPr>
                <w:rFonts w:ascii="宋体" w:hAnsi="宋体" w:eastAsia="宋体"/>
                <w:sz w:val="16"/>
              </w:rPr>
              <w:t>履行部门职责。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6B89D2">
            <w:pPr>
              <w:jc w:val="both"/>
            </w:pPr>
            <w:r>
              <w:rPr>
                <w:rFonts w:ascii="宋体" w:hAnsi="宋体" w:eastAsia="宋体"/>
                <w:sz w:val="16"/>
              </w:rPr>
              <w:t>按时缴纳临聘人员8人社保费用，保障了他们的基本工资待遇水平，促进了融媒体中心专业技术人员队伍的稳定，保证了各项工作的持续开展。</w:t>
            </w:r>
          </w:p>
        </w:tc>
      </w:tr>
      <w:tr w14:paraId="5D538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A0D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40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DD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14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21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CE0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C0B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1E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C6C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B9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BB1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D5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DE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75AD">
            <w:pPr>
              <w:jc w:val="center"/>
            </w:pPr>
            <w:r>
              <w:rPr>
                <w:rFonts w:ascii="宋体" w:hAnsi="宋体" w:eastAsia="宋体"/>
                <w:sz w:val="16"/>
              </w:rPr>
              <w:t>偏差原因分析及改进措施</w:t>
            </w:r>
          </w:p>
        </w:tc>
      </w:tr>
      <w:tr w14:paraId="575504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DE3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F33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84A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82E0">
            <w:pPr>
              <w:jc w:val="center"/>
            </w:pPr>
            <w:r>
              <w:rPr>
                <w:rFonts w:ascii="宋体" w:hAnsi="宋体" w:eastAsia="宋体"/>
                <w:sz w:val="16"/>
              </w:rPr>
              <w:t>补助社保人数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77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448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883E">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1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D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1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24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6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79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488F">
            <w:pPr>
              <w:jc w:val="center"/>
            </w:pPr>
          </w:p>
        </w:tc>
      </w:tr>
      <w:tr w14:paraId="74A6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266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95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68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7288">
            <w:pPr>
              <w:jc w:val="center"/>
            </w:pPr>
            <w:r>
              <w:rPr>
                <w:rFonts w:ascii="宋体" w:hAnsi="宋体" w:eastAsia="宋体"/>
                <w:sz w:val="16"/>
              </w:rPr>
              <w:t>补助社保次数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2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0FE3">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BB4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C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0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4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4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EE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6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9B4C">
            <w:pPr>
              <w:jc w:val="center"/>
            </w:pPr>
          </w:p>
        </w:tc>
      </w:tr>
      <w:tr w14:paraId="45BC7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6A5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C67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C99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4E55">
            <w:pPr>
              <w:jc w:val="center"/>
            </w:pPr>
            <w:r>
              <w:rPr>
                <w:rFonts w:ascii="宋体" w:hAnsi="宋体" w:eastAsia="宋体"/>
                <w:sz w:val="16"/>
              </w:rPr>
              <w:t>社保缴纳完成率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16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0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09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1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2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4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A9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1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BE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0E2D">
            <w:pPr>
              <w:jc w:val="center"/>
            </w:pPr>
          </w:p>
        </w:tc>
      </w:tr>
      <w:tr w14:paraId="7805C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04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92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38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0137">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7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C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9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8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2D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8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91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38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CE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3183">
            <w:pPr>
              <w:jc w:val="center"/>
            </w:pPr>
          </w:p>
        </w:tc>
      </w:tr>
      <w:tr w14:paraId="29D36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31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729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1A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ED13">
            <w:pPr>
              <w:jc w:val="center"/>
            </w:pPr>
            <w:r>
              <w:rPr>
                <w:rFonts w:ascii="宋体" w:hAnsi="宋体" w:eastAsia="宋体"/>
                <w:sz w:val="16"/>
              </w:rPr>
              <w:t>人均月缴纳社保标准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82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A69F">
            <w:pPr>
              <w:jc w:val="center"/>
            </w:pPr>
            <w:r>
              <w:rPr>
                <w:rFonts w:ascii="宋体" w:hAnsi="宋体" w:eastAsia="宋体"/>
                <w:sz w:val="16"/>
              </w:rPr>
              <w:t>&lt;=1041.67元/人/次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402A">
            <w:pPr>
              <w:jc w:val="center"/>
            </w:pPr>
            <w:r>
              <w:rPr>
                <w:rFonts w:ascii="宋体" w:hAnsi="宋体" w:eastAsia="宋体"/>
                <w:sz w:val="16"/>
              </w:rPr>
              <w:t>1041.67元/人/次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1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C9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93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C3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01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6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16ACE">
            <w:pPr>
              <w:jc w:val="center"/>
            </w:pPr>
          </w:p>
        </w:tc>
      </w:tr>
      <w:tr w14:paraId="214C2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BC0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898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CD5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838B">
            <w:pPr>
              <w:jc w:val="center"/>
            </w:pPr>
            <w:r>
              <w:rPr>
                <w:rFonts w:ascii="宋体" w:hAnsi="宋体" w:eastAsia="宋体"/>
                <w:sz w:val="16"/>
              </w:rPr>
              <w:t>促进各项工作有序开展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04D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C1A9">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CF99">
            <w:pPr>
              <w:jc w:val="center"/>
            </w:pPr>
            <w:r>
              <w:rPr>
                <w:rFonts w:ascii="宋体" w:hAnsi="宋体" w:eastAsia="宋体"/>
                <w:sz w:val="16"/>
              </w:rPr>
              <w:t>进一步开展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C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86F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7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DB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04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73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C342">
            <w:pPr>
              <w:jc w:val="center"/>
            </w:pPr>
          </w:p>
        </w:tc>
      </w:tr>
      <w:tr w14:paraId="2A139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47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B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03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ED51">
            <w:pPr>
              <w:jc w:val="center"/>
            </w:pPr>
            <w:r>
              <w:rPr>
                <w:rFonts w:ascii="宋体" w:hAnsi="宋体" w:eastAsia="宋体"/>
                <w:sz w:val="16"/>
              </w:rPr>
              <w:t>提高人员工作积极性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13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013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5C0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0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966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7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1C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66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4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FBC4">
            <w:pPr>
              <w:jc w:val="center"/>
            </w:pPr>
          </w:p>
        </w:tc>
      </w:tr>
      <w:tr w14:paraId="12A2B6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CF3C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1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D77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BA5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81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BA0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562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6FB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B567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355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EBCA63"/>
        </w:tc>
      </w:tr>
    </w:tbl>
    <w:p w14:paraId="415FC618">
      <w:r>
        <w:br w:type="page"/>
      </w:r>
    </w:p>
    <w:p w14:paraId="2FE04547">
      <w:pPr>
        <w:spacing w:line="640" w:lineRule="exact"/>
        <w:ind w:firstLine="640"/>
        <w:jc w:val="both"/>
        <w:outlineLvl w:val="2"/>
      </w:pPr>
      <w:r>
        <w:rPr>
          <w:rFonts w:ascii="黑体" w:hAnsi="黑体" w:eastAsia="黑体"/>
          <w:sz w:val="32"/>
        </w:rPr>
        <w:t>十二、其他需说明的事项</w:t>
      </w:r>
    </w:p>
    <w:p w14:paraId="37F53CB8">
      <w:pPr>
        <w:spacing w:line="580" w:lineRule="exact"/>
        <w:ind w:firstLine="640"/>
        <w:jc w:val="both"/>
      </w:pPr>
      <w:r>
        <w:rPr>
          <w:rFonts w:ascii="仿宋_GB2312" w:hAnsi="仿宋_GB2312" w:eastAsia="仿宋_GB2312"/>
          <w:b w:val="0"/>
          <w:sz w:val="32"/>
        </w:rPr>
        <w:t>本单位无其他需说明的事项。</w:t>
      </w:r>
    </w:p>
    <w:p w14:paraId="338CA232">
      <w:r>
        <w:br w:type="page"/>
      </w:r>
    </w:p>
    <w:p w14:paraId="3838D036">
      <w:pPr>
        <w:spacing w:line="240" w:lineRule="auto"/>
        <w:jc w:val="center"/>
        <w:outlineLvl w:val="1"/>
      </w:pPr>
      <w:r>
        <w:rPr>
          <w:rFonts w:ascii="黑体" w:hAnsi="黑体" w:eastAsia="黑体"/>
          <w:sz w:val="32"/>
        </w:rPr>
        <w:t>第三部分 专业名词解释</w:t>
      </w:r>
    </w:p>
    <w:p w14:paraId="5744E3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8068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702F6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6C23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DB811F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9B86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7A239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F78EB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33BE0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2DAE1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39667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FBC77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A025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77B71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0F096C">
      <w:r>
        <w:br w:type="page"/>
      </w:r>
    </w:p>
    <w:p w14:paraId="44CB735B">
      <w:pPr>
        <w:spacing w:line="240" w:lineRule="auto"/>
        <w:jc w:val="center"/>
        <w:outlineLvl w:val="1"/>
      </w:pPr>
      <w:r>
        <w:rPr>
          <w:rFonts w:ascii="黑体" w:hAnsi="黑体" w:eastAsia="黑体"/>
          <w:sz w:val="32"/>
        </w:rPr>
        <w:t>第四部分 部门决算报表（见附表）</w:t>
      </w:r>
    </w:p>
    <w:p w14:paraId="4952DED4">
      <w:pPr>
        <w:spacing w:line="240" w:lineRule="auto"/>
        <w:ind w:firstLine="640"/>
        <w:jc w:val="both"/>
      </w:pPr>
      <w:r>
        <w:rPr>
          <w:rFonts w:ascii="仿宋_GB2312" w:hAnsi="仿宋_GB2312" w:eastAsia="仿宋_GB2312"/>
          <w:b w:val="0"/>
          <w:sz w:val="32"/>
        </w:rPr>
        <w:t>一、《收入支出决算总表》</w:t>
      </w:r>
    </w:p>
    <w:p w14:paraId="20003648">
      <w:pPr>
        <w:spacing w:line="240" w:lineRule="auto"/>
        <w:ind w:firstLine="640"/>
        <w:jc w:val="both"/>
      </w:pPr>
      <w:r>
        <w:rPr>
          <w:rFonts w:ascii="仿宋_GB2312" w:hAnsi="仿宋_GB2312" w:eastAsia="仿宋_GB2312"/>
          <w:b w:val="0"/>
          <w:sz w:val="32"/>
        </w:rPr>
        <w:t>二、《收入决算表》</w:t>
      </w:r>
    </w:p>
    <w:p w14:paraId="66CF8DED">
      <w:pPr>
        <w:spacing w:line="240" w:lineRule="auto"/>
        <w:ind w:firstLine="640"/>
        <w:jc w:val="both"/>
      </w:pPr>
      <w:r>
        <w:rPr>
          <w:rFonts w:ascii="仿宋_GB2312" w:hAnsi="仿宋_GB2312" w:eastAsia="仿宋_GB2312"/>
          <w:b w:val="0"/>
          <w:sz w:val="32"/>
        </w:rPr>
        <w:t>三、《支出决算表》</w:t>
      </w:r>
    </w:p>
    <w:p w14:paraId="1474614E">
      <w:pPr>
        <w:spacing w:line="240" w:lineRule="auto"/>
        <w:ind w:firstLine="640"/>
        <w:jc w:val="both"/>
      </w:pPr>
      <w:r>
        <w:rPr>
          <w:rFonts w:ascii="仿宋_GB2312" w:hAnsi="仿宋_GB2312" w:eastAsia="仿宋_GB2312"/>
          <w:b w:val="0"/>
          <w:sz w:val="32"/>
        </w:rPr>
        <w:t>四、《财政拨款收入支出决算总表》</w:t>
      </w:r>
    </w:p>
    <w:p w14:paraId="164113A8">
      <w:pPr>
        <w:spacing w:line="240" w:lineRule="auto"/>
        <w:ind w:firstLine="640"/>
        <w:jc w:val="both"/>
      </w:pPr>
      <w:r>
        <w:rPr>
          <w:rFonts w:ascii="仿宋_GB2312" w:hAnsi="仿宋_GB2312" w:eastAsia="仿宋_GB2312"/>
          <w:b w:val="0"/>
          <w:sz w:val="32"/>
        </w:rPr>
        <w:t>五、《一般公共预算财政拨款支出决算表》</w:t>
      </w:r>
    </w:p>
    <w:p w14:paraId="5910D167">
      <w:pPr>
        <w:spacing w:line="240" w:lineRule="auto"/>
        <w:ind w:firstLine="640"/>
        <w:jc w:val="both"/>
      </w:pPr>
      <w:r>
        <w:rPr>
          <w:rFonts w:ascii="仿宋_GB2312" w:hAnsi="仿宋_GB2312" w:eastAsia="仿宋_GB2312"/>
          <w:b w:val="0"/>
          <w:sz w:val="32"/>
        </w:rPr>
        <w:t>六、《一般公共预算财政拨款基本支出决算表》</w:t>
      </w:r>
    </w:p>
    <w:p w14:paraId="12285EFE">
      <w:pPr>
        <w:spacing w:line="240" w:lineRule="auto"/>
        <w:ind w:firstLine="640"/>
        <w:jc w:val="both"/>
      </w:pPr>
      <w:r>
        <w:rPr>
          <w:rFonts w:ascii="仿宋_GB2312" w:hAnsi="仿宋_GB2312" w:eastAsia="仿宋_GB2312"/>
          <w:b w:val="0"/>
          <w:sz w:val="32"/>
        </w:rPr>
        <w:t>七、《政府性基金预算财政拨款收入支出决算表》</w:t>
      </w:r>
    </w:p>
    <w:p w14:paraId="24A9B895">
      <w:pPr>
        <w:spacing w:line="240" w:lineRule="auto"/>
        <w:ind w:firstLine="640"/>
        <w:jc w:val="both"/>
      </w:pPr>
      <w:r>
        <w:rPr>
          <w:rFonts w:ascii="仿宋_GB2312" w:hAnsi="仿宋_GB2312" w:eastAsia="仿宋_GB2312"/>
          <w:b w:val="0"/>
          <w:sz w:val="32"/>
        </w:rPr>
        <w:t>八、《国有资本经营预算财政拨款收入支出决算表》</w:t>
      </w:r>
    </w:p>
    <w:p w14:paraId="0F5C304E">
      <w:pPr>
        <w:spacing w:line="240" w:lineRule="auto"/>
        <w:ind w:firstLine="640"/>
        <w:jc w:val="both"/>
      </w:pPr>
      <w:r>
        <w:rPr>
          <w:rFonts w:ascii="仿宋_GB2312" w:hAnsi="仿宋_GB2312" w:eastAsia="仿宋_GB2312"/>
          <w:b w:val="0"/>
          <w:sz w:val="32"/>
        </w:rPr>
        <w:t>九、《财政拨款“三公”经费支出决算表》</w:t>
      </w:r>
    </w:p>
    <w:p w14:paraId="239D475C">
      <w:pPr>
        <w:spacing w:line="240" w:lineRule="auto"/>
        <w:ind w:firstLine="640"/>
        <w:jc w:val="both"/>
      </w:pPr>
    </w:p>
    <w:p w14:paraId="6655E392">
      <w:pPr>
        <w:spacing w:line="240" w:lineRule="auto"/>
        <w:ind w:firstLine="640"/>
        <w:jc w:val="both"/>
      </w:pPr>
    </w:p>
    <w:p w14:paraId="71B6FF94">
      <w:pPr>
        <w:spacing w:line="240" w:lineRule="auto"/>
        <w:ind w:firstLine="640"/>
        <w:jc w:val="both"/>
      </w:pPr>
    </w:p>
    <w:p w14:paraId="798FC435">
      <w:pPr>
        <w:spacing w:line="240" w:lineRule="auto"/>
        <w:ind w:firstLine="640"/>
        <w:jc w:val="both"/>
      </w:pPr>
    </w:p>
    <w:p w14:paraId="56EA40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08F42D-86BD-4941-9EBF-90B44732C0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8F3D64D-CF5A-4548-81F4-2C4632D824C7}"/>
  </w:font>
  <w:font w:name="仿宋_GB2312">
    <w:altName w:val="仿宋"/>
    <w:panose1 w:val="02010609030101010101"/>
    <w:charset w:val="86"/>
    <w:family w:val="modern"/>
    <w:pitch w:val="default"/>
    <w:sig w:usb0="00000000" w:usb1="00000000" w:usb2="00000000" w:usb3="00000000" w:csb0="00040000" w:csb1="00000000"/>
    <w:embedRegular r:id="rId3" w:fontKey="{7A986E95-BAF0-4677-B0AD-E3AE9FA76959}"/>
  </w:font>
  <w:font w:name="楷体_GB2312">
    <w:altName w:val="楷体"/>
    <w:panose1 w:val="00000000000000000000"/>
    <w:charset w:val="00"/>
    <w:family w:val="auto"/>
    <w:pitch w:val="default"/>
    <w:sig w:usb0="00000000" w:usb1="00000000" w:usb2="00000000" w:usb3="00000000" w:csb0="00000000" w:csb1="00000000"/>
    <w:embedRegular r:id="rId4" w:fontKey="{56553344-6404-47A7-8E76-5685F3F95A6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3A72AE"/>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4709</Words>
  <Characters>5395</Characters>
  <Lines>0</Lines>
  <Paragraphs>0</Paragraphs>
  <TotalTime>1</TotalTime>
  <ScaleCrop>false</ScaleCrop>
  <LinksUpToDate>false</LinksUpToDate>
  <CharactersWithSpaces>5403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2025-09-24T11:58:17Z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