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6616B3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霍城县萨尔布拉克镇卫生院2024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D57D6F1">
      <w:r>
        <w:br w:type="page"/>
      </w:r>
    </w:p>
    <w:p w14:paraId="68C7113B">
      <w:pPr>
        <w:spacing w:line="640" w:lineRule="exact"/>
        <w:jc w:val="center"/>
        <w:outlineLvl w:val="1"/>
      </w:pPr>
      <w:r>
        <w:rPr>
          <w:rFonts w:ascii="黑体" w:hAnsi="黑体" w:eastAsia="黑体"/>
          <w:sz w:val="32"/>
        </w:rPr>
        <w:t>第一部分 单位概况</w:t>
      </w:r>
    </w:p>
    <w:p w14:paraId="1C22239E">
      <w:pPr>
        <w:spacing w:line="640" w:lineRule="exact"/>
        <w:ind w:firstLine="640"/>
        <w:jc w:val="both"/>
        <w:outlineLvl w:val="2"/>
      </w:pPr>
      <w:r>
        <w:rPr>
          <w:rFonts w:ascii="黑体" w:hAnsi="黑体" w:eastAsia="黑体"/>
          <w:sz w:val="32"/>
        </w:rPr>
        <w:t>一、主要职能</w:t>
      </w:r>
    </w:p>
    <w:p w14:paraId="7AB51E39">
      <w:pPr>
        <w:spacing w:line="580" w:lineRule="exact"/>
        <w:ind w:firstLine="640"/>
        <w:jc w:val="both"/>
        <w:rPr>
          <w:rFonts w:ascii="仿宋_GB2312" w:hAnsi="仿宋_GB2312" w:eastAsia="仿宋_GB2312"/>
          <w:sz w:val="32"/>
        </w:rPr>
      </w:pPr>
      <w:r>
        <w:rPr>
          <w:rFonts w:ascii="仿宋_GB2312" w:hAnsi="仿宋_GB2312" w:eastAsia="仿宋_GB2312"/>
          <w:sz w:val="32"/>
        </w:rPr>
        <w:t>1.为人民身体健康提供医疗与预防保健服务。</w:t>
      </w:r>
    </w:p>
    <w:p w14:paraId="7F36385E">
      <w:pPr>
        <w:spacing w:line="580" w:lineRule="exact"/>
        <w:ind w:firstLine="640"/>
        <w:jc w:val="both"/>
        <w:rPr>
          <w:rFonts w:ascii="仿宋_GB2312" w:hAnsi="仿宋_GB2312" w:eastAsia="仿宋_GB2312"/>
          <w:sz w:val="32"/>
        </w:rPr>
      </w:pPr>
      <w:r>
        <w:rPr>
          <w:rFonts w:ascii="仿宋_GB2312" w:hAnsi="仿宋_GB2312" w:eastAsia="仿宋_GB2312"/>
          <w:sz w:val="32"/>
        </w:rPr>
        <w:t>2.常见病、多发病的治疗与护理。</w:t>
      </w:r>
    </w:p>
    <w:p w14:paraId="6F61B886">
      <w:pPr>
        <w:spacing w:line="580" w:lineRule="exact"/>
        <w:ind w:firstLine="640"/>
        <w:jc w:val="both"/>
        <w:rPr>
          <w:rFonts w:ascii="仿宋_GB2312" w:hAnsi="仿宋_GB2312" w:eastAsia="仿宋_GB2312"/>
          <w:sz w:val="32"/>
        </w:rPr>
      </w:pPr>
      <w:r>
        <w:rPr>
          <w:rFonts w:ascii="仿宋_GB2312" w:hAnsi="仿宋_GB2312" w:eastAsia="仿宋_GB2312"/>
          <w:sz w:val="32"/>
        </w:rPr>
        <w:t>3.预防保健；实施初级卫生医疗卫生保健规划。</w:t>
      </w:r>
    </w:p>
    <w:p w14:paraId="7DB21726">
      <w:pPr>
        <w:spacing w:line="580" w:lineRule="exact"/>
        <w:ind w:firstLine="640"/>
        <w:jc w:val="both"/>
      </w:pPr>
      <w:r>
        <w:rPr>
          <w:rFonts w:ascii="仿宋_GB2312" w:hAnsi="仿宋_GB2312" w:eastAsia="仿宋_GB2312"/>
          <w:sz w:val="32"/>
        </w:rPr>
        <w:t>4.为农村初级合作医疗提供基本卫生保健和医疗服务，并指导村级卫生室的建设和业务。</w:t>
      </w:r>
    </w:p>
    <w:p w14:paraId="37F1DA69">
      <w:pPr>
        <w:spacing w:line="640" w:lineRule="exact"/>
        <w:ind w:firstLine="640"/>
        <w:jc w:val="both"/>
        <w:outlineLvl w:val="2"/>
      </w:pPr>
      <w:r>
        <w:rPr>
          <w:rFonts w:ascii="黑体" w:hAnsi="黑体" w:eastAsia="黑体"/>
          <w:sz w:val="32"/>
        </w:rPr>
        <w:t>二、机构设置及人员情况</w:t>
      </w:r>
    </w:p>
    <w:p w14:paraId="35A64DFC">
      <w:pPr>
        <w:spacing w:line="580" w:lineRule="exact"/>
        <w:ind w:firstLine="640"/>
        <w:jc w:val="both"/>
      </w:pPr>
      <w:r>
        <w:rPr>
          <w:rFonts w:ascii="仿宋_GB2312" w:hAnsi="仿宋_GB2312" w:eastAsia="仿宋_GB2312"/>
          <w:sz w:val="32"/>
        </w:rPr>
        <w:t>霍城县萨尔布拉克镇卫生院2024年度，实有人数63人，其中：在职人员40人，增加1人；离休人员0人，增加0人；退休人员23人,增加0人。</w:t>
      </w:r>
    </w:p>
    <w:p w14:paraId="2775BD0B">
      <w:pPr>
        <w:spacing w:line="580" w:lineRule="exact"/>
        <w:ind w:firstLine="640"/>
        <w:jc w:val="both"/>
      </w:pPr>
      <w:r>
        <w:rPr>
          <w:rFonts w:ascii="仿宋_GB2312" w:hAnsi="仿宋_GB2312" w:eastAsia="仿宋_GB2312"/>
          <w:sz w:val="32"/>
        </w:rPr>
        <w:t>霍城县萨尔布拉克镇卫生院无下属预算单位，下设17个科室，分别是：行政办公室、财务室、收费室、门诊部、药剂科、内儿科住院部、急诊科、中医科、妇产科、检验室、心电B超室、X光室、防疫科、妇幼保健科、公卫科、体检科、后勤科。</w:t>
      </w:r>
    </w:p>
    <w:p w14:paraId="3F02A867">
      <w:r>
        <w:br w:type="page"/>
      </w:r>
    </w:p>
    <w:p w14:paraId="310D3B9D">
      <w:pPr>
        <w:spacing w:line="240" w:lineRule="auto"/>
        <w:jc w:val="center"/>
        <w:outlineLvl w:val="1"/>
      </w:pPr>
      <w:r>
        <w:rPr>
          <w:rFonts w:ascii="黑体" w:hAnsi="黑体" w:eastAsia="黑体"/>
          <w:sz w:val="32"/>
        </w:rPr>
        <w:t>第二部分 部门决算情况说明</w:t>
      </w:r>
    </w:p>
    <w:p w14:paraId="5EDDDB8B">
      <w:pPr>
        <w:spacing w:line="640" w:lineRule="exact"/>
        <w:ind w:firstLine="640"/>
        <w:jc w:val="both"/>
        <w:outlineLvl w:val="2"/>
      </w:pPr>
      <w:r>
        <w:rPr>
          <w:rFonts w:ascii="黑体" w:hAnsi="黑体" w:eastAsia="黑体"/>
          <w:sz w:val="32"/>
        </w:rPr>
        <w:t>一、收入支出决算总体情况说明</w:t>
      </w:r>
    </w:p>
    <w:p w14:paraId="15BD1DDC">
      <w:pPr>
        <w:spacing w:line="580" w:lineRule="exact"/>
        <w:ind w:firstLine="640"/>
        <w:jc w:val="both"/>
      </w:pPr>
      <w:r>
        <w:rPr>
          <w:rFonts w:ascii="仿宋_GB2312" w:hAnsi="仿宋_GB2312" w:eastAsia="仿宋_GB2312"/>
          <w:b/>
          <w:sz w:val="32"/>
        </w:rPr>
        <w:t>2024年度收入总计1,476.74万元，</w:t>
      </w:r>
      <w:r>
        <w:rPr>
          <w:rFonts w:ascii="仿宋_GB2312" w:hAnsi="仿宋_GB2312" w:eastAsia="仿宋_GB2312"/>
          <w:b w:val="0"/>
          <w:sz w:val="32"/>
        </w:rPr>
        <w:t>其中：本年收入合计1,363.69万元，使用非财政拨款结余（含专用结余）113.05万元，年初结转和结余0.00万元。</w:t>
      </w:r>
    </w:p>
    <w:p w14:paraId="707C3912">
      <w:pPr>
        <w:spacing w:line="580" w:lineRule="exact"/>
        <w:ind w:firstLine="640"/>
        <w:jc w:val="both"/>
      </w:pPr>
      <w:r>
        <w:rPr>
          <w:rFonts w:ascii="仿宋_GB2312" w:hAnsi="仿宋_GB2312" w:eastAsia="仿宋_GB2312"/>
          <w:b/>
          <w:sz w:val="32"/>
        </w:rPr>
        <w:t>2024年度支出总计1,476.74万元，</w:t>
      </w:r>
      <w:r>
        <w:rPr>
          <w:rFonts w:ascii="仿宋_GB2312" w:hAnsi="仿宋_GB2312" w:eastAsia="仿宋_GB2312"/>
          <w:b w:val="0"/>
          <w:sz w:val="32"/>
        </w:rPr>
        <w:t>其中：本年支出合计1,476.74万元，结余分配0.00万元，年末结转和结余0.00万元。</w:t>
      </w:r>
    </w:p>
    <w:p w14:paraId="0628FDDD">
      <w:pPr>
        <w:spacing w:line="580" w:lineRule="exact"/>
        <w:ind w:firstLine="640"/>
        <w:jc w:val="both"/>
      </w:pPr>
      <w:r>
        <w:rPr>
          <w:rFonts w:ascii="仿宋_GB2312" w:hAnsi="仿宋_GB2312" w:eastAsia="仿宋_GB2312"/>
          <w:b w:val="0"/>
          <w:sz w:val="32"/>
        </w:rPr>
        <w:t>收入支出总体与上年相比，减少40.38万元，下降2.66%，主要原因是：1.本年门诊就诊量及住院率下降，门诊及住院收入减少；2.本年无死亡抚恤人员，相关人员经费较上年减少；3.本年减少中央突发事件防控财力补助、中医馆建设项目补助等项目；3.本年</w:t>
      </w:r>
      <w:r>
        <w:rPr>
          <w:rFonts w:hint="eastAsia" w:ascii="仿宋_GB2312" w:hAnsi="仿宋_GB2312" w:eastAsia="仿宋_GB2312"/>
          <w:b w:val="0"/>
          <w:sz w:val="32"/>
          <w:lang w:eastAsia="zh-CN"/>
        </w:rPr>
        <w:t>慢性病</w:t>
      </w:r>
      <w:r>
        <w:rPr>
          <w:rFonts w:ascii="仿宋_GB2312" w:hAnsi="仿宋_GB2312" w:eastAsia="仿宋_GB2312"/>
          <w:b w:val="0"/>
          <w:sz w:val="32"/>
        </w:rPr>
        <w:t>孕产妇儿童管理及老年人管理等服务项目、全民健康体检工程补助资金等项目资金较上年减少。</w:t>
      </w:r>
    </w:p>
    <w:p w14:paraId="25AE476E">
      <w:pPr>
        <w:spacing w:line="640" w:lineRule="exact"/>
        <w:ind w:firstLine="640"/>
        <w:jc w:val="both"/>
        <w:outlineLvl w:val="2"/>
      </w:pPr>
      <w:r>
        <w:rPr>
          <w:rFonts w:ascii="黑体" w:hAnsi="黑体" w:eastAsia="黑体"/>
          <w:sz w:val="32"/>
        </w:rPr>
        <w:t>二、收入决算情况说明</w:t>
      </w:r>
    </w:p>
    <w:p w14:paraId="590DBDD3">
      <w:pPr>
        <w:spacing w:line="580" w:lineRule="exact"/>
        <w:ind w:firstLine="640"/>
        <w:jc w:val="both"/>
      </w:pPr>
      <w:r>
        <w:rPr>
          <w:rFonts w:ascii="仿宋_GB2312" w:hAnsi="仿宋_GB2312" w:eastAsia="仿宋_GB2312"/>
          <w:b/>
          <w:sz w:val="32"/>
        </w:rPr>
        <w:t>本年收入1,363.69万元，</w:t>
      </w:r>
      <w:r>
        <w:rPr>
          <w:rFonts w:ascii="仿宋_GB2312" w:hAnsi="仿宋_GB2312" w:eastAsia="仿宋_GB2312"/>
          <w:b w:val="0"/>
          <w:sz w:val="32"/>
        </w:rPr>
        <w:t>其中：财政拨款收入976.88万元，占71.64%；上级补助收入0.00万元，占0.00%；事业收入378.64万元，占27.77%；经营收入0.00万元，占0.00%；附属单位上缴收入0.00万元，占0.00%；其他收入8.17万元，占0.60%。</w:t>
      </w:r>
    </w:p>
    <w:p w14:paraId="30ED5A6A">
      <w:pPr>
        <w:spacing w:line="640" w:lineRule="exact"/>
        <w:ind w:firstLine="640"/>
        <w:jc w:val="both"/>
        <w:outlineLvl w:val="2"/>
      </w:pPr>
      <w:r>
        <w:rPr>
          <w:rFonts w:ascii="黑体" w:hAnsi="黑体" w:eastAsia="黑体"/>
          <w:sz w:val="32"/>
        </w:rPr>
        <w:t>三、支出决算情况说明</w:t>
      </w:r>
    </w:p>
    <w:p w14:paraId="560373CA">
      <w:pPr>
        <w:spacing w:line="580" w:lineRule="exact"/>
        <w:ind w:firstLine="640"/>
        <w:jc w:val="both"/>
      </w:pPr>
      <w:r>
        <w:rPr>
          <w:rFonts w:ascii="仿宋_GB2312" w:hAnsi="仿宋_GB2312" w:eastAsia="仿宋_GB2312"/>
          <w:b/>
          <w:sz w:val="32"/>
        </w:rPr>
        <w:t>本年支出1,476.74万元，</w:t>
      </w:r>
      <w:r>
        <w:rPr>
          <w:rFonts w:ascii="仿宋_GB2312" w:hAnsi="仿宋_GB2312" w:eastAsia="仿宋_GB2312"/>
          <w:b w:val="0"/>
          <w:sz w:val="32"/>
        </w:rPr>
        <w:t>其中：基本支出1,138.55万元，占77.10%；项目支出338.19万元，占22.90%；上缴上级支出0.00万元，占0.00%；经营支出0.00万元，占0.00%；对附属单位补助支出0.00万元，占0.00%。</w:t>
      </w:r>
    </w:p>
    <w:p w14:paraId="25328611">
      <w:pPr>
        <w:spacing w:line="640" w:lineRule="exact"/>
        <w:ind w:firstLine="640"/>
        <w:jc w:val="both"/>
        <w:outlineLvl w:val="2"/>
      </w:pPr>
      <w:r>
        <w:rPr>
          <w:rFonts w:ascii="黑体" w:hAnsi="黑体" w:eastAsia="黑体"/>
          <w:sz w:val="32"/>
        </w:rPr>
        <w:t>四、财政拨款收入支出决算总体情况说明</w:t>
      </w:r>
    </w:p>
    <w:p w14:paraId="0DCAFFEC">
      <w:pPr>
        <w:spacing w:line="580" w:lineRule="exact"/>
        <w:ind w:firstLine="640"/>
        <w:jc w:val="both"/>
      </w:pPr>
      <w:r>
        <w:rPr>
          <w:rFonts w:ascii="仿宋_GB2312" w:hAnsi="仿宋_GB2312" w:eastAsia="仿宋_GB2312"/>
          <w:b/>
          <w:sz w:val="32"/>
        </w:rPr>
        <w:t>2024年度财政拨款收入总计976.88万元，</w:t>
      </w:r>
      <w:r>
        <w:rPr>
          <w:rFonts w:ascii="仿宋_GB2312" w:hAnsi="仿宋_GB2312" w:eastAsia="仿宋_GB2312"/>
          <w:b w:val="0"/>
          <w:sz w:val="32"/>
        </w:rPr>
        <w:t>其中：年初财政拨款结转和结余0.00万元，本年财政拨款收入976.88万元。</w:t>
      </w:r>
      <w:r>
        <w:rPr>
          <w:rFonts w:ascii="仿宋_GB2312" w:hAnsi="仿宋_GB2312" w:eastAsia="仿宋_GB2312"/>
          <w:b/>
          <w:sz w:val="32"/>
        </w:rPr>
        <w:t>财政拨款支出总计976.88万元，</w:t>
      </w:r>
      <w:r>
        <w:rPr>
          <w:rFonts w:ascii="仿宋_GB2312" w:hAnsi="仿宋_GB2312" w:eastAsia="仿宋_GB2312"/>
          <w:b w:val="0"/>
          <w:sz w:val="32"/>
        </w:rPr>
        <w:t>其中：年末财政拨款结转和结余0.00万元，本年财政拨款支出976.88万元。</w:t>
      </w:r>
    </w:p>
    <w:p w14:paraId="7BFED2D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减少45.51万元，下降4.45%，主要原因是：1.本年无死亡抚恤人员，相关人员经费较上年减少；2.本年减少中央突发事件防控财力补助、中医馆建设项目补助等项目；3.本年</w:t>
      </w:r>
      <w:r>
        <w:rPr>
          <w:rFonts w:hint="eastAsia" w:ascii="仿宋_GB2312" w:hAnsi="仿宋_GB2312" w:eastAsia="仿宋_GB2312"/>
          <w:b w:val="0"/>
          <w:sz w:val="32"/>
          <w:lang w:eastAsia="zh-CN"/>
        </w:rPr>
        <w:t>慢性病</w:t>
      </w:r>
      <w:r>
        <w:rPr>
          <w:rFonts w:ascii="仿宋_GB2312" w:hAnsi="仿宋_GB2312" w:eastAsia="仿宋_GB2312"/>
          <w:b w:val="0"/>
          <w:sz w:val="32"/>
        </w:rPr>
        <w:t>孕产妇儿童管理及老年人管理等服务项目、全民健康体检工程补助资金等项目资金较上年减少。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630.92万元，决算数976.88万元，预决算差异率54.83%，主要原因是：1.年中追加医疗服务与保障能力提升（卫生健康人才队伍建设）补助资金、中央医疗服务保障与能力提升（公立医院综合改革）补助资金、基本药物制度补助资金、</w:t>
      </w:r>
      <w:r>
        <w:rPr>
          <w:rFonts w:hint="eastAsia" w:ascii="仿宋_GB2312" w:hAnsi="仿宋_GB2312" w:eastAsia="仿宋_GB2312"/>
          <w:b w:val="0"/>
          <w:sz w:val="32"/>
          <w:lang w:eastAsia="zh-CN"/>
        </w:rPr>
        <w:t>慢性病</w:t>
      </w:r>
      <w:r>
        <w:rPr>
          <w:rFonts w:ascii="仿宋_GB2312" w:hAnsi="仿宋_GB2312" w:eastAsia="仿宋_GB2312"/>
          <w:b w:val="0"/>
          <w:sz w:val="32"/>
        </w:rPr>
        <w:t>孕产妇儿童管理及老年人管理等服务项目、重大传染病防控补助资金、全民健康体检工程补助资金、80岁以上老年人免费体检补助资金、专项彩票公益金支持地方社会公益事业发展（医疗救助）资金等项目，导致预决算存在差异；2.本年在职人员增加，年中追加人员经费及人员工资、社保、公积金基数调增部分资金，导致预决算存在差异。</w:t>
      </w:r>
    </w:p>
    <w:p w14:paraId="512697EA">
      <w:pPr>
        <w:spacing w:line="640" w:lineRule="exact"/>
        <w:ind w:firstLine="640"/>
        <w:jc w:val="both"/>
        <w:outlineLvl w:val="2"/>
      </w:pPr>
      <w:r>
        <w:rPr>
          <w:rFonts w:ascii="黑体" w:hAnsi="黑体" w:eastAsia="黑体"/>
          <w:sz w:val="32"/>
        </w:rPr>
        <w:t>五、一般公共预算财政拨款支出决算情况说明</w:t>
      </w:r>
    </w:p>
    <w:p w14:paraId="3A5017A6">
      <w:pPr>
        <w:spacing w:line="640" w:lineRule="exact"/>
        <w:ind w:firstLine="640"/>
        <w:jc w:val="both"/>
        <w:outlineLvl w:val="3"/>
      </w:pPr>
      <w:r>
        <w:rPr>
          <w:rFonts w:ascii="楷体_GB2312" w:hAnsi="楷体_GB2312" w:eastAsia="楷体_GB2312"/>
          <w:b/>
          <w:sz w:val="32"/>
        </w:rPr>
        <w:t>（一）一般公共预算财政拨款支出决算总体情况</w:t>
      </w:r>
    </w:p>
    <w:p w14:paraId="5256A392">
      <w:pPr>
        <w:spacing w:line="580" w:lineRule="exact"/>
        <w:ind w:firstLine="640"/>
        <w:jc w:val="both"/>
      </w:pPr>
      <w:r>
        <w:rPr>
          <w:rFonts w:ascii="仿宋_GB2312" w:hAnsi="仿宋_GB2312" w:eastAsia="仿宋_GB2312"/>
          <w:b/>
          <w:sz w:val="32"/>
        </w:rPr>
        <w:t>2024年度一般公共预算财政拨款支出970.67万元，</w:t>
      </w:r>
      <w:r>
        <w:rPr>
          <w:rFonts w:ascii="仿宋_GB2312" w:hAnsi="仿宋_GB2312" w:eastAsia="仿宋_GB2312"/>
          <w:b w:val="0"/>
          <w:sz w:val="32"/>
        </w:rPr>
        <w:t>占本年支出合计的65.73%。</w:t>
      </w:r>
      <w:r>
        <w:rPr>
          <w:rFonts w:ascii="仿宋_GB2312" w:hAnsi="仿宋_GB2312" w:eastAsia="仿宋_GB2312"/>
          <w:b/>
          <w:sz w:val="32"/>
        </w:rPr>
        <w:t>与上年相比，</w:t>
      </w:r>
      <w:r>
        <w:rPr>
          <w:rFonts w:ascii="仿宋_GB2312" w:hAnsi="仿宋_GB2312" w:eastAsia="仿宋_GB2312"/>
          <w:b w:val="0"/>
          <w:sz w:val="32"/>
        </w:rPr>
        <w:t>减少48.16万元，下降4.73%，主要原因是：1.本年无死亡抚恤人员，相关人员经费较上年减少；2.本年减少中央突发事件防控财力补助、中医馆建设项目补助等项目；3.本年</w:t>
      </w:r>
      <w:r>
        <w:rPr>
          <w:rFonts w:hint="eastAsia" w:ascii="仿宋_GB2312" w:hAnsi="仿宋_GB2312" w:eastAsia="仿宋_GB2312"/>
          <w:b w:val="0"/>
          <w:sz w:val="32"/>
          <w:lang w:eastAsia="zh-CN"/>
        </w:rPr>
        <w:t>慢性病</w:t>
      </w:r>
      <w:r>
        <w:rPr>
          <w:rFonts w:ascii="仿宋_GB2312" w:hAnsi="仿宋_GB2312" w:eastAsia="仿宋_GB2312"/>
          <w:b w:val="0"/>
          <w:sz w:val="32"/>
        </w:rPr>
        <w:t>孕产妇儿童管理及老年人管理等服务项目、全民健康体检工程补助资金等项目资金较上年减少。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630.92万元，决算数970.67万元，预决算差异率53.85%，主要原因是：1.年中追加医疗服务与保障能力提升（卫生健康人才队伍建设）补助资金、中央医疗服务保障与能力提升（公立医院综合改革）补助资金、基本药物制度补助资金、</w:t>
      </w:r>
      <w:r>
        <w:rPr>
          <w:rFonts w:hint="eastAsia" w:ascii="仿宋_GB2312" w:hAnsi="仿宋_GB2312" w:eastAsia="仿宋_GB2312"/>
          <w:b w:val="0"/>
          <w:sz w:val="32"/>
          <w:lang w:eastAsia="zh-CN"/>
        </w:rPr>
        <w:t>慢性病</w:t>
      </w:r>
      <w:r>
        <w:rPr>
          <w:rFonts w:ascii="仿宋_GB2312" w:hAnsi="仿宋_GB2312" w:eastAsia="仿宋_GB2312"/>
          <w:b w:val="0"/>
          <w:sz w:val="32"/>
        </w:rPr>
        <w:t>孕产妇儿童管理及老年人管理等服务项目、重大传染病防控补助资金、全民健康体检工程补助资金等项目，导致预决算存在差异；2.本年在职人员增加，年中追加人员经费及人员工资、社保、公积金基数调增部分资金，导致预决算存在差异。</w:t>
      </w:r>
    </w:p>
    <w:p w14:paraId="1D3CBB05">
      <w:pPr>
        <w:spacing w:line="640" w:lineRule="exact"/>
        <w:ind w:firstLine="640"/>
        <w:jc w:val="both"/>
        <w:outlineLvl w:val="3"/>
      </w:pPr>
      <w:r>
        <w:rPr>
          <w:rFonts w:ascii="楷体_GB2312" w:hAnsi="楷体_GB2312" w:eastAsia="楷体_GB2312"/>
          <w:b/>
          <w:sz w:val="32"/>
        </w:rPr>
        <w:t>（二）一般公共预算财政拨款支出决算结构情况</w:t>
      </w:r>
    </w:p>
    <w:p w14:paraId="26B94322">
      <w:pPr>
        <w:spacing w:line="580" w:lineRule="exact"/>
        <w:ind w:firstLine="640"/>
        <w:jc w:val="both"/>
      </w:pPr>
      <w:r>
        <w:rPr>
          <w:rFonts w:ascii="仿宋_GB2312" w:hAnsi="仿宋_GB2312" w:eastAsia="仿宋_GB2312"/>
          <w:b w:val="0"/>
          <w:sz w:val="32"/>
        </w:rPr>
        <w:t>1.社会保障和就业支出(类)81.45万元,占8.39%。</w:t>
      </w:r>
    </w:p>
    <w:p w14:paraId="4BC3C693">
      <w:pPr>
        <w:spacing w:line="580" w:lineRule="exact"/>
        <w:ind w:firstLine="640"/>
        <w:jc w:val="both"/>
      </w:pPr>
      <w:r>
        <w:rPr>
          <w:rFonts w:ascii="仿宋_GB2312" w:hAnsi="仿宋_GB2312" w:eastAsia="仿宋_GB2312"/>
          <w:b w:val="0"/>
          <w:sz w:val="32"/>
        </w:rPr>
        <w:t>2.卫生健康支出(类)837.91万元,占86.32%。</w:t>
      </w:r>
    </w:p>
    <w:p w14:paraId="19599F07">
      <w:pPr>
        <w:spacing w:line="580" w:lineRule="exact"/>
        <w:ind w:firstLine="640"/>
        <w:jc w:val="both"/>
      </w:pPr>
      <w:r>
        <w:rPr>
          <w:rFonts w:ascii="仿宋_GB2312" w:hAnsi="仿宋_GB2312" w:eastAsia="仿宋_GB2312"/>
          <w:b w:val="0"/>
          <w:sz w:val="32"/>
        </w:rPr>
        <w:t>3.住房保障支出(类)51.31万元,占5.29%。</w:t>
      </w:r>
    </w:p>
    <w:p w14:paraId="32297D34">
      <w:pPr>
        <w:spacing w:line="640" w:lineRule="exact"/>
        <w:ind w:firstLine="640"/>
        <w:jc w:val="both"/>
        <w:outlineLvl w:val="3"/>
      </w:pPr>
      <w:r>
        <w:rPr>
          <w:rFonts w:ascii="楷体_GB2312" w:hAnsi="楷体_GB2312" w:eastAsia="楷体_GB2312"/>
          <w:b/>
          <w:sz w:val="32"/>
        </w:rPr>
        <w:t>（三）一般公共预算财政拨款支出决算具体情况</w:t>
      </w:r>
    </w:p>
    <w:p w14:paraId="418AB99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1.社会保障和就业支出(类)行政事业单位养老支出(款)事业单位离退休(项):支出决算数为14.65万元，比上年决算增加11.51万元，增长366.56%,主要原因是：本年增加退休人员基础绩效奖、计生奖励金，退休费支出增加。</w:t>
      </w:r>
    </w:p>
    <w:p w14:paraId="2436D34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60.84万元，比上年决算增加4.49万元，增长7.97%,主要原因是：本年在职人员工资基数调增，养老缴费基数上涨，相应支出增加。</w:t>
      </w:r>
    </w:p>
    <w:p w14:paraId="75B8191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3.社会保障和就业支出(类)行政事业单位养老支出(款)机关事业单位职业年金缴费支出(项):支出决算数为5.96万元，比上年决算增加0.80万元，增长15.50%,主要原因是：本年</w:t>
      </w:r>
      <w:r>
        <w:rPr>
          <w:rFonts w:hint="eastAsia" w:ascii="仿宋_GB2312" w:hAnsi="仿宋_GB2312" w:eastAsia="仿宋_GB2312"/>
          <w:b w:val="0"/>
          <w:sz w:val="32"/>
          <w:lang w:val="en-US" w:eastAsia="zh-CN"/>
        </w:rPr>
        <w:t>调出</w:t>
      </w:r>
      <w:r>
        <w:rPr>
          <w:rFonts w:hint="eastAsia" w:ascii="仿宋_GB2312" w:hAnsi="仿宋_GB2312" w:eastAsia="仿宋_GB2312"/>
          <w:b w:val="0"/>
          <w:w w:val="96"/>
          <w:sz w:val="32"/>
          <w:lang w:val="en-US" w:eastAsia="zh-CN"/>
        </w:rPr>
        <w:t>人员职业年金较上年调出人员基数高，导致职业年金缴费支出增加</w:t>
      </w:r>
      <w:r>
        <w:rPr>
          <w:rFonts w:ascii="仿宋_GB2312" w:hAnsi="仿宋_GB2312" w:eastAsia="仿宋_GB2312"/>
          <w:b w:val="0"/>
          <w:w w:val="96"/>
          <w:sz w:val="32"/>
        </w:rPr>
        <w:t>。</w:t>
      </w:r>
    </w:p>
    <w:p w14:paraId="5B73CE53">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4.社会保障和就业支出(类)抚恤(款)死亡抚恤(项):支出决算数为0.00万元，比上年决算减少7.31万元，下降100.00%,主要原因是：本年无新增死亡人员，死亡抚恤支出较上年减少。</w:t>
      </w:r>
    </w:p>
    <w:p w14:paraId="7C10918D">
      <w:pPr>
        <w:spacing w:line="580" w:lineRule="exact"/>
        <w:ind w:firstLine="640"/>
        <w:jc w:val="both"/>
      </w:pPr>
      <w:r>
        <w:rPr>
          <w:rFonts w:ascii="仿宋_GB2312" w:hAnsi="仿宋_GB2312" w:eastAsia="仿宋_GB2312"/>
          <w:b w:val="0"/>
          <w:sz w:val="32"/>
        </w:rPr>
        <w:t>5.卫生健康支出(类)卫生健康管理事务(款)其他卫生健康管理事务支出(项):支出决算数为4.14万元，比上年决算减少9.10万元，下降68.73%,主要原因是：本年减少村医经费，支出较上年减少。</w:t>
      </w:r>
    </w:p>
    <w:p w14:paraId="41CF0F3F">
      <w:pPr>
        <w:spacing w:line="580" w:lineRule="exact"/>
        <w:ind w:firstLine="640"/>
        <w:jc w:val="both"/>
      </w:pPr>
      <w:r>
        <w:rPr>
          <w:rFonts w:ascii="仿宋_GB2312" w:hAnsi="仿宋_GB2312" w:eastAsia="仿宋_GB2312"/>
          <w:b w:val="0"/>
          <w:sz w:val="32"/>
        </w:rPr>
        <w:t>6.卫生健康支出(类)公立医院(款)其他公立医院支出(项):支出决算数为5.00万元，比上年决算增加5.00万元，增长100.00%,主要原因是：本年增加中央医疗服务保障与能力提升（公立医院综合改革）补助资金项目支出。</w:t>
      </w:r>
    </w:p>
    <w:p w14:paraId="08DD72BE">
      <w:pPr>
        <w:spacing w:line="580" w:lineRule="exact"/>
        <w:ind w:firstLine="640"/>
        <w:jc w:val="both"/>
      </w:pPr>
      <w:r>
        <w:rPr>
          <w:rFonts w:ascii="仿宋_GB2312" w:hAnsi="仿宋_GB2312" w:eastAsia="仿宋_GB2312"/>
          <w:b w:val="0"/>
          <w:sz w:val="32"/>
        </w:rPr>
        <w:t>7.卫生健康支出(类)基层医疗卫生机构(款)乡镇卫生院(项):支出决算数为474.99万元，比上年决算减少26.76万元，下降5.33%,主要原因是：本年在职人员13个月奖励工资未发放到位，相应支出减少。</w:t>
      </w:r>
    </w:p>
    <w:p w14:paraId="6202561E">
      <w:pPr>
        <w:spacing w:line="580" w:lineRule="exact"/>
        <w:ind w:firstLine="640"/>
        <w:jc w:val="both"/>
      </w:pPr>
      <w:r>
        <w:rPr>
          <w:rFonts w:ascii="仿宋_GB2312" w:hAnsi="仿宋_GB2312" w:eastAsia="仿宋_GB2312"/>
          <w:b w:val="0"/>
          <w:sz w:val="32"/>
        </w:rPr>
        <w:t>8.卫生健康支出(类)基层医疗卫生机构(款)其他基层医疗卫生机构支出(项):支出决算数为35.62万元，比上年决算增加2.20万元，增长6.58%,主要原因是：本年增加基本药物制度补助资金项目资金，支出增加。</w:t>
      </w:r>
    </w:p>
    <w:p w14:paraId="2203E4DC">
      <w:pPr>
        <w:spacing w:line="580" w:lineRule="exact"/>
        <w:ind w:firstLine="640"/>
        <w:jc w:val="both"/>
      </w:pPr>
      <w:r>
        <w:rPr>
          <w:rFonts w:ascii="仿宋_GB2312" w:hAnsi="仿宋_GB2312" w:eastAsia="仿宋_GB2312"/>
          <w:b w:val="0"/>
          <w:sz w:val="32"/>
        </w:rPr>
        <w:t>9.卫生健康支出(类)公共卫生(款)基本公共卫生服务(项):支出决算数为223.12万元，比上年决算减少10.02万元，下降4.30%,主要原因是：本年减少</w:t>
      </w:r>
      <w:r>
        <w:rPr>
          <w:rFonts w:hint="eastAsia" w:ascii="仿宋_GB2312" w:hAnsi="仿宋_GB2312" w:eastAsia="仿宋_GB2312"/>
          <w:b w:val="0"/>
          <w:sz w:val="32"/>
          <w:lang w:eastAsia="zh-CN"/>
        </w:rPr>
        <w:t>慢性病</w:t>
      </w:r>
      <w:r>
        <w:rPr>
          <w:rFonts w:ascii="仿宋_GB2312" w:hAnsi="仿宋_GB2312" w:eastAsia="仿宋_GB2312"/>
          <w:b w:val="0"/>
          <w:sz w:val="32"/>
        </w:rPr>
        <w:t>孕产妇儿童管理及老年人管理等服务项目资金，支出减少。</w:t>
      </w:r>
    </w:p>
    <w:p w14:paraId="3BF80F7C">
      <w:pPr>
        <w:spacing w:line="580" w:lineRule="exact"/>
        <w:ind w:firstLine="640"/>
        <w:jc w:val="both"/>
      </w:pPr>
      <w:r>
        <w:rPr>
          <w:rFonts w:ascii="仿宋_GB2312" w:hAnsi="仿宋_GB2312" w:eastAsia="仿宋_GB2312"/>
          <w:b w:val="0"/>
          <w:sz w:val="32"/>
        </w:rPr>
        <w:t>10.卫生健康支出(类)公共卫生(款)重大公共卫生服务(项):支出决算数为3.32万元，比上年决算增加3.32万元，增长100.00%,主要原因是：本年增加重大传染病防控补助资金项目，支出增加。</w:t>
      </w:r>
    </w:p>
    <w:p w14:paraId="52285234">
      <w:pPr>
        <w:spacing w:line="580" w:lineRule="exact"/>
        <w:ind w:firstLine="640"/>
        <w:jc w:val="both"/>
      </w:pPr>
      <w:r>
        <w:rPr>
          <w:rFonts w:ascii="仿宋_GB2312" w:hAnsi="仿宋_GB2312" w:eastAsia="仿宋_GB2312"/>
          <w:b w:val="0"/>
          <w:sz w:val="32"/>
        </w:rPr>
        <w:t>11.卫生健康支出(类)公共卫生(款)突发公共卫生事件应急处理(项):支出决算数为0.00万元，比上年决算减少10.86万元，下降100.00%,主要原因是：本年减少中央突发事件防控财力补助项目，支出减少。</w:t>
      </w:r>
    </w:p>
    <w:p w14:paraId="594CCC0D">
      <w:pPr>
        <w:spacing w:line="580" w:lineRule="exact"/>
        <w:ind w:firstLine="640"/>
        <w:jc w:val="both"/>
      </w:pPr>
      <w:r>
        <w:rPr>
          <w:rFonts w:ascii="仿宋_GB2312" w:hAnsi="仿宋_GB2312" w:eastAsia="仿宋_GB2312"/>
          <w:b w:val="0"/>
          <w:sz w:val="32"/>
        </w:rPr>
        <w:t>12.卫生健康支出(类)公共卫生(款)其他公共卫生支出(项):支出决算数为60.79万元，比上年决算减少7.47万元，下降10.94%,主要原因是：本年减少全民健康体检支出项目，支出减少。</w:t>
      </w:r>
    </w:p>
    <w:p w14:paraId="093E8863">
      <w:pPr>
        <w:spacing w:line="580" w:lineRule="exact"/>
        <w:ind w:firstLine="640"/>
        <w:jc w:val="both"/>
      </w:pPr>
      <w:r>
        <w:rPr>
          <w:rFonts w:ascii="仿宋_GB2312" w:hAnsi="仿宋_GB2312" w:eastAsia="仿宋_GB2312"/>
          <w:b w:val="0"/>
          <w:sz w:val="32"/>
        </w:rPr>
        <w:t>13.卫生健康支出(类)中医药(款)中医（民族医）药专项(项):支出决算数为0.00万元，比上年决算减少0.15万元，下降100.00%,主要原因是：本年减少中医馆建设项目补助项目，支出减少。</w:t>
      </w:r>
    </w:p>
    <w:p w14:paraId="459530BF">
      <w:pPr>
        <w:spacing w:line="580" w:lineRule="exact"/>
        <w:ind w:firstLine="640"/>
        <w:jc w:val="both"/>
      </w:pPr>
      <w:r>
        <w:rPr>
          <w:rFonts w:ascii="仿宋_GB2312" w:hAnsi="仿宋_GB2312" w:eastAsia="仿宋_GB2312"/>
          <w:b w:val="0"/>
          <w:sz w:val="32"/>
        </w:rPr>
        <w:t>14.卫生健康支出(类)行政事业单位医疗(款)事业单位医疗(项):支出决算数为30.93万元，比上年决算减少6.96万元，下降18.37%,主要原因是：因退休人员医疗保险制度改革，退休人员基本医疗不再由单位缴纳，导致经费较上年减少。</w:t>
      </w:r>
    </w:p>
    <w:p w14:paraId="32085779">
      <w:pPr>
        <w:spacing w:line="580" w:lineRule="exact"/>
        <w:ind w:firstLine="640"/>
        <w:jc w:val="both"/>
      </w:pPr>
      <w:r>
        <w:rPr>
          <w:rFonts w:ascii="仿宋_GB2312" w:hAnsi="仿宋_GB2312" w:eastAsia="仿宋_GB2312"/>
          <w:b w:val="0"/>
          <w:sz w:val="32"/>
        </w:rPr>
        <w:t>15.住房保障支出(类)住房改革支出(款)住房公积金(项):支出决算数为51.31万元，比上年决算增加3.15万元，增长6.54%,主要原因是：本年在职人员工资基数调增，公积金缴费基数上涨，相应支出增加。</w:t>
      </w:r>
    </w:p>
    <w:p w14:paraId="4A3DAD86">
      <w:pPr>
        <w:spacing w:line="640" w:lineRule="exact"/>
        <w:ind w:firstLine="640"/>
        <w:jc w:val="both"/>
        <w:outlineLvl w:val="2"/>
      </w:pPr>
      <w:r>
        <w:rPr>
          <w:rFonts w:ascii="黑体" w:hAnsi="黑体" w:eastAsia="黑体"/>
          <w:sz w:val="32"/>
        </w:rPr>
        <w:t>六、一般公共预算财政拨款基本支出决算情况说明</w:t>
      </w:r>
    </w:p>
    <w:p w14:paraId="40144C62">
      <w:pPr>
        <w:spacing w:line="580" w:lineRule="exact"/>
        <w:ind w:firstLine="640"/>
        <w:jc w:val="both"/>
      </w:pPr>
      <w:r>
        <w:rPr>
          <w:rFonts w:ascii="仿宋_GB2312" w:hAnsi="仿宋_GB2312" w:eastAsia="仿宋_GB2312"/>
          <w:b w:val="0"/>
          <w:sz w:val="32"/>
        </w:rPr>
        <w:t>2024年度一般公共预算财政拨款基本支出638.68万元，其中：</w:t>
      </w:r>
      <w:r>
        <w:rPr>
          <w:rFonts w:ascii="仿宋_GB2312" w:hAnsi="仿宋_GB2312" w:eastAsia="仿宋_GB2312"/>
          <w:b/>
          <w:sz w:val="32"/>
        </w:rPr>
        <w:t>人员经费637.92万元，</w:t>
      </w:r>
      <w:r>
        <w:rPr>
          <w:rFonts w:ascii="仿宋_GB2312" w:hAnsi="仿宋_GB2312" w:eastAsia="仿宋_GB2312"/>
          <w:b w:val="0"/>
          <w:sz w:val="32"/>
        </w:rPr>
        <w:t>包括：基本工资、津贴补贴、绩效工资、机关事业单位基本养老保险缴费、职业年金缴费、职工基本医疗保险缴费、其他社会保障缴费、住房公积金、其他工资福利支出、退休费、生活补助、奖励金。</w:t>
      </w:r>
    </w:p>
    <w:p w14:paraId="6F8E2D1A">
      <w:pPr>
        <w:spacing w:line="580" w:lineRule="exact"/>
        <w:ind w:firstLine="640"/>
        <w:jc w:val="both"/>
      </w:pPr>
      <w:r>
        <w:rPr>
          <w:rFonts w:ascii="仿宋_GB2312" w:hAnsi="仿宋_GB2312" w:eastAsia="仿宋_GB2312"/>
          <w:b/>
          <w:sz w:val="32"/>
        </w:rPr>
        <w:t>公用经费0.76万元，</w:t>
      </w:r>
      <w:r>
        <w:rPr>
          <w:rFonts w:ascii="仿宋_GB2312" w:hAnsi="仿宋_GB2312" w:eastAsia="仿宋_GB2312"/>
          <w:b w:val="0"/>
          <w:sz w:val="32"/>
        </w:rPr>
        <w:t>包括：工会经费、福利费。</w:t>
      </w:r>
    </w:p>
    <w:p w14:paraId="08EDBCB9">
      <w:pPr>
        <w:spacing w:line="640" w:lineRule="exact"/>
        <w:ind w:firstLine="640"/>
        <w:jc w:val="both"/>
        <w:outlineLvl w:val="2"/>
      </w:pPr>
      <w:r>
        <w:rPr>
          <w:rFonts w:ascii="黑体" w:hAnsi="黑体" w:eastAsia="黑体"/>
          <w:sz w:val="32"/>
        </w:rPr>
        <w:t>七、政府性基金预算财政拨款收入支出决算情况说明</w:t>
      </w:r>
    </w:p>
    <w:p w14:paraId="15E1AC89">
      <w:pPr>
        <w:spacing w:line="580" w:lineRule="exact"/>
        <w:ind w:firstLine="640"/>
        <w:jc w:val="both"/>
      </w:pPr>
      <w:r>
        <w:rPr>
          <w:rFonts w:ascii="仿宋_GB2312" w:hAnsi="仿宋_GB2312" w:eastAsia="仿宋_GB2312"/>
          <w:b/>
          <w:sz w:val="32"/>
        </w:rPr>
        <w:t>2024年度政府性基金预算财政拨款收入总计6.21万元，</w:t>
      </w:r>
      <w:r>
        <w:rPr>
          <w:rFonts w:ascii="仿宋_GB2312" w:hAnsi="仿宋_GB2312" w:eastAsia="仿宋_GB2312"/>
          <w:b w:val="0"/>
          <w:sz w:val="32"/>
        </w:rPr>
        <w:t>其中：年初结转和结余0.00万元，本年收入6.21万元。</w:t>
      </w:r>
      <w:r>
        <w:rPr>
          <w:rFonts w:ascii="仿宋_GB2312" w:hAnsi="仿宋_GB2312" w:eastAsia="仿宋_GB2312"/>
          <w:b/>
          <w:sz w:val="32"/>
        </w:rPr>
        <w:t>政府性基金预算财政拨款支出总计6.21万元，</w:t>
      </w:r>
      <w:r>
        <w:rPr>
          <w:rFonts w:ascii="仿宋_GB2312" w:hAnsi="仿宋_GB2312" w:eastAsia="仿宋_GB2312"/>
          <w:b w:val="0"/>
          <w:sz w:val="32"/>
        </w:rPr>
        <w:t>其中：年末结转和结余0.00万元，本年支出6.21万元。</w:t>
      </w:r>
    </w:p>
    <w:p w14:paraId="2B57210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增加2.65万元，增长74.44%，主要原因是：1.本年增加专项彩票公益金支持地方社会公益事业发展（医疗救助）资金项目；2.本年80岁以上老年人免费体检补助资金项目资金较上年增加。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6.21万元，预决算差异率100.00%，主要原因是：年中追加专项彩票公益金支持地方社会公益事业发展（医疗救助）资金项目，80岁以上老年人免费体检补助资金项目，导致预决算存在差异。</w:t>
      </w:r>
    </w:p>
    <w:p w14:paraId="6A85461D">
      <w:pPr>
        <w:spacing w:line="580" w:lineRule="exact"/>
        <w:ind w:firstLine="640"/>
        <w:jc w:val="both"/>
      </w:pPr>
      <w:r>
        <w:rPr>
          <w:rFonts w:ascii="仿宋_GB2312" w:hAnsi="仿宋_GB2312" w:eastAsia="仿宋_GB2312"/>
          <w:b w:val="0"/>
          <w:sz w:val="32"/>
        </w:rPr>
        <w:t>政府性基金预算财政拨款支出6.21万元。</w:t>
      </w:r>
    </w:p>
    <w:p w14:paraId="7804102B">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5.16万元，比上年决算增加1.60万元，增长44.94%,主要原因是：本年80岁以上老年人免费体检补助资金项目资金较上年增加，支出增加。</w:t>
      </w:r>
    </w:p>
    <w:p w14:paraId="0F39D28C">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1.05万元，比上年决算增加1.05万元，增长100.00%,主要原因是：本年增加专项彩票公益金支持地方社会公益事业发展（医疗救助）资金项目资金，支出增加。</w:t>
      </w:r>
    </w:p>
    <w:p w14:paraId="5458D060">
      <w:pPr>
        <w:spacing w:line="640" w:lineRule="exact"/>
        <w:ind w:firstLine="640"/>
        <w:jc w:val="both"/>
        <w:outlineLvl w:val="2"/>
      </w:pPr>
      <w:r>
        <w:rPr>
          <w:rFonts w:ascii="黑体" w:hAnsi="黑体" w:eastAsia="黑体"/>
          <w:sz w:val="32"/>
        </w:rPr>
        <w:t>八、国有资本经营预算财政拨款收入支出决算情况说明</w:t>
      </w:r>
    </w:p>
    <w:p w14:paraId="0017270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6B20C92">
      <w:pPr>
        <w:spacing w:line="640" w:lineRule="exact"/>
        <w:ind w:firstLine="640"/>
        <w:jc w:val="both"/>
        <w:outlineLvl w:val="2"/>
      </w:pPr>
      <w:r>
        <w:rPr>
          <w:rFonts w:ascii="黑体" w:hAnsi="黑体" w:eastAsia="黑体"/>
          <w:sz w:val="32"/>
        </w:rPr>
        <w:t>九、财政拨款“三公”经费支出决算情况说明</w:t>
      </w:r>
    </w:p>
    <w:p w14:paraId="6FFD9BB8">
      <w:pPr>
        <w:spacing w:line="580" w:lineRule="exact"/>
        <w:ind w:firstLine="640"/>
        <w:jc w:val="both"/>
      </w:pPr>
      <w:r>
        <w:rPr>
          <w:rFonts w:ascii="仿宋_GB2312" w:hAnsi="仿宋_GB2312" w:eastAsia="仿宋_GB2312"/>
          <w:b/>
          <w:sz w:val="32"/>
        </w:rPr>
        <w:t>2024年度财政拨款“三公”经费支出1.76万元，</w:t>
      </w:r>
      <w:r>
        <w:rPr>
          <w:rFonts w:ascii="仿宋_GB2312" w:hAnsi="仿宋_GB2312" w:eastAsia="仿宋_GB2312"/>
          <w:b w:val="0"/>
          <w:sz w:val="32"/>
        </w:rPr>
        <w:t>比上年减少2.48万元，下降58.49%，主要原因是：严格落实中央八项规定精神，厉行节约，减少车辆使用频次，公务用车运行维护费减少。其中：因公出国（境）费支出0.00万元，占0.00%，比上年增加0.00万元，增长0.00%，主要原因是：2023年与2024年均未安排因公出国（境）费支出。公务用车购置及运行维护费支出1.76万元，占100.00%，比上年减少2.48万元，下降58.49%，主要原因是：严格落实中央八项规定精神，厉行节约，减少车辆使用频次，公务用车运行维护费减少。公务接待费支出0.00万元，占0.00%，比上年增加0.00万元，增长0.00%，主要原因是：2023年与2024年均未安排公务接待费支出。</w:t>
      </w:r>
    </w:p>
    <w:p w14:paraId="7EE43D7D">
      <w:pPr>
        <w:spacing w:line="580" w:lineRule="exact"/>
        <w:ind w:firstLine="640"/>
        <w:jc w:val="both"/>
      </w:pPr>
      <w:r>
        <w:rPr>
          <w:rFonts w:ascii="仿宋_GB2312" w:hAnsi="仿宋_GB2312" w:eastAsia="仿宋_GB2312"/>
          <w:b/>
          <w:sz w:val="32"/>
        </w:rPr>
        <w:t>具体情况如下：</w:t>
      </w:r>
    </w:p>
    <w:p w14:paraId="0C79696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A840FAC">
      <w:pPr>
        <w:spacing w:line="580" w:lineRule="exact"/>
        <w:ind w:firstLine="640"/>
        <w:jc w:val="both"/>
      </w:pPr>
      <w:r>
        <w:rPr>
          <w:rFonts w:ascii="仿宋_GB2312" w:hAnsi="仿宋_GB2312" w:eastAsia="仿宋_GB2312"/>
          <w:b w:val="0"/>
          <w:sz w:val="32"/>
        </w:rPr>
        <w:t>公务用车购置及运行维护费1.76万元，其中：公务用车购置费0.00万元，公务用车运行维护费1.76万元。公务用车运行维护费开支内容包括车辆加油费、维修费、保险费、审车费、过路费等。公务用车购置数0辆，公务用车保有量6辆。国有资产占用情况中固定资产车辆6辆，与公务用车保有量差异原因是：本单位固定资产车辆与公务用车保有量一致无差异。</w:t>
      </w:r>
    </w:p>
    <w:p w14:paraId="1E65381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29EF5C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1.76万元，决算数1.76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1.76万元，决算数1.76万元，预决算差异率0.00%，主要原因是：严格按照预算执行，预决算无差异。公务接待费全年预算数0.00万元，决算数0.00万元，预决算差异率0.00%，主要原因是：本单位无公务接待费。</w:t>
      </w:r>
    </w:p>
    <w:p w14:paraId="06FBB2B9">
      <w:pPr>
        <w:spacing w:line="640" w:lineRule="exact"/>
        <w:ind w:firstLine="640"/>
        <w:jc w:val="both"/>
        <w:outlineLvl w:val="2"/>
      </w:pPr>
      <w:r>
        <w:rPr>
          <w:rFonts w:ascii="黑体" w:hAnsi="黑体" w:eastAsia="黑体"/>
          <w:sz w:val="32"/>
        </w:rPr>
        <w:t>十、其他重要事项的情况说明</w:t>
      </w:r>
    </w:p>
    <w:p w14:paraId="7155E1C9">
      <w:pPr>
        <w:spacing w:line="640" w:lineRule="exact"/>
        <w:ind w:firstLine="640"/>
        <w:jc w:val="both"/>
        <w:outlineLvl w:val="3"/>
      </w:pPr>
      <w:r>
        <w:rPr>
          <w:rFonts w:ascii="楷体_GB2312" w:hAnsi="楷体_GB2312" w:eastAsia="楷体_GB2312"/>
          <w:b/>
          <w:sz w:val="32"/>
        </w:rPr>
        <w:t>（一）机关运行经费及公用经费支出情况</w:t>
      </w:r>
    </w:p>
    <w:p w14:paraId="4E63BB6A">
      <w:pPr>
        <w:spacing w:line="580" w:lineRule="exact"/>
        <w:ind w:firstLine="640"/>
        <w:jc w:val="both"/>
      </w:pPr>
      <w:r>
        <w:rPr>
          <w:rFonts w:ascii="仿宋_GB2312" w:hAnsi="仿宋_GB2312" w:eastAsia="仿宋_GB2312"/>
          <w:b w:val="0"/>
          <w:sz w:val="32"/>
        </w:rPr>
        <w:t>2024年度霍城县萨尔布拉克镇卫生院（事业单位）公用经费支出0.76万元，比上年增加0.01万元，增长1.33%，主要原因是：本年业务量增加，公用经费增加。</w:t>
      </w:r>
    </w:p>
    <w:p w14:paraId="0C544B92">
      <w:pPr>
        <w:spacing w:line="640" w:lineRule="exact"/>
        <w:ind w:firstLine="640"/>
        <w:jc w:val="both"/>
        <w:outlineLvl w:val="3"/>
      </w:pPr>
      <w:r>
        <w:rPr>
          <w:rFonts w:ascii="楷体_GB2312" w:hAnsi="楷体_GB2312" w:eastAsia="楷体_GB2312"/>
          <w:b/>
          <w:sz w:val="32"/>
        </w:rPr>
        <w:t>（二）政府采购情况</w:t>
      </w:r>
    </w:p>
    <w:p w14:paraId="0EA14598">
      <w:pPr>
        <w:spacing w:line="580" w:lineRule="exact"/>
        <w:ind w:firstLine="640"/>
        <w:jc w:val="both"/>
      </w:pPr>
      <w:r>
        <w:rPr>
          <w:rFonts w:ascii="仿宋_GB2312" w:hAnsi="仿宋_GB2312" w:eastAsia="仿宋_GB2312"/>
          <w:b w:val="0"/>
          <w:sz w:val="32"/>
        </w:rPr>
        <w:t>2024年度政府采购支出总额6.29万元，其中：政府采购货物支出1.57万元、政府采购工程支出0.00万元、政府采购服务支出4.72万元。</w:t>
      </w:r>
    </w:p>
    <w:p w14:paraId="25728C5C">
      <w:pPr>
        <w:spacing w:line="580" w:lineRule="exact"/>
        <w:ind w:firstLine="640"/>
        <w:jc w:val="both"/>
      </w:pPr>
      <w:r>
        <w:rPr>
          <w:rFonts w:ascii="仿宋_GB2312" w:hAnsi="仿宋_GB2312" w:eastAsia="仿宋_GB2312"/>
          <w:b w:val="0"/>
          <w:sz w:val="32"/>
        </w:rPr>
        <w:t>授予中小企业合同金额6.29万元，占政府采购支出总额的100.00%，其中：授予小微企业合同金额6.29万元，占政府采购支出总额的100.00%。</w:t>
      </w:r>
    </w:p>
    <w:p w14:paraId="6C3B1E68">
      <w:pPr>
        <w:spacing w:line="640" w:lineRule="exact"/>
        <w:ind w:firstLine="640"/>
        <w:jc w:val="both"/>
        <w:outlineLvl w:val="3"/>
      </w:pPr>
      <w:r>
        <w:rPr>
          <w:rFonts w:ascii="楷体_GB2312" w:hAnsi="楷体_GB2312" w:eastAsia="楷体_GB2312"/>
          <w:b/>
          <w:sz w:val="32"/>
        </w:rPr>
        <w:t>（三）国有资产占用情况说明</w:t>
      </w:r>
    </w:p>
    <w:p w14:paraId="3EF4A6EA">
      <w:pPr>
        <w:spacing w:line="580" w:lineRule="exact"/>
        <w:ind w:firstLine="640"/>
        <w:jc w:val="both"/>
      </w:pPr>
      <w:r>
        <w:rPr>
          <w:rFonts w:ascii="仿宋_GB2312" w:hAnsi="仿宋_GB2312" w:eastAsia="仿宋_GB2312"/>
          <w:b w:val="0"/>
          <w:sz w:val="32"/>
        </w:rPr>
        <w:t>截至2024年12月31日，房屋11,136.87平方米，价值2,116.36万元。车辆6辆，价值124.24万元，其中：副部（省）级及以上领导用车0辆、主要负责人用车0辆、机要通信用车0辆、应急保障用车0辆、执法执勤用车0辆、特种专业技术用车0辆、离退休干部服务用车0辆、其他用车6辆，其他用车主要是：救护车及负压救护车。单价100万元（含）以上设备（不含车辆）3台（套）。</w:t>
      </w:r>
    </w:p>
    <w:p w14:paraId="5698A089">
      <w:pPr>
        <w:spacing w:line="640" w:lineRule="exact"/>
        <w:ind w:firstLine="640"/>
        <w:jc w:val="both"/>
        <w:outlineLvl w:val="2"/>
      </w:pPr>
      <w:r>
        <w:rPr>
          <w:rFonts w:ascii="黑体" w:hAnsi="黑体" w:eastAsia="黑体"/>
          <w:sz w:val="32"/>
        </w:rPr>
        <w:t>十一、预算绩效的情况说明</w:t>
      </w:r>
    </w:p>
    <w:p w14:paraId="4A2D849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1,476.73万元，实际执行总额1,476.73万元；预算绩效评价项目1个，全年预算数499.86万元，全年执行数499.86万元。预算绩效管理取得的成效：</w:t>
      </w:r>
      <w:r>
        <w:rPr>
          <w:rFonts w:hint="eastAsia" w:ascii="仿宋_GB2312" w:hAnsi="Times New Roman" w:eastAsia="仿宋_GB2312" w:cs="Times New Roman"/>
          <w:color w:val="auto"/>
          <w:spacing w:val="0"/>
          <w:kern w:val="2"/>
          <w:sz w:val="32"/>
          <w:szCs w:val="32"/>
          <w:highlight w:val="none"/>
          <w:lang w:val="en-US" w:eastAsia="zh-CN" w:bidi="ar-SA"/>
        </w:rPr>
        <w:t>一是确保资金的高效使用，切实发挥财政资金使用效果。二是严格按照工作职责和相关文件依据，确保专款专用。三是严格控制资金的流出方向，确保资金的合规性</w:t>
      </w:r>
      <w:r>
        <w:rPr>
          <w:rFonts w:ascii="仿宋_GB2312" w:hAnsi="仿宋_GB2312" w:eastAsia="仿宋_GB2312"/>
          <w:b w:val="0"/>
          <w:sz w:val="32"/>
        </w:rPr>
        <w:t>。发现的问题及原因：（一）绩效指标设置不够明确：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管理制度不完善、日常管理不到位：</w:t>
      </w:r>
      <w:r>
        <w:rPr>
          <w:rFonts w:hint="eastAsia" w:ascii="仿宋_GB2312" w:hAnsi="仿宋_GB2312" w:eastAsia="仿宋_GB2312"/>
          <w:b w:val="0"/>
          <w:sz w:val="32"/>
          <w:lang w:eastAsia="zh-CN"/>
        </w:rPr>
        <w:t>本单位</w:t>
      </w:r>
      <w:r>
        <w:rPr>
          <w:rFonts w:ascii="仿宋_GB2312" w:hAnsi="仿宋_GB2312" w:eastAsia="仿宋_GB2312"/>
          <w:b w:val="0"/>
          <w:sz w:val="32"/>
        </w:rPr>
        <w:t>缺乏完善的固定资产管理制度，未根据实际情况及时更新，导致管理制度与实际操作脱节。固定资产管理涉及各个科室和人员，责任不明确无专人管理，未按规定定期清理盘点，固定资产台账不完整，导致资产账实不符及资产流失。（三）项目监督工作存在薄弱环节：项目实施过程中的上报、跟踪、反馈机制尚未真正形成，对项目资金的使用、实施等监管措施仍然存在改进的空间。下一步改进措施：</w:t>
      </w:r>
      <w:r>
        <w:rPr>
          <w:rFonts w:hint="default" w:ascii="仿宋_GB2312" w:hAnsi="Times New Roman" w:eastAsia="仿宋_GB2312" w:cs="Times New Roman"/>
          <w:color w:val="auto"/>
          <w:spacing w:val="0"/>
          <w:kern w:val="2"/>
          <w:sz w:val="32"/>
          <w:szCs w:val="32"/>
          <w:highlight w:val="none"/>
          <w:lang w:val="en-US" w:eastAsia="zh-CN" w:bidi="ar-SA"/>
        </w:rPr>
        <w:t>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Times New Roman" w:eastAsia="仿宋_GB2312" w:cs="Times New Roman"/>
          <w:color w:val="auto"/>
          <w:spacing w:val="0"/>
          <w:kern w:val="2"/>
          <w:sz w:val="32"/>
          <w:szCs w:val="32"/>
          <w:highlight w:val="none"/>
          <w:lang w:val="en-US" w:eastAsia="zh-CN" w:bidi="ar-SA"/>
        </w:rPr>
        <w:t>地</w:t>
      </w:r>
      <w:r>
        <w:rPr>
          <w:rFonts w:hint="default" w:ascii="仿宋_GB2312" w:hAnsi="Times New Roman" w:eastAsia="仿宋_GB2312" w:cs="Times New Roman"/>
          <w:color w:val="auto"/>
          <w:spacing w:val="0"/>
          <w:kern w:val="2"/>
          <w:sz w:val="32"/>
          <w:szCs w:val="32"/>
          <w:highlight w:val="none"/>
          <w:lang w:val="en-US" w:eastAsia="zh-CN" w:bidi="ar-SA"/>
        </w:rPr>
        <w:t>开展提供帮助。三是从源头上强化对专项资金预算管理，实行专项资金预算管理，结合单位实际,按轻重缓急统筹安排编制预算,提高预算编制科学性和合理性，优化资金结构</w:t>
      </w:r>
      <w:r>
        <w:rPr>
          <w:rFonts w:ascii="仿宋_GB2312" w:hAnsi="仿宋_GB2312" w:eastAsia="仿宋_GB2312"/>
          <w:b w:val="0"/>
          <w:sz w:val="32"/>
        </w:rPr>
        <w:t>。具体附整体支出绩效自评表，项目支出绩效自评表和评价报告。</w:t>
      </w:r>
    </w:p>
    <w:p w14:paraId="25278FF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BFF2361">
        <w:tblPrEx>
          <w:tblCellMar>
            <w:top w:w="0" w:type="dxa"/>
            <w:left w:w="108" w:type="dxa"/>
            <w:bottom w:w="0" w:type="dxa"/>
            <w:right w:w="108" w:type="dxa"/>
          </w:tblCellMar>
        </w:tblPrEx>
        <w:tc>
          <w:tcPr>
            <w:tcW w:w="8840" w:type="dxa"/>
            <w:gridSpan w:val="8"/>
            <w:vAlign w:val="center"/>
          </w:tcPr>
          <w:p w14:paraId="0F3400DF">
            <w:pPr>
              <w:jc w:val="center"/>
            </w:pPr>
            <w:r>
              <w:rPr>
                <w:rFonts w:ascii="宋体" w:hAnsi="宋体" w:eastAsia="宋体"/>
                <w:sz w:val="24"/>
              </w:rPr>
              <w:t>单位整体支出绩效自评表</w:t>
            </w:r>
          </w:p>
        </w:tc>
      </w:tr>
      <w:tr w14:paraId="6A0E9532">
        <w:tblPrEx>
          <w:tblCellMar>
            <w:top w:w="0" w:type="dxa"/>
            <w:left w:w="108" w:type="dxa"/>
            <w:bottom w:w="0" w:type="dxa"/>
            <w:right w:w="108" w:type="dxa"/>
          </w:tblCellMar>
        </w:tblPrEx>
        <w:tc>
          <w:tcPr>
            <w:tcW w:w="8840" w:type="dxa"/>
            <w:gridSpan w:val="8"/>
            <w:vAlign w:val="center"/>
          </w:tcPr>
          <w:p w14:paraId="3585B6AA">
            <w:pPr>
              <w:jc w:val="center"/>
            </w:pPr>
            <w:r>
              <w:rPr>
                <w:rFonts w:ascii="宋体" w:hAnsi="宋体" w:eastAsia="宋体"/>
                <w:sz w:val="24"/>
              </w:rPr>
              <w:t>（2024年度）</w:t>
            </w:r>
          </w:p>
        </w:tc>
      </w:tr>
      <w:tr w14:paraId="21865A8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FEF1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FF4832">
            <w:pPr>
              <w:jc w:val="center"/>
            </w:pPr>
            <w:r>
              <w:rPr>
                <w:rFonts w:ascii="宋体" w:hAnsi="宋体" w:eastAsia="宋体"/>
                <w:sz w:val="16"/>
              </w:rPr>
              <w:t>霍城县萨尔布拉克镇卫生院</w:t>
            </w:r>
          </w:p>
        </w:tc>
      </w:tr>
      <w:tr w14:paraId="090E59F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29024">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6BFA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FB85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8D51C">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0A6A6">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C4AE7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5D7C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EA65C">
            <w:pPr>
              <w:jc w:val="center"/>
            </w:pPr>
            <w:r>
              <w:rPr>
                <w:rFonts w:ascii="宋体" w:hAnsi="宋体" w:eastAsia="宋体"/>
                <w:sz w:val="16"/>
              </w:rPr>
              <w:t>得分</w:t>
            </w:r>
          </w:p>
        </w:tc>
      </w:tr>
      <w:tr w14:paraId="532AB2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F8ED0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3EB2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81CD9">
            <w:pPr>
              <w:jc w:val="center"/>
            </w:pPr>
            <w:r>
              <w:rPr>
                <w:rFonts w:ascii="宋体" w:hAnsi="宋体" w:eastAsia="宋体"/>
                <w:sz w:val="16"/>
              </w:rPr>
              <w:t>1,143.97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17BC2B">
            <w:pPr>
              <w:jc w:val="center"/>
            </w:pPr>
            <w:r>
              <w:rPr>
                <w:rFonts w:ascii="宋体" w:hAnsi="宋体" w:eastAsia="宋体"/>
                <w:sz w:val="16"/>
              </w:rPr>
              <w:t>1,476.73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52617">
            <w:pPr>
              <w:jc w:val="center"/>
            </w:pPr>
            <w:r>
              <w:rPr>
                <w:rFonts w:ascii="宋体" w:hAnsi="宋体" w:eastAsia="宋体"/>
                <w:sz w:val="16"/>
              </w:rPr>
              <w:t>1,476.73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E495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DAAD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5E89E">
            <w:pPr>
              <w:jc w:val="center"/>
            </w:pPr>
            <w:r>
              <w:rPr>
                <w:rFonts w:ascii="宋体" w:hAnsi="宋体" w:eastAsia="宋体"/>
                <w:sz w:val="16"/>
              </w:rPr>
              <w:t>10</w:t>
            </w:r>
          </w:p>
        </w:tc>
      </w:tr>
      <w:tr w14:paraId="2786CC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6B99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DC0AB">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49C5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C414C">
            <w:pPr>
              <w:jc w:val="center"/>
            </w:pPr>
            <w:r>
              <w:rPr>
                <w:rFonts w:ascii="宋体" w:hAnsi="宋体" w:eastAsia="宋体"/>
                <w:sz w:val="16"/>
              </w:rPr>
              <w:t>338.19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81B7B">
            <w:pPr>
              <w:jc w:val="center"/>
            </w:pPr>
            <w:r>
              <w:rPr>
                <w:rFonts w:ascii="宋体" w:hAnsi="宋体" w:eastAsia="宋体"/>
                <w:sz w:val="16"/>
              </w:rPr>
              <w:t>338.19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FAA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03CA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0402B">
            <w:pPr>
              <w:jc w:val="center"/>
            </w:pPr>
            <w:r>
              <w:rPr>
                <w:rFonts w:ascii="宋体" w:hAnsi="宋体" w:eastAsia="宋体"/>
                <w:sz w:val="16"/>
              </w:rPr>
              <w:t>-</w:t>
            </w:r>
          </w:p>
        </w:tc>
      </w:tr>
      <w:tr w14:paraId="4B5C6D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CE35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1444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59C9A">
            <w:pPr>
              <w:jc w:val="center"/>
            </w:pPr>
            <w:r>
              <w:rPr>
                <w:rFonts w:ascii="宋体" w:hAnsi="宋体" w:eastAsia="宋体"/>
                <w:sz w:val="16"/>
              </w:rPr>
              <w:t>630.92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558AA">
            <w:pPr>
              <w:jc w:val="center"/>
            </w:pPr>
            <w:r>
              <w:rPr>
                <w:rFonts w:ascii="宋体" w:hAnsi="宋体" w:eastAsia="宋体"/>
                <w:sz w:val="16"/>
              </w:rPr>
              <w:t>638.68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7092E">
            <w:pPr>
              <w:jc w:val="center"/>
            </w:pPr>
            <w:r>
              <w:rPr>
                <w:rFonts w:ascii="宋体" w:hAnsi="宋体" w:eastAsia="宋体"/>
                <w:sz w:val="16"/>
              </w:rPr>
              <w:t>638.68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8756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CFC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BDC63">
            <w:pPr>
              <w:jc w:val="center"/>
            </w:pPr>
            <w:r>
              <w:rPr>
                <w:rFonts w:ascii="宋体" w:hAnsi="宋体" w:eastAsia="宋体"/>
                <w:sz w:val="16"/>
              </w:rPr>
              <w:t>-</w:t>
            </w:r>
          </w:p>
        </w:tc>
      </w:tr>
      <w:tr w14:paraId="29A3D2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5A3CC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0B02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FE35B">
            <w:pPr>
              <w:jc w:val="center"/>
            </w:pPr>
            <w:r>
              <w:rPr>
                <w:rFonts w:ascii="宋体" w:hAnsi="宋体" w:eastAsia="宋体"/>
                <w:sz w:val="16"/>
              </w:rPr>
              <w:t>513.05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0A2ED8">
            <w:pPr>
              <w:jc w:val="center"/>
            </w:pPr>
            <w:r>
              <w:rPr>
                <w:rFonts w:ascii="宋体" w:hAnsi="宋体" w:eastAsia="宋体"/>
                <w:sz w:val="16"/>
              </w:rPr>
              <w:t>499.86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5A0B7">
            <w:pPr>
              <w:jc w:val="center"/>
            </w:pPr>
            <w:r>
              <w:rPr>
                <w:rFonts w:ascii="宋体" w:hAnsi="宋体" w:eastAsia="宋体"/>
                <w:sz w:val="16"/>
              </w:rPr>
              <w:t>499.86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A4EB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62D1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89E7D">
            <w:pPr>
              <w:jc w:val="center"/>
            </w:pPr>
            <w:r>
              <w:rPr>
                <w:rFonts w:ascii="宋体" w:hAnsi="宋体" w:eastAsia="宋体"/>
                <w:sz w:val="16"/>
              </w:rPr>
              <w:t>-</w:t>
            </w:r>
          </w:p>
        </w:tc>
      </w:tr>
      <w:tr w14:paraId="6D15332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D245C">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B4D19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89D5FC">
            <w:pPr>
              <w:jc w:val="center"/>
            </w:pPr>
            <w:r>
              <w:rPr>
                <w:rFonts w:ascii="宋体" w:hAnsi="宋体" w:eastAsia="宋体"/>
                <w:sz w:val="16"/>
              </w:rPr>
              <w:t>实际完成情况</w:t>
            </w:r>
          </w:p>
        </w:tc>
      </w:tr>
      <w:tr w14:paraId="49C95C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FCC6B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EE1049">
            <w:pPr>
              <w:jc w:val="both"/>
            </w:pPr>
            <w:r>
              <w:rPr>
                <w:rFonts w:ascii="宋体" w:hAnsi="宋体" w:eastAsia="宋体"/>
                <w:sz w:val="16"/>
              </w:rPr>
              <w:t xml:space="preserve">贯彻落实习近平新时代中国特色社会主义思想，持续深化医药卫生体制改革，坚持科学发展，坚持以人民为中心，以社会需求为导向，突出重点、整体推进，促进医疗事业与社会经济协调发展。                                                                                                                    1、不断深化医药卫生体制改革，保障城乡居民基本医疗，满足群众的基本用药需求，实施基本药物制度，加强药品管理，规范基层医疗机构和医务人员用药规范。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2、持续推动全民免费健康体检，加强慢性病预防、治疗和控制。                                                                                       3、实施健康行动，常住人口家庭医生签约服务达到国家目标要求。                                                                                     4、以公共卫生服务为主，提供预防保健、基本医疗、康复、健康教育和JHSY技术服务等为主要内容的综合性卫生服务，实施健康促进行动，保障妇幼、老年人重点人群健康管理；保障慢性病人群健康，完成高血压、2型糖尿病患者基层规范管理服务；加强适龄儿童免疫规划疫苗接种，努力实现基本公共卫生服务均等化的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053AE4">
            <w:pPr>
              <w:jc w:val="both"/>
            </w:pPr>
            <w:bookmarkStart w:id="0" w:name="_GoBack"/>
            <w:r>
              <w:rPr>
                <w:rFonts w:ascii="宋体" w:hAnsi="宋体" w:eastAsia="宋体"/>
                <w:sz w:val="16"/>
              </w:rPr>
              <w:t>1、</w:t>
            </w:r>
            <w:bookmarkEnd w:id="0"/>
            <w:r>
              <w:rPr>
                <w:rFonts w:ascii="宋体" w:hAnsi="宋体" w:eastAsia="宋体"/>
                <w:sz w:val="16"/>
              </w:rPr>
              <w:t>严格执行国家基本药物制度，完成基本药物执行率达100%，通过加强药品管理和规范基层医疗机构和医务人员的用药规范，提升了基层医疗服务的质量和安全性。同时，实施基本药物制度，降低药品成本，实行零差率销售，药品价格下降，减轻患者负担，满足了城乡居民的基本用药需求。2、2024年完成本辖区内体检人数16847人，完成率98.90%，成功提高了居民对慢性病的预防、治疗和控制的意识，实现了疾病的早发现、早诊断、早治疗，降低了慢性疾病的发病率和并发症的发生风险，提高了患者的生活质量，整体提升了居民的健康水平。3、通过推行常住人口家庭医生签约服务，签约率达到67.53%，提高了健康管理的覆盖率，达到了国家目标要求。家庭医生的签约服务，提供了全面和个性化的医疗服务，有效提高了人们的健康水平。4、在公共卫生服务方面，提供了预防保健、基本医疗、康复、健康教育技术服务等综合性卫生服务，完成了对高血压、2型糖尿病患者的基层规范管理服务率84.44%；加强了适龄儿童免疫规划疫苗接种工作，完成接种率99.71%；通过中医体质辨识，为患有慢性疾病的老年人提供中医药康复指导和干预，完成了老年人中医药健康管理率90.61%，努力实现了</w:t>
            </w:r>
            <w:r>
              <w:rPr>
                <w:rFonts w:hint="eastAsia" w:ascii="宋体" w:hAnsi="宋体"/>
                <w:sz w:val="16"/>
                <w:lang w:eastAsia="zh-CN"/>
              </w:rPr>
              <w:t>基本公共卫生服务均等化</w:t>
            </w:r>
            <w:r>
              <w:rPr>
                <w:rFonts w:ascii="宋体" w:hAnsi="宋体" w:eastAsia="宋体"/>
                <w:sz w:val="16"/>
              </w:rPr>
              <w:t>目标。5、保障了城乡居民的基本医疗需求，提升了慢性病预防和管理水平，改善了人民群众的健康状况。</w:t>
            </w:r>
          </w:p>
        </w:tc>
      </w:tr>
      <w:tr w14:paraId="6EAC525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234C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6D8F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E972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7B24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3BDB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5F697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781A7">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5F9AD2">
            <w:pPr>
              <w:jc w:val="center"/>
            </w:pPr>
            <w:r>
              <w:rPr>
                <w:rFonts w:ascii="宋体" w:hAnsi="宋体" w:eastAsia="宋体"/>
                <w:sz w:val="16"/>
              </w:rPr>
              <w:t>得分</w:t>
            </w:r>
          </w:p>
        </w:tc>
      </w:tr>
      <w:tr w14:paraId="6083AC2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46F7B">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F430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ED21B">
            <w:pPr>
              <w:jc w:val="center"/>
            </w:pPr>
            <w:r>
              <w:rPr>
                <w:rFonts w:ascii="宋体" w:hAnsi="宋体" w:eastAsia="宋体"/>
                <w:sz w:val="16"/>
              </w:rPr>
              <w:t>基本药物制度执行率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A57F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800BC">
            <w:pPr>
              <w:jc w:val="center"/>
            </w:pPr>
            <w:r>
              <w:rPr>
                <w:rFonts w:ascii="宋体" w:hAnsi="宋体" w:eastAsia="宋体"/>
                <w:sz w:val="16"/>
              </w:rPr>
              <w:t>继续实施《霍城县实施国家基本药物制度工作方案》的通知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FEF1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EAE87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36BC3">
            <w:pPr>
              <w:jc w:val="center"/>
            </w:pPr>
            <w:r>
              <w:rPr>
                <w:rFonts w:ascii="宋体" w:hAnsi="宋体" w:eastAsia="宋体"/>
                <w:sz w:val="16"/>
              </w:rPr>
              <w:t>15</w:t>
            </w:r>
          </w:p>
        </w:tc>
      </w:tr>
      <w:tr w14:paraId="173982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74618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473F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B2003">
            <w:pPr>
              <w:jc w:val="center"/>
            </w:pPr>
            <w:r>
              <w:rPr>
                <w:rFonts w:ascii="宋体" w:hAnsi="宋体" w:eastAsia="宋体"/>
                <w:sz w:val="16"/>
              </w:rPr>
              <w:t>全民健康体检完成率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8C3CF">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C0A33">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D93E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6A7A3">
            <w:pPr>
              <w:jc w:val="center"/>
            </w:pPr>
            <w:r>
              <w:rPr>
                <w:rFonts w:ascii="宋体" w:hAnsi="宋体" w:eastAsia="宋体"/>
                <w:sz w:val="16"/>
              </w:rPr>
              <w:t>98.90%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C605E7">
            <w:pPr>
              <w:jc w:val="center"/>
            </w:pPr>
            <w:r>
              <w:rPr>
                <w:rFonts w:ascii="宋体" w:hAnsi="宋体" w:eastAsia="宋体"/>
                <w:sz w:val="16"/>
              </w:rPr>
              <w:t>15</w:t>
            </w:r>
          </w:p>
        </w:tc>
      </w:tr>
      <w:tr w14:paraId="68CF7AC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44F02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419F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58AF5">
            <w:pPr>
              <w:jc w:val="center"/>
            </w:pPr>
            <w:r>
              <w:rPr>
                <w:rFonts w:ascii="宋体" w:hAnsi="宋体" w:eastAsia="宋体"/>
                <w:sz w:val="16"/>
              </w:rPr>
              <w:t>家庭医生签约率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CF0D22">
            <w:pPr>
              <w:jc w:val="center"/>
            </w:pPr>
            <w:r>
              <w:rPr>
                <w:rFonts w:ascii="宋体" w:hAnsi="宋体" w:eastAsia="宋体"/>
                <w:sz w:val="16"/>
              </w:rPr>
              <w:t>&gt;=61%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C22561">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A6E8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206602">
            <w:pPr>
              <w:jc w:val="center"/>
            </w:pPr>
            <w:r>
              <w:rPr>
                <w:rFonts w:ascii="宋体" w:hAnsi="宋体" w:eastAsia="宋体"/>
                <w:sz w:val="16"/>
              </w:rPr>
              <w:t>67.53%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30697">
            <w:pPr>
              <w:jc w:val="center"/>
            </w:pPr>
            <w:r>
              <w:rPr>
                <w:rFonts w:ascii="宋体" w:hAnsi="宋体" w:eastAsia="宋体"/>
                <w:sz w:val="16"/>
              </w:rPr>
              <w:t>15</w:t>
            </w:r>
          </w:p>
        </w:tc>
      </w:tr>
      <w:tr w14:paraId="5B0014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B54F1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FBF45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21E3E">
            <w:pPr>
              <w:jc w:val="center"/>
            </w:pPr>
            <w:r>
              <w:rPr>
                <w:rFonts w:ascii="宋体" w:hAnsi="宋体" w:eastAsia="宋体"/>
                <w:sz w:val="16"/>
              </w:rPr>
              <w:t>适龄儿童国家免疫规划疫苗接种率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FDD385">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6FABD">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F811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0BF5A">
            <w:pPr>
              <w:jc w:val="center"/>
            </w:pPr>
            <w:r>
              <w:rPr>
                <w:rFonts w:ascii="宋体" w:hAnsi="宋体" w:eastAsia="宋体"/>
                <w:sz w:val="16"/>
              </w:rPr>
              <w:t>99.71%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67EBF">
            <w:pPr>
              <w:jc w:val="center"/>
            </w:pPr>
            <w:r>
              <w:rPr>
                <w:rFonts w:ascii="宋体" w:hAnsi="宋体" w:eastAsia="宋体"/>
                <w:sz w:val="16"/>
              </w:rPr>
              <w:t>15</w:t>
            </w:r>
          </w:p>
        </w:tc>
      </w:tr>
      <w:tr w14:paraId="5AD886D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487EE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BF7D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4C9C1">
            <w:pPr>
              <w:jc w:val="center"/>
            </w:pPr>
            <w:r>
              <w:rPr>
                <w:rFonts w:ascii="宋体" w:hAnsi="宋体" w:eastAsia="宋体"/>
                <w:sz w:val="16"/>
              </w:rPr>
              <w:t>老年人中医药健康管理率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7D1DA">
            <w:pPr>
              <w:jc w:val="center"/>
            </w:pPr>
            <w:r>
              <w:rPr>
                <w:rFonts w:ascii="宋体" w:hAnsi="宋体" w:eastAsia="宋体"/>
                <w:sz w:val="16"/>
              </w:rPr>
              <w:t>&gt;=70%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62EDD">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0133A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9D375">
            <w:pPr>
              <w:jc w:val="center"/>
            </w:pPr>
            <w:r>
              <w:rPr>
                <w:rFonts w:ascii="宋体" w:hAnsi="宋体" w:eastAsia="宋体"/>
                <w:sz w:val="16"/>
              </w:rPr>
              <w:t>90.61%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6021A">
            <w:pPr>
              <w:jc w:val="center"/>
            </w:pPr>
            <w:r>
              <w:rPr>
                <w:rFonts w:ascii="宋体" w:hAnsi="宋体" w:eastAsia="宋体"/>
                <w:sz w:val="16"/>
              </w:rPr>
              <w:t>15</w:t>
            </w:r>
          </w:p>
        </w:tc>
      </w:tr>
      <w:tr w14:paraId="150C2E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FA93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DEB8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FC7AB">
            <w:pPr>
              <w:jc w:val="center"/>
            </w:pPr>
            <w:r>
              <w:rPr>
                <w:rFonts w:ascii="宋体" w:hAnsi="宋体" w:eastAsia="宋体"/>
                <w:sz w:val="16"/>
              </w:rPr>
              <w:t>高血压、2型糖尿病患者基层规范管理服务率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51390">
            <w:pPr>
              <w:jc w:val="center"/>
            </w:pPr>
            <w:r>
              <w:rPr>
                <w:rFonts w:ascii="宋体" w:hAnsi="宋体" w:eastAsia="宋体"/>
                <w:sz w:val="16"/>
              </w:rPr>
              <w:t>&gt;=62%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A0A09">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79F1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BC800F">
            <w:pPr>
              <w:jc w:val="center"/>
            </w:pPr>
            <w:r>
              <w:rPr>
                <w:rFonts w:ascii="宋体" w:hAnsi="宋体" w:eastAsia="宋体"/>
                <w:sz w:val="16"/>
              </w:rPr>
              <w:t>84.44%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A2B8B">
            <w:pPr>
              <w:jc w:val="center"/>
            </w:pPr>
            <w:r>
              <w:rPr>
                <w:rFonts w:ascii="宋体" w:hAnsi="宋体" w:eastAsia="宋体"/>
                <w:sz w:val="16"/>
              </w:rPr>
              <w:t>15</w:t>
            </w:r>
          </w:p>
        </w:tc>
      </w:tr>
    </w:tbl>
    <w:p w14:paraId="23CA049E">
      <w:r>
        <w:br w:type="page"/>
      </w:r>
    </w:p>
    <w:tbl>
      <w:tblPr>
        <w:tblStyle w:val="9"/>
        <w:tblW w:w="0" w:type="auto"/>
        <w:tblInd w:w="0" w:type="dxa"/>
        <w:tblLayout w:type="autofit"/>
        <w:tblCellMar>
          <w:top w:w="0" w:type="dxa"/>
          <w:left w:w="108" w:type="dxa"/>
          <w:bottom w:w="0" w:type="dxa"/>
          <w:right w:w="108" w:type="dxa"/>
        </w:tblCellMar>
      </w:tblPr>
      <w:tblGrid>
        <w:gridCol w:w="616"/>
        <w:gridCol w:w="588"/>
        <w:gridCol w:w="588"/>
        <w:gridCol w:w="588"/>
        <w:gridCol w:w="602"/>
        <w:gridCol w:w="936"/>
        <w:gridCol w:w="776"/>
        <w:gridCol w:w="776"/>
        <w:gridCol w:w="602"/>
        <w:gridCol w:w="588"/>
        <w:gridCol w:w="588"/>
        <w:gridCol w:w="591"/>
        <w:gridCol w:w="591"/>
        <w:gridCol w:w="630"/>
      </w:tblGrid>
      <w:tr w14:paraId="176577FB">
        <w:tc>
          <w:tcPr>
            <w:tcW w:w="8848" w:type="dxa"/>
            <w:gridSpan w:val="14"/>
            <w:vAlign w:val="center"/>
          </w:tcPr>
          <w:p w14:paraId="032079BF">
            <w:pPr>
              <w:jc w:val="center"/>
            </w:pPr>
            <w:r>
              <w:rPr>
                <w:rFonts w:ascii="宋体" w:hAnsi="宋体" w:eastAsia="宋体"/>
                <w:sz w:val="24"/>
              </w:rPr>
              <w:t>项目支出绩效自评表</w:t>
            </w:r>
          </w:p>
        </w:tc>
      </w:tr>
      <w:tr w14:paraId="03961E8A">
        <w:tblPrEx>
          <w:tblCellMar>
            <w:top w:w="0" w:type="dxa"/>
            <w:left w:w="108" w:type="dxa"/>
            <w:bottom w:w="0" w:type="dxa"/>
            <w:right w:w="108" w:type="dxa"/>
          </w:tblCellMar>
        </w:tblPrEx>
        <w:tc>
          <w:tcPr>
            <w:tcW w:w="8848" w:type="dxa"/>
            <w:gridSpan w:val="14"/>
            <w:vAlign w:val="center"/>
          </w:tcPr>
          <w:p w14:paraId="5A118621">
            <w:pPr>
              <w:jc w:val="center"/>
            </w:pPr>
            <w:r>
              <w:rPr>
                <w:rFonts w:ascii="宋体" w:hAnsi="宋体" w:eastAsia="宋体"/>
                <w:sz w:val="24"/>
              </w:rPr>
              <w:t>(2024年度)</w:t>
            </w:r>
          </w:p>
        </w:tc>
      </w:tr>
      <w:tr w14:paraId="781BFA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CB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FBDF91">
            <w:pPr>
              <w:jc w:val="center"/>
            </w:pPr>
            <w:r>
              <w:rPr>
                <w:rFonts w:ascii="宋体" w:hAnsi="宋体" w:eastAsia="宋体"/>
                <w:sz w:val="16"/>
              </w:rPr>
              <w:t>2024年事业收入（自有资金）</w:t>
            </w:r>
          </w:p>
        </w:tc>
      </w:tr>
      <w:tr w14:paraId="0BB4CB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D12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ED28E8">
            <w:pPr>
              <w:jc w:val="center"/>
            </w:pPr>
            <w:r>
              <w:rPr>
                <w:rFonts w:ascii="宋体" w:hAnsi="宋体" w:eastAsia="宋体"/>
                <w:sz w:val="16"/>
              </w:rPr>
              <w:t>霍城县萨尔布拉克镇卫生院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7B7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902D83">
            <w:pPr>
              <w:jc w:val="center"/>
            </w:pPr>
            <w:r>
              <w:rPr>
                <w:rFonts w:ascii="宋体" w:hAnsi="宋体" w:eastAsia="宋体"/>
                <w:sz w:val="16"/>
              </w:rPr>
              <w:t>霍城县萨尔布拉克镇卫生院</w:t>
            </w:r>
          </w:p>
        </w:tc>
      </w:tr>
      <w:tr w14:paraId="170553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F43F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8B1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D492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AAE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733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B90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8490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797F0">
            <w:pPr>
              <w:jc w:val="center"/>
            </w:pPr>
            <w:r>
              <w:rPr>
                <w:rFonts w:ascii="宋体" w:hAnsi="宋体" w:eastAsia="宋体"/>
                <w:sz w:val="16"/>
              </w:rPr>
              <w:t>得分</w:t>
            </w:r>
          </w:p>
        </w:tc>
      </w:tr>
      <w:tr w14:paraId="14C5E9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514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D0A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E1347">
            <w:pPr>
              <w:jc w:val="center"/>
            </w:pPr>
            <w:r>
              <w:rPr>
                <w:rFonts w:ascii="宋体" w:hAnsi="宋体" w:eastAsia="宋体"/>
                <w:sz w:val="16"/>
              </w:rPr>
              <w:t>513.05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7AA49">
            <w:pPr>
              <w:jc w:val="center"/>
            </w:pPr>
            <w:r>
              <w:rPr>
                <w:rFonts w:ascii="宋体" w:hAnsi="宋体" w:eastAsia="宋体"/>
                <w:sz w:val="16"/>
              </w:rPr>
              <w:t>499.86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CCF49">
            <w:pPr>
              <w:jc w:val="center"/>
            </w:pPr>
            <w:r>
              <w:rPr>
                <w:rFonts w:ascii="宋体" w:hAnsi="宋体" w:eastAsia="宋体"/>
                <w:sz w:val="16"/>
              </w:rPr>
              <w:t>499.86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ED2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3E2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5182D">
            <w:pPr>
              <w:jc w:val="center"/>
            </w:pPr>
            <w:r>
              <w:rPr>
                <w:rFonts w:ascii="宋体" w:hAnsi="宋体" w:eastAsia="宋体"/>
                <w:sz w:val="16"/>
              </w:rPr>
              <w:t>10.00</w:t>
            </w:r>
          </w:p>
        </w:tc>
      </w:tr>
      <w:tr w14:paraId="5192B4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CB5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015F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212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18A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0EC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D77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81F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AF239">
            <w:pPr>
              <w:jc w:val="center"/>
            </w:pPr>
            <w:r>
              <w:rPr>
                <w:rFonts w:ascii="宋体" w:hAnsi="宋体" w:eastAsia="宋体"/>
                <w:sz w:val="16"/>
              </w:rPr>
              <w:t>—</w:t>
            </w:r>
          </w:p>
        </w:tc>
      </w:tr>
      <w:tr w14:paraId="4FD7A0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D26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E73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0D73A">
            <w:pPr>
              <w:jc w:val="center"/>
            </w:pPr>
            <w:r>
              <w:rPr>
                <w:rFonts w:ascii="宋体" w:hAnsi="宋体" w:eastAsia="宋体"/>
                <w:sz w:val="16"/>
              </w:rPr>
              <w:t>513.05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9EE60">
            <w:pPr>
              <w:jc w:val="center"/>
            </w:pPr>
            <w:r>
              <w:rPr>
                <w:rFonts w:ascii="宋体" w:hAnsi="宋体" w:eastAsia="宋体"/>
                <w:sz w:val="16"/>
              </w:rPr>
              <w:t>499.86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02DEA">
            <w:pPr>
              <w:jc w:val="center"/>
            </w:pPr>
            <w:r>
              <w:rPr>
                <w:rFonts w:ascii="宋体" w:hAnsi="宋体" w:eastAsia="宋体"/>
                <w:sz w:val="16"/>
              </w:rPr>
              <w:t>499.86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906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09A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F40F">
            <w:pPr>
              <w:jc w:val="center"/>
            </w:pPr>
            <w:r>
              <w:rPr>
                <w:rFonts w:ascii="宋体" w:hAnsi="宋体" w:eastAsia="宋体"/>
                <w:sz w:val="16"/>
              </w:rPr>
              <w:t>—</w:t>
            </w:r>
          </w:p>
        </w:tc>
      </w:tr>
      <w:tr w14:paraId="13F5AA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4020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24D25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A0BC0E">
            <w:pPr>
              <w:jc w:val="center"/>
            </w:pPr>
            <w:r>
              <w:rPr>
                <w:rFonts w:ascii="宋体" w:hAnsi="宋体" w:eastAsia="宋体"/>
                <w:sz w:val="16"/>
              </w:rPr>
              <w:t>实际完成情况</w:t>
            </w:r>
          </w:p>
        </w:tc>
      </w:tr>
      <w:tr w14:paraId="461EBD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815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603B2E">
            <w:pPr>
              <w:jc w:val="both"/>
            </w:pPr>
            <w:r>
              <w:rPr>
                <w:rFonts w:ascii="宋体" w:hAnsi="宋体" w:eastAsia="宋体"/>
                <w:sz w:val="16"/>
              </w:rPr>
              <w:t>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653C83">
            <w:pPr>
              <w:jc w:val="both"/>
            </w:pPr>
            <w:r>
              <w:rPr>
                <w:rFonts w:ascii="宋体" w:hAnsi="宋体" w:eastAsia="宋体"/>
                <w:sz w:val="16"/>
              </w:rPr>
              <w:t>1、开展特色医疗服务，提高医疗服务质量，满足人民群众的基本医疗卫生服务需求，推动基层医疗卫生事业的持续发展，保障了城乡居民的基本医疗需求，提升了慢性病预防和管理水平，改善了人民群众的健康状况。2、保障单位人员发放工资福利支出及公用经费正常运转支出，并确保人员工资和社保足额发放及缴纳。3、加强对专用材料管理，验收合格率达到100%，基本药物的配送率达到100%，采购药品334余种，每月按照专用材料计划批次进行采购。</w:t>
            </w:r>
          </w:p>
        </w:tc>
      </w:tr>
      <w:tr w14:paraId="0D2A39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888F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81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880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0E7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A98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12C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464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99E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3A91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F2D2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0023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FDDD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C24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81DA9">
            <w:pPr>
              <w:jc w:val="center"/>
            </w:pPr>
            <w:r>
              <w:rPr>
                <w:rFonts w:ascii="宋体" w:hAnsi="宋体" w:eastAsia="宋体"/>
                <w:sz w:val="16"/>
              </w:rPr>
              <w:t>偏差原因分析及改进措施</w:t>
            </w:r>
          </w:p>
        </w:tc>
      </w:tr>
      <w:tr w14:paraId="6780EF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6CA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BEE5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167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FCAB">
            <w:pPr>
              <w:jc w:val="center"/>
            </w:pPr>
            <w:r>
              <w:rPr>
                <w:rFonts w:ascii="宋体" w:hAnsi="宋体" w:eastAsia="宋体"/>
                <w:sz w:val="16"/>
              </w:rPr>
              <w:t>保障工作人员人数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4C3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8BCEC">
            <w:pPr>
              <w:jc w:val="center"/>
            </w:pPr>
            <w:r>
              <w:rPr>
                <w:rFonts w:ascii="宋体" w:hAnsi="宋体" w:eastAsia="宋体"/>
                <w:sz w:val="16"/>
              </w:rPr>
              <w:t>&gt;=57人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207D">
            <w:pPr>
              <w:jc w:val="center"/>
            </w:pPr>
            <w:r>
              <w:rPr>
                <w:rFonts w:ascii="宋体" w:hAnsi="宋体" w:eastAsia="宋体"/>
                <w:sz w:val="16"/>
              </w:rPr>
              <w:t>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75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C5D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344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37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E61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1BF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90B41">
            <w:pPr>
              <w:jc w:val="center"/>
            </w:pPr>
          </w:p>
        </w:tc>
      </w:tr>
      <w:tr w14:paraId="1C412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286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668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5C4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60E34">
            <w:pPr>
              <w:jc w:val="center"/>
            </w:pPr>
            <w:r>
              <w:rPr>
                <w:rFonts w:ascii="宋体" w:hAnsi="宋体" w:eastAsia="宋体"/>
                <w:sz w:val="16"/>
              </w:rPr>
              <w:t>资金发放次数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772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9D5EF">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3631">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C26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A84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A4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8C1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7C6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9C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112DE">
            <w:pPr>
              <w:jc w:val="center"/>
            </w:pPr>
          </w:p>
        </w:tc>
      </w:tr>
      <w:tr w14:paraId="1B5D2F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3DF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09B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F1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5AF9">
            <w:pPr>
              <w:jc w:val="center"/>
            </w:pPr>
            <w:r>
              <w:rPr>
                <w:rFonts w:ascii="宋体" w:hAnsi="宋体" w:eastAsia="宋体"/>
                <w:sz w:val="16"/>
              </w:rPr>
              <w:t>购买专用材料批次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397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80AA">
            <w:pPr>
              <w:jc w:val="center"/>
            </w:pPr>
            <w:r>
              <w:rPr>
                <w:rFonts w:ascii="宋体" w:hAnsi="宋体" w:eastAsia="宋体"/>
                <w:sz w:val="16"/>
              </w:rPr>
              <w:t>&gt;=11批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EA788">
            <w:pPr>
              <w:jc w:val="center"/>
            </w:pPr>
            <w:r>
              <w:rPr>
                <w:rFonts w:ascii="宋体" w:hAnsi="宋体" w:eastAsia="宋体"/>
                <w:sz w:val="16"/>
              </w:rPr>
              <w: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2384D">
            <w:pPr>
              <w:jc w:val="center"/>
            </w:pPr>
            <w:r>
              <w:rPr>
                <w:rFonts w:ascii="宋体" w:hAnsi="宋体" w:eastAsia="宋体"/>
                <w:sz w:val="16"/>
              </w:rPr>
              <w:t>109.09%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D9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B2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34E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873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90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4F5B">
            <w:pPr>
              <w:jc w:val="center"/>
            </w:pPr>
            <w:r>
              <w:rPr>
                <w:rFonts w:ascii="宋体" w:hAnsi="宋体" w:eastAsia="宋体"/>
                <w:sz w:val="16"/>
              </w:rPr>
              <w:t>保障专用材料储备，每月按照专用材料计划批次进行采购，全年采购批次达到12批次。</w:t>
            </w:r>
          </w:p>
        </w:tc>
      </w:tr>
      <w:tr w14:paraId="4E09A5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D52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09C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287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65FC3">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2955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8BF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DA3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05A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170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AAF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0D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6D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56D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E02D">
            <w:pPr>
              <w:jc w:val="center"/>
            </w:pPr>
          </w:p>
        </w:tc>
      </w:tr>
      <w:tr w14:paraId="621C4D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22C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D7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DBB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1ADD8">
            <w:pPr>
              <w:jc w:val="center"/>
            </w:pPr>
            <w:r>
              <w:rPr>
                <w:rFonts w:ascii="宋体" w:hAnsi="宋体" w:eastAsia="宋体"/>
                <w:sz w:val="16"/>
              </w:rPr>
              <w:t>购买专用材料质量合格率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3A9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96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571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9DD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620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982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B4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EB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45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8199">
            <w:pPr>
              <w:jc w:val="center"/>
            </w:pPr>
          </w:p>
        </w:tc>
      </w:tr>
      <w:tr w14:paraId="196C61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5C5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5F1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259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2884">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14A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4D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F3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DE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F68C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00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63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508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92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AF72">
            <w:pPr>
              <w:jc w:val="center"/>
            </w:pPr>
          </w:p>
        </w:tc>
      </w:tr>
      <w:tr w14:paraId="0CB6D5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25D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0CB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0CC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3DAC">
            <w:pPr>
              <w:jc w:val="center"/>
            </w:pPr>
            <w:r>
              <w:rPr>
                <w:rFonts w:ascii="宋体" w:hAnsi="宋体" w:eastAsia="宋体"/>
                <w:sz w:val="16"/>
              </w:rPr>
              <w:t>购买专用材料完成时间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C74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7980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6C0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94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84D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30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EB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C2B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B7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765C3">
            <w:pPr>
              <w:jc w:val="center"/>
            </w:pPr>
          </w:p>
        </w:tc>
      </w:tr>
      <w:tr w14:paraId="1C5A8D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7FC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92F2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FCFB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9997">
            <w:pPr>
              <w:jc w:val="center"/>
            </w:pPr>
            <w:r>
              <w:rPr>
                <w:rFonts w:ascii="宋体" w:hAnsi="宋体" w:eastAsia="宋体"/>
                <w:sz w:val="16"/>
              </w:rPr>
              <w:t>人均工资金额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D1FC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D7395">
            <w:pPr>
              <w:jc w:val="center"/>
            </w:pPr>
            <w:r>
              <w:rPr>
                <w:rFonts w:ascii="宋体" w:hAnsi="宋体" w:eastAsia="宋体"/>
                <w:sz w:val="16"/>
              </w:rPr>
              <w:t>&lt;=3352.35元/月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0141C">
            <w:pPr>
              <w:jc w:val="center"/>
            </w:pPr>
            <w:r>
              <w:rPr>
                <w:rFonts w:ascii="宋体" w:hAnsi="宋体" w:eastAsia="宋体"/>
                <w:sz w:val="16"/>
              </w:rPr>
              <w:t>3352.35元/月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7E3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2A89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09C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F1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C48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15F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B414">
            <w:pPr>
              <w:jc w:val="center"/>
            </w:pPr>
          </w:p>
        </w:tc>
      </w:tr>
      <w:tr w14:paraId="7BBE08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F7E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145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EEE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F1CE8">
            <w:pPr>
              <w:jc w:val="center"/>
            </w:pPr>
            <w:r>
              <w:rPr>
                <w:rFonts w:ascii="宋体" w:hAnsi="宋体" w:eastAsia="宋体"/>
                <w:sz w:val="16"/>
              </w:rPr>
              <w:t>购买专用材料金额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3E86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9AFF">
            <w:pPr>
              <w:jc w:val="center"/>
            </w:pPr>
            <w:r>
              <w:rPr>
                <w:rFonts w:ascii="宋体" w:hAnsi="宋体" w:eastAsia="宋体"/>
                <w:sz w:val="16"/>
              </w:rPr>
              <w:t>&lt;=247.03万元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0BE4">
            <w:pPr>
              <w:jc w:val="center"/>
            </w:pPr>
            <w:r>
              <w:rPr>
                <w:rFonts w:ascii="宋体" w:hAnsi="宋体" w:eastAsia="宋体"/>
                <w:sz w:val="16"/>
              </w:rPr>
              <w:t>247.03万元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C16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3D4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F27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DF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3D5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09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462EF">
            <w:pPr>
              <w:jc w:val="center"/>
            </w:pPr>
          </w:p>
        </w:tc>
      </w:tr>
      <w:tr w14:paraId="6140E6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0FC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32A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702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A7CF8">
            <w:pPr>
              <w:jc w:val="center"/>
            </w:pPr>
            <w:r>
              <w:rPr>
                <w:rFonts w:ascii="宋体" w:hAnsi="宋体" w:eastAsia="宋体"/>
                <w:sz w:val="16"/>
              </w:rPr>
              <w:t>运转经费金额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3E7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77154">
            <w:pPr>
              <w:jc w:val="center"/>
            </w:pPr>
            <w:r>
              <w:rPr>
                <w:rFonts w:ascii="宋体" w:hAnsi="宋体" w:eastAsia="宋体"/>
                <w:sz w:val="16"/>
              </w:rPr>
              <w:t>&lt;=23.53万元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739E4">
            <w:pPr>
              <w:jc w:val="center"/>
            </w:pPr>
            <w:r>
              <w:rPr>
                <w:rFonts w:ascii="宋体" w:hAnsi="宋体" w:eastAsia="宋体"/>
                <w:sz w:val="16"/>
              </w:rPr>
              <w:t>23.53万元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84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477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96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684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FF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FD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2E4C">
            <w:pPr>
              <w:jc w:val="center"/>
            </w:pPr>
          </w:p>
        </w:tc>
      </w:tr>
      <w:tr w14:paraId="10A87A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AC2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712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0A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6080">
            <w:pPr>
              <w:jc w:val="center"/>
            </w:pPr>
            <w:r>
              <w:rPr>
                <w:rFonts w:ascii="宋体" w:hAnsi="宋体" w:eastAsia="宋体"/>
                <w:sz w:val="16"/>
              </w:rPr>
              <w:t>提高医疗服务能力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BBD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9D5B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1BEB">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49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AB5F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D71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91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B8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844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251F">
            <w:pPr>
              <w:jc w:val="center"/>
            </w:pPr>
          </w:p>
        </w:tc>
      </w:tr>
      <w:tr w14:paraId="782EBB3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5BE1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91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BC6F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D4CD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726B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9B4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1AC7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9C54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0184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462E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FF7A5E"/>
        </w:tc>
      </w:tr>
    </w:tbl>
    <w:p w14:paraId="5F1E5757">
      <w:r>
        <w:br w:type="page"/>
      </w:r>
    </w:p>
    <w:p w14:paraId="5EB09754">
      <w:pPr>
        <w:spacing w:line="640" w:lineRule="exact"/>
        <w:ind w:firstLine="640"/>
        <w:jc w:val="both"/>
        <w:outlineLvl w:val="2"/>
      </w:pPr>
      <w:r>
        <w:rPr>
          <w:rFonts w:ascii="黑体" w:hAnsi="黑体" w:eastAsia="黑体"/>
          <w:sz w:val="32"/>
        </w:rPr>
        <w:t>十二、其他需说明的事项</w:t>
      </w:r>
    </w:p>
    <w:p w14:paraId="63AA31A5">
      <w:pPr>
        <w:spacing w:line="580" w:lineRule="exact"/>
        <w:ind w:firstLine="640"/>
        <w:jc w:val="both"/>
      </w:pPr>
      <w:r>
        <w:rPr>
          <w:rFonts w:ascii="仿宋_GB2312" w:hAnsi="仿宋_GB2312" w:eastAsia="仿宋_GB2312"/>
          <w:b w:val="0"/>
          <w:sz w:val="32"/>
        </w:rPr>
        <w:t>本单位无其他需说明的事项。</w:t>
      </w:r>
    </w:p>
    <w:p w14:paraId="41FCB414">
      <w:r>
        <w:br w:type="page"/>
      </w:r>
    </w:p>
    <w:p w14:paraId="094BD2D3">
      <w:pPr>
        <w:spacing w:line="240" w:lineRule="auto"/>
        <w:jc w:val="center"/>
        <w:outlineLvl w:val="1"/>
      </w:pPr>
      <w:r>
        <w:rPr>
          <w:rFonts w:ascii="黑体" w:hAnsi="黑体" w:eastAsia="黑体"/>
          <w:sz w:val="32"/>
        </w:rPr>
        <w:t>第三部分 专业名词解释</w:t>
      </w:r>
    </w:p>
    <w:p w14:paraId="12E7D5A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9AC19D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13A874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62B692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142E4B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FDD873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4850A5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B1363E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EEEEC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69B933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82A3D1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5B51C1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ABA6B9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855E5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8BBA65A">
      <w:r>
        <w:br w:type="page"/>
      </w:r>
    </w:p>
    <w:p w14:paraId="4C79DBE9">
      <w:pPr>
        <w:spacing w:line="240" w:lineRule="auto"/>
        <w:jc w:val="center"/>
        <w:outlineLvl w:val="1"/>
      </w:pPr>
      <w:r>
        <w:rPr>
          <w:rFonts w:ascii="黑体" w:hAnsi="黑体" w:eastAsia="黑体"/>
          <w:sz w:val="32"/>
        </w:rPr>
        <w:t>第四部分 部门决算报表（见附表）</w:t>
      </w:r>
    </w:p>
    <w:p w14:paraId="31DBD97A">
      <w:pPr>
        <w:spacing w:line="240" w:lineRule="auto"/>
        <w:ind w:firstLine="640"/>
        <w:jc w:val="both"/>
      </w:pPr>
      <w:r>
        <w:rPr>
          <w:rFonts w:ascii="仿宋_GB2312" w:hAnsi="仿宋_GB2312" w:eastAsia="仿宋_GB2312"/>
          <w:b w:val="0"/>
          <w:sz w:val="32"/>
        </w:rPr>
        <w:t>一、《收入支出决算总表》</w:t>
      </w:r>
    </w:p>
    <w:p w14:paraId="22C7F240">
      <w:pPr>
        <w:spacing w:line="240" w:lineRule="auto"/>
        <w:ind w:firstLine="640"/>
        <w:jc w:val="both"/>
      </w:pPr>
      <w:r>
        <w:rPr>
          <w:rFonts w:ascii="仿宋_GB2312" w:hAnsi="仿宋_GB2312" w:eastAsia="仿宋_GB2312"/>
          <w:b w:val="0"/>
          <w:sz w:val="32"/>
        </w:rPr>
        <w:t>二、《收入决算表》</w:t>
      </w:r>
    </w:p>
    <w:p w14:paraId="5D099A6D">
      <w:pPr>
        <w:spacing w:line="240" w:lineRule="auto"/>
        <w:ind w:firstLine="640"/>
        <w:jc w:val="both"/>
      </w:pPr>
      <w:r>
        <w:rPr>
          <w:rFonts w:ascii="仿宋_GB2312" w:hAnsi="仿宋_GB2312" w:eastAsia="仿宋_GB2312"/>
          <w:b w:val="0"/>
          <w:sz w:val="32"/>
        </w:rPr>
        <w:t>三、《支出决算表》</w:t>
      </w:r>
    </w:p>
    <w:p w14:paraId="30244263">
      <w:pPr>
        <w:spacing w:line="240" w:lineRule="auto"/>
        <w:ind w:firstLine="640"/>
        <w:jc w:val="both"/>
      </w:pPr>
      <w:r>
        <w:rPr>
          <w:rFonts w:ascii="仿宋_GB2312" w:hAnsi="仿宋_GB2312" w:eastAsia="仿宋_GB2312"/>
          <w:b w:val="0"/>
          <w:sz w:val="32"/>
        </w:rPr>
        <w:t>四、《财政拨款收入支出决算总表》</w:t>
      </w:r>
    </w:p>
    <w:p w14:paraId="549ABD7E">
      <w:pPr>
        <w:spacing w:line="240" w:lineRule="auto"/>
        <w:ind w:firstLine="640"/>
        <w:jc w:val="both"/>
      </w:pPr>
      <w:r>
        <w:rPr>
          <w:rFonts w:ascii="仿宋_GB2312" w:hAnsi="仿宋_GB2312" w:eastAsia="仿宋_GB2312"/>
          <w:b w:val="0"/>
          <w:sz w:val="32"/>
        </w:rPr>
        <w:t>五、《一般公共预算财政拨款支出决算表》</w:t>
      </w:r>
    </w:p>
    <w:p w14:paraId="50B749FB">
      <w:pPr>
        <w:spacing w:line="240" w:lineRule="auto"/>
        <w:ind w:firstLine="640"/>
        <w:jc w:val="both"/>
      </w:pPr>
      <w:r>
        <w:rPr>
          <w:rFonts w:ascii="仿宋_GB2312" w:hAnsi="仿宋_GB2312" w:eastAsia="仿宋_GB2312"/>
          <w:b w:val="0"/>
          <w:sz w:val="32"/>
        </w:rPr>
        <w:t>六、《一般公共预算财政拨款基本支出决算表》</w:t>
      </w:r>
    </w:p>
    <w:p w14:paraId="2414494D">
      <w:pPr>
        <w:spacing w:line="240" w:lineRule="auto"/>
        <w:ind w:firstLine="640"/>
        <w:jc w:val="both"/>
      </w:pPr>
      <w:r>
        <w:rPr>
          <w:rFonts w:ascii="仿宋_GB2312" w:hAnsi="仿宋_GB2312" w:eastAsia="仿宋_GB2312"/>
          <w:b w:val="0"/>
          <w:sz w:val="32"/>
        </w:rPr>
        <w:t>七、《政府性基金预算财政拨款收入支出决算表》</w:t>
      </w:r>
    </w:p>
    <w:p w14:paraId="05B8DFE0">
      <w:pPr>
        <w:spacing w:line="240" w:lineRule="auto"/>
        <w:ind w:firstLine="640"/>
        <w:jc w:val="both"/>
      </w:pPr>
      <w:r>
        <w:rPr>
          <w:rFonts w:ascii="仿宋_GB2312" w:hAnsi="仿宋_GB2312" w:eastAsia="仿宋_GB2312"/>
          <w:b w:val="0"/>
          <w:sz w:val="32"/>
        </w:rPr>
        <w:t>八、《国有资本经营预算财政拨款收入支出决算表》</w:t>
      </w:r>
    </w:p>
    <w:p w14:paraId="205CECCE">
      <w:pPr>
        <w:spacing w:line="240" w:lineRule="auto"/>
        <w:ind w:firstLine="640"/>
        <w:jc w:val="both"/>
      </w:pPr>
      <w:r>
        <w:rPr>
          <w:rFonts w:ascii="仿宋_GB2312" w:hAnsi="仿宋_GB2312" w:eastAsia="仿宋_GB2312"/>
          <w:b w:val="0"/>
          <w:sz w:val="32"/>
        </w:rPr>
        <w:t>九、《财政拨款“三公”经费支出决算表》</w:t>
      </w:r>
    </w:p>
    <w:p w14:paraId="151EEBDA">
      <w:pPr>
        <w:spacing w:line="240" w:lineRule="auto"/>
        <w:ind w:firstLine="640"/>
        <w:jc w:val="both"/>
      </w:pPr>
    </w:p>
    <w:p w14:paraId="3B14B12C">
      <w:pPr>
        <w:spacing w:line="240" w:lineRule="auto"/>
        <w:ind w:firstLine="640"/>
        <w:jc w:val="both"/>
      </w:pPr>
    </w:p>
    <w:p w14:paraId="7748A90D">
      <w:pPr>
        <w:spacing w:line="240" w:lineRule="auto"/>
        <w:ind w:firstLine="640"/>
        <w:jc w:val="both"/>
      </w:pPr>
    </w:p>
    <w:p w14:paraId="382B3644">
      <w:pPr>
        <w:spacing w:line="240" w:lineRule="auto"/>
        <w:ind w:firstLine="640"/>
        <w:jc w:val="both"/>
      </w:pPr>
    </w:p>
    <w:p w14:paraId="5624328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51CEF81-75B7-4E3D-96B4-A48D666A457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EF0D809-5371-40F7-8E26-F57278231C23}"/>
  </w:font>
  <w:font w:name="仿宋_GB2312">
    <w:panose1 w:val="02010609030101010101"/>
    <w:charset w:val="86"/>
    <w:family w:val="modern"/>
    <w:pitch w:val="default"/>
    <w:sig w:usb0="00000001" w:usb1="080E0000" w:usb2="00000000" w:usb3="00000000" w:csb0="00040000" w:csb1="00000000"/>
    <w:embedRegular r:id="rId3" w:fontKey="{E97EC783-7759-4403-A952-C826E91DE6D2}"/>
  </w:font>
  <w:font w:name="楷体_GB2312">
    <w:panose1 w:val="02010609030101010101"/>
    <w:charset w:val="86"/>
    <w:family w:val="auto"/>
    <w:pitch w:val="default"/>
    <w:sig w:usb0="00000001" w:usb1="080E0000" w:usb2="00000000" w:usb3="00000000" w:csb0="00040000" w:csb1="00000000"/>
    <w:embedRegular r:id="rId4" w:fontKey="{AE2A218B-AC4F-4169-9DFE-B16A21C1BD96}"/>
  </w:font>
  <w:font w:name="WPSEMBED9">
    <w:panose1 w:val="02010609030101010101"/>
    <w:charset w:val="86"/>
    <w:family w:val="auto"/>
    <w:pitch w:val="default"/>
    <w:sig w:usb0="00000001" w:usb1="080E0000" w:usb2="00000000" w:usb3="00000000" w:csb0="00040000" w:csb1="00000000"/>
  </w:font>
  <w:font w:name="WPSEMBED10">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A265D2"/>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2E411C"/>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6344</Words>
  <Characters>7219</Characters>
  <Lines>0</Lines>
  <Paragraphs>0</Paragraphs>
  <TotalTime>8</TotalTime>
  <ScaleCrop>false</ScaleCrop>
  <LinksUpToDate>false</LinksUpToDate>
  <CharactersWithSpaces>7227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2025-09-25T05:33:41Z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