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霍城县萨尔布拉克镇中心学校2024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A939ED">
      <w:r>
        <w:br w:type="page"/>
      </w:r>
    </w:p>
    <w:p w14:paraId="53CE9D10">
      <w:pPr>
        <w:spacing w:line="640" w:lineRule="exact"/>
        <w:jc w:val="center"/>
        <w:outlineLvl w:val="1"/>
      </w:pPr>
      <w:r>
        <w:rPr>
          <w:rFonts w:ascii="黑体" w:hAnsi="黑体" w:eastAsia="黑体"/>
          <w:sz w:val="32"/>
        </w:rPr>
        <w:t>第一部分 单位概况</w:t>
      </w:r>
    </w:p>
    <w:p w14:paraId="27F173D1">
      <w:pPr>
        <w:spacing w:line="640" w:lineRule="exact"/>
        <w:ind w:firstLine="640"/>
        <w:jc w:val="both"/>
        <w:outlineLvl w:val="2"/>
      </w:pPr>
      <w:r>
        <w:rPr>
          <w:rFonts w:ascii="黑体" w:hAnsi="黑体" w:eastAsia="黑体"/>
          <w:sz w:val="32"/>
        </w:rPr>
        <w:t>一、主要职能</w:t>
      </w:r>
    </w:p>
    <w:p w14:paraId="24277D80">
      <w:pPr>
        <w:spacing w:line="580" w:lineRule="exact"/>
        <w:ind w:firstLine="640"/>
        <w:jc w:val="both"/>
      </w:pPr>
      <w:r>
        <w:rPr>
          <w:rFonts w:ascii="仿宋_GB2312" w:hAnsi="仿宋_GB2312" w:eastAsia="仿宋_GB2312"/>
          <w:sz w:val="32"/>
        </w:rPr>
        <w:t>霍城县萨尔布拉克镇中心学校是一所镇级初中。下属有10所小学，10所幼儿园，主要职能是宣传贯彻执行党和国家的教育方针、政策、法律法规等，坚持依法治学，依法执教。认真执行教育教学管理，教育学生成长为品德优秀、思想端正的学生，组织教育教学，保证教学质量。具体如下。</w:t>
      </w:r>
    </w:p>
    <w:p w14:paraId="4C5F547E">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认真贯彻落实党的教育方针，积极配合教育行政部门做好教育教学指导工作。</w:t>
      </w:r>
    </w:p>
    <w:p w14:paraId="6B2DA6B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主要任务是负责实施对全校中小学教师、幼儿园教师和小学校长的继续教育。</w:t>
      </w:r>
    </w:p>
    <w:p w14:paraId="2F2BC6B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为全校中小学校开展教师校本培训提供指导和服务。</w:t>
      </w:r>
    </w:p>
    <w:p w14:paraId="6D42DB0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承担全校基础教育新课程、教材和教法培训等，成为全校开展中小学教师教育工作的培训、研究和服务中心。</w:t>
      </w:r>
    </w:p>
    <w:p w14:paraId="6691CD6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配合教育行政部门做好全校有关中小学教师继续教育和实施教师资格制度的组织、协调、评价和服务工作，成为全校中小学教师教育政策咨询和指导中心。</w:t>
      </w:r>
    </w:p>
    <w:p w14:paraId="493B33F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指导中小学教师在教学实践中学习和研究，推动中小学教师开展教改实验，不断提高中小学教师的专业</w:t>
      </w:r>
      <w:r>
        <w:rPr>
          <w:rFonts w:hint="eastAsia" w:ascii="仿宋_GB2312" w:hAnsi="仿宋_GB2312" w:eastAsia="仿宋_GB2312"/>
          <w:sz w:val="32"/>
          <w:lang w:eastAsia="zh-CN"/>
        </w:rPr>
        <w:t>化水</w:t>
      </w:r>
      <w:r>
        <w:rPr>
          <w:rFonts w:ascii="仿宋_GB2312" w:hAnsi="仿宋_GB2312" w:eastAsia="仿宋_GB2312"/>
          <w:sz w:val="32"/>
        </w:rPr>
        <w:t>平。</w:t>
      </w:r>
    </w:p>
    <w:p w14:paraId="1F83874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为全校中小学开展校本培训和日常教学提供信息技术和现代教育技术服务，为通过现代远程教育手段开展教师继续教育提供帮助和支持。</w:t>
      </w:r>
    </w:p>
    <w:p w14:paraId="509D9C14">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为广大教师研修学习提供必要的场所、设施、设备和资源等良好环境，辅导和帮助广大中小学教师充分利用各种信息资源开展自主学习。</w:t>
      </w:r>
    </w:p>
    <w:p w14:paraId="21A6A428">
      <w:pPr>
        <w:spacing w:line="640" w:lineRule="exact"/>
        <w:ind w:firstLine="640"/>
        <w:jc w:val="both"/>
        <w:outlineLvl w:val="2"/>
      </w:pPr>
      <w:r>
        <w:rPr>
          <w:rFonts w:ascii="黑体" w:hAnsi="黑体" w:eastAsia="黑体"/>
          <w:sz w:val="32"/>
        </w:rPr>
        <w:t>二、机构设置及人员情况</w:t>
      </w:r>
    </w:p>
    <w:p w14:paraId="3CF89B53">
      <w:pPr>
        <w:spacing w:line="580" w:lineRule="exact"/>
        <w:ind w:firstLine="640"/>
        <w:jc w:val="both"/>
      </w:pPr>
      <w:r>
        <w:rPr>
          <w:rFonts w:ascii="仿宋_GB2312" w:hAnsi="仿宋_GB2312" w:eastAsia="仿宋_GB2312"/>
          <w:sz w:val="32"/>
        </w:rPr>
        <w:t>霍城县萨尔布拉克镇中心学校2024年度，实有人数549人，其中：在职人员371人，减少23人；离休人员0人，增加0人；退休人员178人,增加2人。</w:t>
      </w:r>
    </w:p>
    <w:p w14:paraId="1264D93C">
      <w:pPr>
        <w:spacing w:line="580" w:lineRule="exact"/>
        <w:ind w:firstLine="640"/>
        <w:jc w:val="both"/>
      </w:pPr>
      <w:r>
        <w:rPr>
          <w:rFonts w:ascii="仿宋_GB2312" w:hAnsi="仿宋_GB2312" w:eastAsia="仿宋_GB2312"/>
          <w:sz w:val="32"/>
        </w:rPr>
        <w:t>霍城县萨尔布拉克镇中心学校无下属预算单位，下设7个科室，分别是：党建办、平安办、行政办、教务处、德育处、总务处、财务室。</w:t>
      </w:r>
    </w:p>
    <w:p w14:paraId="6C248B1F">
      <w:r>
        <w:br w:type="page"/>
      </w:r>
    </w:p>
    <w:p w14:paraId="02A1C111">
      <w:pPr>
        <w:spacing w:line="240" w:lineRule="auto"/>
        <w:jc w:val="center"/>
        <w:outlineLvl w:val="1"/>
      </w:pPr>
      <w:r>
        <w:rPr>
          <w:rFonts w:ascii="黑体" w:hAnsi="黑体" w:eastAsia="黑体"/>
          <w:sz w:val="32"/>
        </w:rPr>
        <w:t>第二部分 部门决算情况说明</w:t>
      </w:r>
    </w:p>
    <w:p w14:paraId="30CB8A7B">
      <w:pPr>
        <w:spacing w:line="640" w:lineRule="exact"/>
        <w:ind w:firstLine="640"/>
        <w:jc w:val="both"/>
        <w:outlineLvl w:val="2"/>
      </w:pPr>
      <w:r>
        <w:rPr>
          <w:rFonts w:ascii="黑体" w:hAnsi="黑体" w:eastAsia="黑体"/>
          <w:sz w:val="32"/>
        </w:rPr>
        <w:t>一、收入支出决算总体情况说明</w:t>
      </w:r>
    </w:p>
    <w:p w14:paraId="3FCD31B5">
      <w:pPr>
        <w:spacing w:line="580" w:lineRule="exact"/>
        <w:ind w:firstLine="640"/>
        <w:jc w:val="both"/>
      </w:pPr>
      <w:r>
        <w:rPr>
          <w:rFonts w:ascii="仿宋_GB2312" w:hAnsi="仿宋_GB2312" w:eastAsia="仿宋_GB2312"/>
          <w:b/>
          <w:sz w:val="32"/>
        </w:rPr>
        <w:t>2024年度收入总计7,571.81万元，</w:t>
      </w:r>
      <w:r>
        <w:rPr>
          <w:rFonts w:ascii="仿宋_GB2312" w:hAnsi="仿宋_GB2312" w:eastAsia="仿宋_GB2312"/>
          <w:b w:val="0"/>
          <w:sz w:val="32"/>
        </w:rPr>
        <w:t>其中：本年收入合计7,571.81万元，使用非财政拨款结余（含专用结余）0.00万元，年初结转和结余0.00万元。</w:t>
      </w:r>
    </w:p>
    <w:p w14:paraId="03FDF25A">
      <w:pPr>
        <w:spacing w:line="580" w:lineRule="exact"/>
        <w:ind w:firstLine="640"/>
        <w:jc w:val="both"/>
      </w:pPr>
      <w:r>
        <w:rPr>
          <w:rFonts w:ascii="仿宋_GB2312" w:hAnsi="仿宋_GB2312" w:eastAsia="仿宋_GB2312"/>
          <w:b/>
          <w:sz w:val="32"/>
        </w:rPr>
        <w:t>2024年度支出总计7,571.81万元，</w:t>
      </w:r>
      <w:r>
        <w:rPr>
          <w:rFonts w:ascii="仿宋_GB2312" w:hAnsi="仿宋_GB2312" w:eastAsia="仿宋_GB2312"/>
          <w:b w:val="0"/>
          <w:sz w:val="32"/>
        </w:rPr>
        <w:t>其中：本年支出合计7,571.81万元，结余分配0.00万元，年末结转和结余0.00万元。</w:t>
      </w:r>
    </w:p>
    <w:p w14:paraId="27C1599A">
      <w:pPr>
        <w:spacing w:line="580" w:lineRule="exact"/>
        <w:ind w:firstLine="640"/>
        <w:jc w:val="both"/>
      </w:pPr>
      <w:r>
        <w:rPr>
          <w:rFonts w:ascii="仿宋_GB2312" w:hAnsi="仿宋_GB2312" w:eastAsia="仿宋_GB2312"/>
          <w:b w:val="0"/>
          <w:sz w:val="32"/>
        </w:rPr>
        <w:t>收入支出总体与上年相比，减少560.86万元，下降6.90%，主要原因是：本年在职人员调出，相关人员工资、社保、住房公积金等经费减少，导致经费较上年减少</w:t>
      </w:r>
      <w:r>
        <w:rPr>
          <w:rFonts w:hint="eastAsia" w:ascii="仿宋_GB2312" w:hAnsi="仿宋_GB2312" w:eastAsia="仿宋_GB2312"/>
          <w:b w:val="0"/>
          <w:sz w:val="32"/>
          <w:lang w:eastAsia="zh-CN"/>
        </w:rPr>
        <w:t>；</w:t>
      </w:r>
      <w:r>
        <w:rPr>
          <w:rFonts w:ascii="仿宋_GB2312" w:hAnsi="仿宋_GB2312" w:eastAsia="仿宋_GB2312"/>
          <w:b w:val="0"/>
          <w:sz w:val="32"/>
        </w:rPr>
        <w:t>义教学生人数减少，公用经费减少</w:t>
      </w:r>
      <w:r>
        <w:rPr>
          <w:rFonts w:hint="eastAsia" w:ascii="仿宋_GB2312" w:hAnsi="仿宋_GB2312" w:eastAsia="仿宋_GB2312"/>
          <w:b w:val="0"/>
          <w:sz w:val="32"/>
          <w:lang w:eastAsia="zh-CN"/>
        </w:rPr>
        <w:t>；</w:t>
      </w:r>
      <w:r>
        <w:rPr>
          <w:rFonts w:ascii="仿宋_GB2312" w:hAnsi="仿宋_GB2312" w:eastAsia="仿宋_GB2312"/>
          <w:b w:val="0"/>
          <w:sz w:val="32"/>
        </w:rPr>
        <w:t>本年减少继续教育费用支出</w:t>
      </w:r>
      <w:bookmarkStart w:id="0" w:name="_GoBack"/>
      <w:bookmarkEnd w:id="0"/>
      <w:r>
        <w:rPr>
          <w:rFonts w:ascii="仿宋_GB2312" w:hAnsi="仿宋_GB2312" w:eastAsia="仿宋_GB2312"/>
          <w:b w:val="0"/>
          <w:sz w:val="32"/>
        </w:rPr>
        <w:t>。</w:t>
      </w:r>
    </w:p>
    <w:p w14:paraId="070FC350">
      <w:pPr>
        <w:spacing w:line="640" w:lineRule="exact"/>
        <w:ind w:firstLine="640"/>
        <w:jc w:val="both"/>
        <w:outlineLvl w:val="2"/>
      </w:pPr>
      <w:r>
        <w:rPr>
          <w:rFonts w:ascii="黑体" w:hAnsi="黑体" w:eastAsia="黑体"/>
          <w:sz w:val="32"/>
        </w:rPr>
        <w:t>二、收入决算情况说明</w:t>
      </w:r>
    </w:p>
    <w:p w14:paraId="187233EF">
      <w:pPr>
        <w:spacing w:line="580" w:lineRule="exact"/>
        <w:ind w:firstLine="640"/>
        <w:jc w:val="both"/>
      </w:pPr>
      <w:r>
        <w:rPr>
          <w:rFonts w:ascii="仿宋_GB2312" w:hAnsi="仿宋_GB2312" w:eastAsia="仿宋_GB2312"/>
          <w:b/>
          <w:sz w:val="32"/>
        </w:rPr>
        <w:t>本年收入7,571.81万元，</w:t>
      </w:r>
      <w:r>
        <w:rPr>
          <w:rFonts w:ascii="仿宋_GB2312" w:hAnsi="仿宋_GB2312" w:eastAsia="仿宋_GB2312"/>
          <w:b w:val="0"/>
          <w:sz w:val="32"/>
        </w:rPr>
        <w:t>其中：财政拨款收入7,571.81万元，占100.00%；上级补助收入0.00万元，占0.00%；事业收入0.00万元，占0.00%；经营收入0.00万元，占0.00%；附属单位上缴收入0.00万元，占0.00%；其他收入0.00万元，占0.00%。</w:t>
      </w:r>
    </w:p>
    <w:p w14:paraId="21BD8B94">
      <w:pPr>
        <w:spacing w:line="640" w:lineRule="exact"/>
        <w:ind w:firstLine="640"/>
        <w:jc w:val="both"/>
        <w:outlineLvl w:val="2"/>
      </w:pPr>
      <w:r>
        <w:rPr>
          <w:rFonts w:ascii="黑体" w:hAnsi="黑体" w:eastAsia="黑体"/>
          <w:sz w:val="32"/>
        </w:rPr>
        <w:t>三、支出决算情况说明</w:t>
      </w:r>
    </w:p>
    <w:p w14:paraId="074F5C51">
      <w:pPr>
        <w:spacing w:line="580" w:lineRule="exact"/>
        <w:ind w:firstLine="640"/>
        <w:jc w:val="both"/>
      </w:pPr>
      <w:r>
        <w:rPr>
          <w:rFonts w:ascii="仿宋_GB2312" w:hAnsi="仿宋_GB2312" w:eastAsia="仿宋_GB2312"/>
          <w:b/>
          <w:sz w:val="32"/>
        </w:rPr>
        <w:t>本年支出7,571.81万元，</w:t>
      </w:r>
      <w:r>
        <w:rPr>
          <w:rFonts w:ascii="仿宋_GB2312" w:hAnsi="仿宋_GB2312" w:eastAsia="仿宋_GB2312"/>
          <w:b w:val="0"/>
          <w:sz w:val="32"/>
        </w:rPr>
        <w:t>其中：基本支出7,571.81万元，占100.00%；项目支出0.00万元，占0.00%；上缴上级支出0.00万元，占0.00%；经营支出0.00万元，占0.00%；对附属单位补助支出0.00万元，占0.00%。</w:t>
      </w:r>
    </w:p>
    <w:p w14:paraId="52A2B771">
      <w:pPr>
        <w:spacing w:line="640" w:lineRule="exact"/>
        <w:ind w:firstLine="640"/>
        <w:jc w:val="both"/>
        <w:outlineLvl w:val="2"/>
      </w:pPr>
      <w:r>
        <w:rPr>
          <w:rFonts w:ascii="黑体" w:hAnsi="黑体" w:eastAsia="黑体"/>
          <w:sz w:val="32"/>
        </w:rPr>
        <w:t>四、财政拨款收入支出决算总体情况说明</w:t>
      </w:r>
    </w:p>
    <w:p w14:paraId="46A6F281">
      <w:pPr>
        <w:spacing w:line="580" w:lineRule="exact"/>
        <w:ind w:firstLine="640"/>
        <w:jc w:val="both"/>
      </w:pPr>
      <w:r>
        <w:rPr>
          <w:rFonts w:ascii="仿宋_GB2312" w:hAnsi="仿宋_GB2312" w:eastAsia="仿宋_GB2312"/>
          <w:b/>
          <w:sz w:val="32"/>
        </w:rPr>
        <w:t>2024年度财政拨款收入总计7,571.81万元，</w:t>
      </w:r>
      <w:r>
        <w:rPr>
          <w:rFonts w:ascii="仿宋_GB2312" w:hAnsi="仿宋_GB2312" w:eastAsia="仿宋_GB2312"/>
          <w:b w:val="0"/>
          <w:sz w:val="32"/>
        </w:rPr>
        <w:t>其中：年初财政拨款结转和结余0.00万元，本年财政拨款收入7,571.81万元。</w:t>
      </w:r>
      <w:r>
        <w:rPr>
          <w:rFonts w:ascii="仿宋_GB2312" w:hAnsi="仿宋_GB2312" w:eastAsia="仿宋_GB2312"/>
          <w:b/>
          <w:sz w:val="32"/>
        </w:rPr>
        <w:t>财政拨款支出总计7,571.81万元，</w:t>
      </w:r>
      <w:r>
        <w:rPr>
          <w:rFonts w:ascii="仿宋_GB2312" w:hAnsi="仿宋_GB2312" w:eastAsia="仿宋_GB2312"/>
          <w:b w:val="0"/>
          <w:sz w:val="32"/>
        </w:rPr>
        <w:t>其中：年末财政拨款结转和结余0.00万元，本年财政拨款支出7,571.81万元。</w:t>
      </w:r>
    </w:p>
    <w:p w14:paraId="2088180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减少551.51万元，下降6.79%，主要原因是：本年在职人员调出，相关人员工资、社保、住房公积金等经费减少，导致经费较上年减少</w:t>
      </w:r>
      <w:r>
        <w:rPr>
          <w:rFonts w:hint="eastAsia" w:ascii="仿宋_GB2312" w:hAnsi="仿宋_GB2312" w:eastAsia="仿宋_GB2312"/>
          <w:b w:val="0"/>
          <w:sz w:val="32"/>
          <w:lang w:eastAsia="zh-CN"/>
        </w:rPr>
        <w:t>；</w:t>
      </w:r>
      <w:r>
        <w:rPr>
          <w:rFonts w:ascii="仿宋_GB2312" w:hAnsi="仿宋_GB2312" w:eastAsia="仿宋_GB2312"/>
          <w:b w:val="0"/>
          <w:sz w:val="32"/>
        </w:rPr>
        <w:t>义教学生人数减少，公用经费减少</w:t>
      </w:r>
      <w:r>
        <w:rPr>
          <w:rFonts w:hint="eastAsia" w:ascii="仿宋_GB2312" w:hAnsi="仿宋_GB2312" w:eastAsia="仿宋_GB2312"/>
          <w:b w:val="0"/>
          <w:sz w:val="32"/>
          <w:lang w:eastAsia="zh-CN"/>
        </w:rPr>
        <w:t>；</w:t>
      </w:r>
      <w:r>
        <w:rPr>
          <w:rFonts w:ascii="仿宋_GB2312" w:hAnsi="仿宋_GB2312" w:eastAsia="仿宋_GB2312"/>
          <w:b w:val="0"/>
          <w:sz w:val="32"/>
        </w:rPr>
        <w:t>本年减少继续教育费用支出。</w:t>
      </w:r>
      <w:r>
        <w:rPr>
          <w:rFonts w:ascii="仿宋_GB2312" w:hAnsi="仿宋_GB2312" w:eastAsia="仿宋_GB2312"/>
          <w:b/>
          <w:sz w:val="32"/>
        </w:rPr>
        <w:t>与年初预算相比，</w:t>
      </w:r>
      <w:r>
        <w:rPr>
          <w:rFonts w:ascii="仿宋_GB2312" w:hAnsi="仿宋_GB2312" w:eastAsia="仿宋_GB2312"/>
          <w:b w:val="0"/>
          <w:sz w:val="32"/>
        </w:rPr>
        <w:t>年初预算数7,237.80万元，决算数7,571.81万元，预决算差异率4.61%，主要原因是：年中追加人员工资、社保、公积金基数调增部分资金，导致预决算存在差异。</w:t>
      </w:r>
    </w:p>
    <w:p w14:paraId="53337058">
      <w:pPr>
        <w:spacing w:line="640" w:lineRule="exact"/>
        <w:ind w:firstLine="640"/>
        <w:jc w:val="both"/>
        <w:outlineLvl w:val="2"/>
      </w:pPr>
      <w:r>
        <w:rPr>
          <w:rFonts w:ascii="黑体" w:hAnsi="黑体" w:eastAsia="黑体"/>
          <w:sz w:val="32"/>
        </w:rPr>
        <w:t>五、一般公共预算财政拨款支出决算情况说明</w:t>
      </w:r>
    </w:p>
    <w:p w14:paraId="2B1AFEAD">
      <w:pPr>
        <w:spacing w:line="640" w:lineRule="exact"/>
        <w:ind w:firstLine="640"/>
        <w:jc w:val="both"/>
        <w:outlineLvl w:val="3"/>
      </w:pPr>
      <w:r>
        <w:rPr>
          <w:rFonts w:ascii="楷体_GB2312" w:hAnsi="楷体_GB2312" w:eastAsia="楷体_GB2312"/>
          <w:b/>
          <w:sz w:val="32"/>
        </w:rPr>
        <w:t>（一）一般公共预算财政拨款支出决算总体情况</w:t>
      </w:r>
    </w:p>
    <w:p w14:paraId="0DE9082A">
      <w:pPr>
        <w:spacing w:line="580" w:lineRule="exact"/>
        <w:ind w:firstLine="640"/>
        <w:jc w:val="both"/>
      </w:pPr>
      <w:r>
        <w:rPr>
          <w:rFonts w:ascii="仿宋_GB2312" w:hAnsi="仿宋_GB2312" w:eastAsia="仿宋_GB2312"/>
          <w:b/>
          <w:sz w:val="32"/>
        </w:rPr>
        <w:t>2024年度一般公共预算财政拨款支出7,571.81万元，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减少551.51万元，下降6.79%，主要原因是：本年在职人员调出，相关人员工资、社保、住房公积金等经费减少，导致经费较上年减少</w:t>
      </w:r>
      <w:r>
        <w:rPr>
          <w:rFonts w:hint="eastAsia" w:ascii="仿宋_GB2312" w:hAnsi="仿宋_GB2312" w:eastAsia="仿宋_GB2312"/>
          <w:b w:val="0"/>
          <w:sz w:val="32"/>
          <w:lang w:eastAsia="zh-CN"/>
        </w:rPr>
        <w:t>；</w:t>
      </w:r>
      <w:r>
        <w:rPr>
          <w:rFonts w:ascii="仿宋_GB2312" w:hAnsi="仿宋_GB2312" w:eastAsia="仿宋_GB2312"/>
          <w:b w:val="0"/>
          <w:sz w:val="32"/>
        </w:rPr>
        <w:t>义教学生人数减少，公用经费减少</w:t>
      </w:r>
      <w:r>
        <w:rPr>
          <w:rFonts w:hint="eastAsia" w:ascii="仿宋_GB2312" w:hAnsi="仿宋_GB2312" w:eastAsia="仿宋_GB2312"/>
          <w:b w:val="0"/>
          <w:sz w:val="32"/>
          <w:lang w:eastAsia="zh-CN"/>
        </w:rPr>
        <w:t>；</w:t>
      </w:r>
      <w:r>
        <w:rPr>
          <w:rFonts w:ascii="仿宋_GB2312" w:hAnsi="仿宋_GB2312" w:eastAsia="仿宋_GB2312"/>
          <w:b w:val="0"/>
          <w:sz w:val="32"/>
        </w:rPr>
        <w:t>本年减少继续教育费用支出。</w:t>
      </w:r>
      <w:r>
        <w:rPr>
          <w:rFonts w:ascii="仿宋_GB2312" w:hAnsi="仿宋_GB2312" w:eastAsia="仿宋_GB2312"/>
          <w:b/>
          <w:sz w:val="32"/>
        </w:rPr>
        <w:t>与年初预算相比,</w:t>
      </w:r>
      <w:r>
        <w:rPr>
          <w:rFonts w:ascii="仿宋_GB2312" w:hAnsi="仿宋_GB2312" w:eastAsia="仿宋_GB2312"/>
          <w:b w:val="0"/>
          <w:sz w:val="32"/>
        </w:rPr>
        <w:t>年初预算数7,237.80万元，决算数7,571.81万元，预决算差异率4.61%，主要原因是：年中追加人员工资、社保、公积金基数调增部分资金，导致预决算存在差异。</w:t>
      </w:r>
    </w:p>
    <w:p w14:paraId="43CC9852">
      <w:pPr>
        <w:spacing w:line="640" w:lineRule="exact"/>
        <w:ind w:firstLine="640"/>
        <w:jc w:val="both"/>
        <w:outlineLvl w:val="3"/>
      </w:pPr>
      <w:r>
        <w:rPr>
          <w:rFonts w:ascii="楷体_GB2312" w:hAnsi="楷体_GB2312" w:eastAsia="楷体_GB2312"/>
          <w:b/>
          <w:sz w:val="32"/>
        </w:rPr>
        <w:t>（二）一般公共预算财政拨款支出决算结构情况</w:t>
      </w:r>
    </w:p>
    <w:p w14:paraId="5AFD61DA">
      <w:pPr>
        <w:spacing w:line="580" w:lineRule="exact"/>
        <w:ind w:firstLine="640"/>
        <w:jc w:val="both"/>
      </w:pPr>
      <w:r>
        <w:rPr>
          <w:rFonts w:ascii="仿宋_GB2312" w:hAnsi="仿宋_GB2312" w:eastAsia="仿宋_GB2312"/>
          <w:b w:val="0"/>
          <w:sz w:val="32"/>
        </w:rPr>
        <w:t>1.教育支出(类)6,412.94万元,占84.69%。</w:t>
      </w:r>
    </w:p>
    <w:p w14:paraId="6ACB62C4">
      <w:pPr>
        <w:spacing w:line="580" w:lineRule="exact"/>
        <w:ind w:firstLine="640"/>
        <w:jc w:val="both"/>
      </w:pPr>
      <w:r>
        <w:rPr>
          <w:rFonts w:ascii="仿宋_GB2312" w:hAnsi="仿宋_GB2312" w:eastAsia="仿宋_GB2312"/>
          <w:b w:val="0"/>
          <w:sz w:val="32"/>
        </w:rPr>
        <w:t>2.社会保障和就业支出(类)837.96万元,占11.07%。</w:t>
      </w:r>
    </w:p>
    <w:p w14:paraId="6F63AFF6">
      <w:pPr>
        <w:spacing w:line="580" w:lineRule="exact"/>
        <w:ind w:firstLine="640"/>
        <w:jc w:val="both"/>
      </w:pPr>
      <w:r>
        <w:rPr>
          <w:rFonts w:ascii="仿宋_GB2312" w:hAnsi="仿宋_GB2312" w:eastAsia="仿宋_GB2312"/>
          <w:b w:val="0"/>
          <w:sz w:val="32"/>
        </w:rPr>
        <w:t>3.卫生健康支出(类)320.92万元,占4.24%。</w:t>
      </w:r>
    </w:p>
    <w:p w14:paraId="4FBC3519">
      <w:pPr>
        <w:spacing w:line="640" w:lineRule="exact"/>
        <w:ind w:firstLine="640"/>
        <w:jc w:val="both"/>
        <w:outlineLvl w:val="3"/>
      </w:pPr>
      <w:r>
        <w:rPr>
          <w:rFonts w:ascii="楷体_GB2312" w:hAnsi="楷体_GB2312" w:eastAsia="楷体_GB2312"/>
          <w:b/>
          <w:sz w:val="32"/>
        </w:rPr>
        <w:t>（三）一般公共预算财政拨款支出决算具体情况</w:t>
      </w:r>
    </w:p>
    <w:p w14:paraId="39505BEF">
      <w:pPr>
        <w:spacing w:line="580" w:lineRule="exact"/>
        <w:ind w:firstLine="640"/>
        <w:jc w:val="both"/>
      </w:pPr>
      <w:r>
        <w:rPr>
          <w:rFonts w:ascii="仿宋_GB2312" w:hAnsi="仿宋_GB2312" w:eastAsia="仿宋_GB2312"/>
          <w:b w:val="0"/>
          <w:sz w:val="32"/>
        </w:rPr>
        <w:t>1.教育支出(类)普通教育(款)学前教育(项):支出决算数为1,279.92万元，比上年决算增加210.03万元，增长19.63%,主要原因是：本年度科目调整，住房公积金上年单独列支，本年调整至此科目，支出增加。</w:t>
      </w:r>
    </w:p>
    <w:p w14:paraId="5B154CA1">
      <w:pPr>
        <w:spacing w:line="580" w:lineRule="exact"/>
        <w:ind w:firstLine="640"/>
        <w:jc w:val="both"/>
      </w:pPr>
      <w:r>
        <w:rPr>
          <w:rFonts w:ascii="仿宋_GB2312" w:hAnsi="仿宋_GB2312" w:eastAsia="仿宋_GB2312"/>
          <w:b w:val="0"/>
          <w:sz w:val="32"/>
        </w:rPr>
        <w:t>2.教育支出(类)普通教育(款)小学教育(项):支出决算数为3,241.63万元，比上年决算减少124.67万元，下降3.70%,主要原因是：1.义教学生人数减少，公用经费减少；2.小学在职教职工人员减少，人员相关经费减少。</w:t>
      </w:r>
    </w:p>
    <w:p w14:paraId="0586B438">
      <w:pPr>
        <w:spacing w:line="580" w:lineRule="exact"/>
        <w:ind w:firstLine="640"/>
        <w:jc w:val="both"/>
      </w:pPr>
      <w:r>
        <w:rPr>
          <w:rFonts w:ascii="仿宋_GB2312" w:hAnsi="仿宋_GB2312" w:eastAsia="仿宋_GB2312"/>
          <w:b w:val="0"/>
          <w:sz w:val="32"/>
        </w:rPr>
        <w:t>3.教育支出(类)普通教育(款)初中教育(项):支出决算数为1,513.03万元，比上年决算减少78.24万元，下降4.92%,主要原因是：本年临聘人员减少，相关人员经费较上年减少。</w:t>
      </w:r>
    </w:p>
    <w:p w14:paraId="36CB06E3">
      <w:pPr>
        <w:spacing w:line="580" w:lineRule="exact"/>
        <w:ind w:firstLine="640"/>
        <w:jc w:val="both"/>
      </w:pPr>
      <w:r>
        <w:rPr>
          <w:rFonts w:ascii="仿宋_GB2312" w:hAnsi="仿宋_GB2312" w:eastAsia="仿宋_GB2312"/>
          <w:b w:val="0"/>
          <w:sz w:val="32"/>
        </w:rPr>
        <w:t>4.教育支出(类)普通教育(款)其他普通教育支出(项):支出决算数为352.63万元，比上年决算减少125.33万元，下降26.22%,主要原因是：本年度临聘人员减少，相关支出减少。</w:t>
      </w:r>
    </w:p>
    <w:p w14:paraId="437DC1A1">
      <w:pPr>
        <w:spacing w:line="580" w:lineRule="exact"/>
        <w:ind w:firstLine="640"/>
        <w:jc w:val="both"/>
      </w:pPr>
      <w:r>
        <w:rPr>
          <w:rFonts w:ascii="仿宋_GB2312" w:hAnsi="仿宋_GB2312" w:eastAsia="仿宋_GB2312"/>
          <w:b w:val="0"/>
          <w:sz w:val="32"/>
        </w:rPr>
        <w:t>5.教育支出(类)教育费附加安排的支出(款)农村中小学教学设施(项):支出决算数为25.73万元，比上年决算增加25.73万元，增长100.00%,主要原因是：本年新增办公设备购置费用。</w:t>
      </w:r>
    </w:p>
    <w:p w14:paraId="5784C6EE">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6.教育支出(类)教育费附加安排的支出(款)其他教育费附加安排的支出(项):支出决算数为0.00万元，比上年决算减少3.08万元，下降100.00%,主要原因是：本年减少继续教育费用支出。</w:t>
      </w:r>
    </w:p>
    <w:p w14:paraId="79346B4B">
      <w:pPr>
        <w:spacing w:line="580" w:lineRule="exact"/>
        <w:ind w:firstLine="640"/>
        <w:jc w:val="both"/>
      </w:pPr>
      <w:r>
        <w:rPr>
          <w:rFonts w:ascii="仿宋_GB2312" w:hAnsi="仿宋_GB2312" w:eastAsia="仿宋_GB2312"/>
          <w:b w:val="0"/>
          <w:sz w:val="32"/>
        </w:rPr>
        <w:t>7.教育支出(类)其他教育支出(款)其他教育支出(项):支出决算数为0.00万元，比上年决算减少26.51万元，下降100.00%,主要原因是：本年功能科目调整，办公设备购置款上年在此科目列支，本年调整至学前教育(项)科目列支，导致经费较上年减少。</w:t>
      </w:r>
    </w:p>
    <w:p w14:paraId="533D46BF">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8.社会保障和就业支出(类)行政事业单位养老支出(款)事业单位离退休(项):支出决算数为129.02万元，比上年决算增加98.95万元，增长329.07%,主要原因是：本年增加退休人员基础绩效奖，退休费支出增加。</w:t>
      </w:r>
    </w:p>
    <w:p w14:paraId="7F5568D6">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637.35万元，比上年决算增加37.69万元，增长6.29%,主要原因是：本年在职人员工资基数调增，养老缴费基数上涨，相应支出增加。</w:t>
      </w:r>
    </w:p>
    <w:p w14:paraId="7C142FDA">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71.59万元，比上年决算减少48.18万元，下降40.23%,主要原因是：本年新增退休人员较上年减少，职业年金缴费较上年减少。</w:t>
      </w:r>
    </w:p>
    <w:p w14:paraId="3FE58ED2">
      <w:pPr>
        <w:spacing w:line="580" w:lineRule="exact"/>
        <w:ind w:firstLine="640"/>
        <w:jc w:val="both"/>
      </w:pPr>
      <w:r>
        <w:rPr>
          <w:rFonts w:ascii="仿宋_GB2312" w:hAnsi="仿宋_GB2312" w:eastAsia="仿宋_GB2312"/>
          <w:b w:val="0"/>
          <w:sz w:val="32"/>
        </w:rPr>
        <w:t>11.社会保障和就业支出(类)抚恤(款)死亡抚恤(项):支出决算数为0.00万元，比上年决算减少51.03万元，下降100.00%,主要原因是：本年无新增死亡人员，死亡抚恤支出较上年减少。</w:t>
      </w:r>
    </w:p>
    <w:p w14:paraId="404283A5">
      <w:pPr>
        <w:spacing w:line="580" w:lineRule="exact"/>
        <w:ind w:firstLine="640"/>
        <w:jc w:val="both"/>
      </w:pPr>
      <w:r>
        <w:rPr>
          <w:rFonts w:ascii="仿宋_GB2312" w:hAnsi="仿宋_GB2312" w:eastAsia="仿宋_GB2312"/>
          <w:b w:val="0"/>
          <w:sz w:val="32"/>
        </w:rPr>
        <w:t>12.卫生健康支出(类)行政事业单位医疗(款)事业单位医疗(项):支出决算数为320.92万元，比上年决算减少75.80万元，下降19.11%,主要原因是：1、本年在职人员减少，事业单位医疗支出较上年减少。2、因退休人员医疗保险制度改革，退休人员基本医疗不再由单位缴纳，导致经费较上年减少。</w:t>
      </w:r>
    </w:p>
    <w:p w14:paraId="643EAAA0">
      <w:pPr>
        <w:spacing w:line="580" w:lineRule="exact"/>
        <w:ind w:firstLine="640"/>
        <w:jc w:val="both"/>
      </w:pPr>
      <w:r>
        <w:rPr>
          <w:rFonts w:ascii="仿宋_GB2312" w:hAnsi="仿宋_GB2312" w:eastAsia="仿宋_GB2312"/>
          <w:b w:val="0"/>
          <w:sz w:val="32"/>
        </w:rPr>
        <w:t>13.住房保障支出(类)住房改革支出(款)住房公积金(项):支出决算数为0.00万元，比上年决算减少391.06万元，下降100.00%,主要原因是：本年功能科目调整，住房公积金上年度单独列支，本年调整至主科目列支，导致经费较上年减少。</w:t>
      </w:r>
    </w:p>
    <w:p w14:paraId="11FD7A48">
      <w:pPr>
        <w:spacing w:line="640" w:lineRule="exact"/>
        <w:ind w:firstLine="640"/>
        <w:jc w:val="both"/>
        <w:outlineLvl w:val="2"/>
      </w:pPr>
      <w:r>
        <w:rPr>
          <w:rFonts w:ascii="黑体" w:hAnsi="黑体" w:eastAsia="黑体"/>
          <w:sz w:val="32"/>
        </w:rPr>
        <w:t>六、一般公共预算财政拨款基本支出决算情况说明</w:t>
      </w:r>
    </w:p>
    <w:p w14:paraId="58B407D5">
      <w:pPr>
        <w:spacing w:line="580" w:lineRule="exact"/>
        <w:ind w:firstLine="640"/>
        <w:jc w:val="both"/>
      </w:pPr>
      <w:r>
        <w:rPr>
          <w:rFonts w:ascii="仿宋_GB2312" w:hAnsi="仿宋_GB2312" w:eastAsia="仿宋_GB2312"/>
          <w:b w:val="0"/>
          <w:sz w:val="32"/>
        </w:rPr>
        <w:t>2024年度一般公共预算财政拨款基本支出7,571.81万元，其中：</w:t>
      </w:r>
      <w:r>
        <w:rPr>
          <w:rFonts w:ascii="仿宋_GB2312" w:hAnsi="仿宋_GB2312" w:eastAsia="仿宋_GB2312"/>
          <w:b/>
          <w:sz w:val="32"/>
        </w:rPr>
        <w:t>人员经费7,068.11万元，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14:paraId="5D9E203B">
      <w:pPr>
        <w:spacing w:line="580" w:lineRule="exact"/>
        <w:ind w:firstLine="640"/>
        <w:jc w:val="both"/>
      </w:pPr>
      <w:r>
        <w:rPr>
          <w:rFonts w:ascii="仿宋_GB2312" w:hAnsi="仿宋_GB2312" w:eastAsia="仿宋_GB2312"/>
          <w:b/>
          <w:sz w:val="32"/>
        </w:rPr>
        <w:t>公用经费503.70万元，</w:t>
      </w:r>
      <w:r>
        <w:rPr>
          <w:rFonts w:ascii="仿宋_GB2312" w:hAnsi="仿宋_GB2312" w:eastAsia="仿宋_GB2312"/>
          <w:b w:val="0"/>
          <w:sz w:val="32"/>
        </w:rPr>
        <w:t>包括：办公费、水费、电费、邮电费、取暖费、维修（护）费、培训费、工会经费、福利费、办公设备购置。</w:t>
      </w:r>
    </w:p>
    <w:p w14:paraId="4FB8D2F5">
      <w:pPr>
        <w:spacing w:line="640" w:lineRule="exact"/>
        <w:ind w:firstLine="640"/>
        <w:jc w:val="both"/>
        <w:outlineLvl w:val="2"/>
      </w:pPr>
      <w:r>
        <w:rPr>
          <w:rFonts w:ascii="黑体" w:hAnsi="黑体" w:eastAsia="黑体"/>
          <w:sz w:val="32"/>
        </w:rPr>
        <w:t>七、政府性基金预算财政拨款收入支出决算情况说明</w:t>
      </w:r>
    </w:p>
    <w:p w14:paraId="42FC00B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685AA27">
      <w:pPr>
        <w:spacing w:line="640" w:lineRule="exact"/>
        <w:ind w:firstLine="640"/>
        <w:jc w:val="both"/>
        <w:outlineLvl w:val="2"/>
      </w:pPr>
      <w:r>
        <w:rPr>
          <w:rFonts w:ascii="黑体" w:hAnsi="黑体" w:eastAsia="黑体"/>
          <w:sz w:val="32"/>
        </w:rPr>
        <w:t>八、国有资本经营预算财政拨款收入支出决算情况说明</w:t>
      </w:r>
    </w:p>
    <w:p w14:paraId="2666FC1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84B928">
      <w:pPr>
        <w:spacing w:line="640" w:lineRule="exact"/>
        <w:ind w:firstLine="640"/>
        <w:jc w:val="both"/>
        <w:outlineLvl w:val="2"/>
      </w:pPr>
      <w:r>
        <w:rPr>
          <w:rFonts w:ascii="黑体" w:hAnsi="黑体" w:eastAsia="黑体"/>
          <w:sz w:val="32"/>
        </w:rPr>
        <w:t>九、财政拨款“三公”经费支出决算情况说明</w:t>
      </w:r>
    </w:p>
    <w:p w14:paraId="5614C38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5D7E014">
      <w:pPr>
        <w:spacing w:line="580" w:lineRule="exact"/>
        <w:ind w:firstLine="640"/>
        <w:jc w:val="both"/>
      </w:pPr>
      <w:r>
        <w:rPr>
          <w:rFonts w:ascii="仿宋_GB2312" w:hAnsi="仿宋_GB2312" w:eastAsia="仿宋_GB2312"/>
          <w:b/>
          <w:sz w:val="32"/>
        </w:rPr>
        <w:t>具体情况如下：</w:t>
      </w:r>
    </w:p>
    <w:p w14:paraId="1455158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45F37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266A7A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96CBB2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66C6E62">
      <w:pPr>
        <w:spacing w:line="640" w:lineRule="exact"/>
        <w:ind w:firstLine="640"/>
        <w:jc w:val="both"/>
        <w:outlineLvl w:val="2"/>
      </w:pPr>
      <w:r>
        <w:rPr>
          <w:rFonts w:ascii="黑体" w:hAnsi="黑体" w:eastAsia="黑体"/>
          <w:sz w:val="32"/>
        </w:rPr>
        <w:t>十、其他重要事项的情况说明</w:t>
      </w:r>
    </w:p>
    <w:p w14:paraId="64612DBC">
      <w:pPr>
        <w:spacing w:line="640" w:lineRule="exact"/>
        <w:ind w:firstLine="640"/>
        <w:jc w:val="both"/>
        <w:outlineLvl w:val="3"/>
      </w:pPr>
      <w:r>
        <w:rPr>
          <w:rFonts w:ascii="楷体_GB2312" w:hAnsi="楷体_GB2312" w:eastAsia="楷体_GB2312"/>
          <w:b/>
          <w:sz w:val="32"/>
        </w:rPr>
        <w:t>（一）机关运行经费及公用经费支出情况</w:t>
      </w:r>
    </w:p>
    <w:p w14:paraId="5382D007">
      <w:pPr>
        <w:spacing w:line="580" w:lineRule="exact"/>
        <w:ind w:firstLine="640"/>
        <w:jc w:val="both"/>
      </w:pPr>
      <w:r>
        <w:rPr>
          <w:rFonts w:ascii="仿宋_GB2312" w:hAnsi="仿宋_GB2312" w:eastAsia="仿宋_GB2312"/>
          <w:b w:val="0"/>
          <w:sz w:val="32"/>
        </w:rPr>
        <w:t>2024年度霍城县萨尔布拉克镇中心学校（事业单位）公用经费支出503.70万元，比上年减少141.92万元，下降21.98%，主要原因是：本年度学生人数减少，导致公用经费支出减少。</w:t>
      </w:r>
    </w:p>
    <w:p w14:paraId="1DD26078">
      <w:pPr>
        <w:spacing w:line="640" w:lineRule="exact"/>
        <w:ind w:firstLine="640"/>
        <w:jc w:val="both"/>
        <w:outlineLvl w:val="3"/>
      </w:pPr>
      <w:r>
        <w:rPr>
          <w:rFonts w:ascii="楷体_GB2312" w:hAnsi="楷体_GB2312" w:eastAsia="楷体_GB2312"/>
          <w:b/>
          <w:sz w:val="32"/>
        </w:rPr>
        <w:t>（二）政府采购情况</w:t>
      </w:r>
    </w:p>
    <w:p w14:paraId="79D5F818">
      <w:pPr>
        <w:spacing w:line="580" w:lineRule="exact"/>
        <w:ind w:firstLine="640"/>
        <w:jc w:val="both"/>
      </w:pPr>
      <w:r>
        <w:rPr>
          <w:rFonts w:ascii="仿宋_GB2312" w:hAnsi="仿宋_GB2312" w:eastAsia="仿宋_GB2312"/>
          <w:b w:val="0"/>
          <w:sz w:val="32"/>
        </w:rPr>
        <w:t>2024年度政府采购支出总额59.63万元，其中：政府采购货物支出6.97万元、政府采购工程支出52.66万元、政府采购服务支出0.00万元。</w:t>
      </w:r>
    </w:p>
    <w:p w14:paraId="60A7AD92">
      <w:pPr>
        <w:spacing w:line="580" w:lineRule="exact"/>
        <w:ind w:firstLine="640"/>
        <w:jc w:val="both"/>
      </w:pPr>
      <w:r>
        <w:rPr>
          <w:rFonts w:ascii="仿宋_GB2312" w:hAnsi="仿宋_GB2312" w:eastAsia="仿宋_GB2312"/>
          <w:b w:val="0"/>
          <w:sz w:val="32"/>
        </w:rPr>
        <w:t>授予中小企业合同金额59.63万元，占政府采购支出总额的100.00%，其中：授予小微企业合同金额59.63万元，占政府采购支出总额的100.00%。</w:t>
      </w:r>
    </w:p>
    <w:p w14:paraId="3C4755CC">
      <w:pPr>
        <w:spacing w:line="640" w:lineRule="exact"/>
        <w:ind w:firstLine="640"/>
        <w:jc w:val="both"/>
        <w:outlineLvl w:val="3"/>
      </w:pPr>
      <w:r>
        <w:rPr>
          <w:rFonts w:ascii="楷体_GB2312" w:hAnsi="楷体_GB2312" w:eastAsia="楷体_GB2312"/>
          <w:b/>
          <w:sz w:val="32"/>
        </w:rPr>
        <w:t>（三）国有资产占用情况说明</w:t>
      </w:r>
    </w:p>
    <w:p w14:paraId="4A45E0F0">
      <w:pPr>
        <w:spacing w:line="580" w:lineRule="exact"/>
        <w:ind w:firstLine="640"/>
        <w:jc w:val="both"/>
      </w:pPr>
      <w:r>
        <w:rPr>
          <w:rFonts w:ascii="仿宋_GB2312" w:hAnsi="仿宋_GB2312" w:eastAsia="仿宋_GB2312"/>
          <w:b w:val="0"/>
          <w:sz w:val="32"/>
        </w:rPr>
        <w:t>截至2024年12月31日，房屋52,449.61平方米，价值6,235.94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553480A">
      <w:pPr>
        <w:spacing w:line="640" w:lineRule="exact"/>
        <w:ind w:firstLine="640"/>
        <w:jc w:val="both"/>
        <w:outlineLvl w:val="2"/>
      </w:pPr>
      <w:r>
        <w:rPr>
          <w:rFonts w:ascii="黑体" w:hAnsi="黑体" w:eastAsia="黑体"/>
          <w:sz w:val="32"/>
        </w:rPr>
        <w:t>十一、预算绩效的情况说明</w:t>
      </w:r>
    </w:p>
    <w:p w14:paraId="58E2D4B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7,571.81万元，实际执行总额7,571.81万元；预算绩效评价项目0个，全年预算数0.00万元，全年执行数0.00万元。预算绩效管理取得的成效：2024年学校围绕工作计划，从抓管理、强素质入手，强化德育为先，教学为中心，教研为先导，质量为本的学校育人策略，全面实施素质教育，完成各项教学任务。建设了一支高素质的师资队伍，培养了一批业务精、敢于担当、勇于奉献的青年教师队伍，为学校可持续发展奠定基础，巩固、提高了教学成果。发现的问题及原因：1、未实现全面预算的信息化管理，不能及时考核预算执行情况；2、内部管理制度不完善，内部管理流程不清晰；3、预算执行完成后的绩效管理还有待完善和加强；4、绩效监控工作组织管理中存在实施事项与年初预算出现偏差，主要原因是对校内支出事项预测不精准，对突发事件预备不足。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三）建立动态分析管理机制，提高项目监管主动性，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具体附整体支出绩效自评表。</w:t>
      </w:r>
    </w:p>
    <w:p w14:paraId="185E70B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8E47E18">
        <w:tblPrEx>
          <w:tblCellMar>
            <w:top w:w="0" w:type="dxa"/>
            <w:left w:w="108" w:type="dxa"/>
            <w:bottom w:w="0" w:type="dxa"/>
            <w:right w:w="108" w:type="dxa"/>
          </w:tblCellMar>
        </w:tblPrEx>
        <w:tc>
          <w:tcPr>
            <w:tcW w:w="8840" w:type="dxa"/>
            <w:gridSpan w:val="8"/>
            <w:vAlign w:val="center"/>
          </w:tcPr>
          <w:p w14:paraId="3388C2DF">
            <w:pPr>
              <w:jc w:val="center"/>
            </w:pPr>
            <w:r>
              <w:rPr>
                <w:rFonts w:ascii="宋体" w:hAnsi="宋体" w:eastAsia="宋体"/>
                <w:sz w:val="24"/>
              </w:rPr>
              <w:t>单位整体支出绩效自评表</w:t>
            </w:r>
          </w:p>
        </w:tc>
      </w:tr>
      <w:tr w14:paraId="180B4B3E">
        <w:tblPrEx>
          <w:tblCellMar>
            <w:top w:w="0" w:type="dxa"/>
            <w:left w:w="108" w:type="dxa"/>
            <w:bottom w:w="0" w:type="dxa"/>
            <w:right w:w="108" w:type="dxa"/>
          </w:tblCellMar>
        </w:tblPrEx>
        <w:tc>
          <w:tcPr>
            <w:tcW w:w="8840" w:type="dxa"/>
            <w:gridSpan w:val="8"/>
            <w:vAlign w:val="center"/>
          </w:tcPr>
          <w:p w14:paraId="1AB7195E">
            <w:pPr>
              <w:jc w:val="center"/>
            </w:pPr>
            <w:r>
              <w:rPr>
                <w:rFonts w:ascii="宋体" w:hAnsi="宋体" w:eastAsia="宋体"/>
                <w:sz w:val="24"/>
              </w:rPr>
              <w:t>（2024年度）</w:t>
            </w:r>
          </w:p>
        </w:tc>
      </w:tr>
      <w:tr w14:paraId="41B915E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9DB3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7A719B">
            <w:pPr>
              <w:jc w:val="center"/>
            </w:pPr>
            <w:r>
              <w:rPr>
                <w:rFonts w:ascii="宋体" w:hAnsi="宋体" w:eastAsia="宋体"/>
                <w:sz w:val="16"/>
              </w:rPr>
              <w:t>霍城县萨尔布拉克镇中心学校</w:t>
            </w:r>
          </w:p>
        </w:tc>
      </w:tr>
      <w:tr w14:paraId="1190BF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7681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CC06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D862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37DF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E1CF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B6CA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519C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D10FC">
            <w:pPr>
              <w:jc w:val="center"/>
            </w:pPr>
            <w:r>
              <w:rPr>
                <w:rFonts w:ascii="宋体" w:hAnsi="宋体" w:eastAsia="宋体"/>
                <w:sz w:val="16"/>
              </w:rPr>
              <w:t>得分</w:t>
            </w:r>
          </w:p>
        </w:tc>
      </w:tr>
      <w:tr w14:paraId="3B85B4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2213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2FDC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D99FB">
            <w:pPr>
              <w:jc w:val="center"/>
            </w:pPr>
            <w:r>
              <w:rPr>
                <w:rFonts w:ascii="宋体" w:hAnsi="宋体" w:eastAsia="宋体"/>
                <w:sz w:val="16"/>
              </w:rPr>
              <w:t>7,237.79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0CE0D">
            <w:pPr>
              <w:jc w:val="center"/>
            </w:pPr>
            <w:r>
              <w:rPr>
                <w:rFonts w:ascii="宋体" w:hAnsi="宋体" w:eastAsia="宋体"/>
                <w:sz w:val="16"/>
              </w:rPr>
              <w:t>7,571.81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11736">
            <w:pPr>
              <w:jc w:val="center"/>
            </w:pPr>
            <w:r>
              <w:rPr>
                <w:rFonts w:ascii="宋体" w:hAnsi="宋体" w:eastAsia="宋体"/>
                <w:sz w:val="16"/>
              </w:rPr>
              <w:t>7,571.81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6E0E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47F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795F8">
            <w:pPr>
              <w:jc w:val="center"/>
            </w:pPr>
            <w:r>
              <w:rPr>
                <w:rFonts w:ascii="宋体" w:hAnsi="宋体" w:eastAsia="宋体"/>
                <w:sz w:val="16"/>
              </w:rPr>
              <w:t>10</w:t>
            </w:r>
          </w:p>
        </w:tc>
      </w:tr>
      <w:tr w14:paraId="39638B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435B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6254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E6B57">
            <w:pPr>
              <w:jc w:val="center"/>
            </w:pPr>
            <w:r>
              <w:rPr>
                <w:rFonts w:ascii="宋体" w:hAnsi="宋体" w:eastAsia="宋体"/>
                <w:sz w:val="16"/>
              </w:rPr>
              <w:t>709.57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FBB50">
            <w:pPr>
              <w:jc w:val="center"/>
            </w:pPr>
            <w:r>
              <w:rPr>
                <w:rFonts w:ascii="宋体" w:hAnsi="宋体" w:eastAsia="宋体"/>
                <w:sz w:val="16"/>
              </w:rPr>
              <w:t>709.57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120BF">
            <w:pPr>
              <w:jc w:val="center"/>
            </w:pPr>
            <w:r>
              <w:rPr>
                <w:rFonts w:ascii="宋体" w:hAnsi="宋体" w:eastAsia="宋体"/>
                <w:sz w:val="16"/>
              </w:rPr>
              <w:t>709.57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38F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B98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C8F5D">
            <w:pPr>
              <w:jc w:val="center"/>
            </w:pPr>
            <w:r>
              <w:rPr>
                <w:rFonts w:ascii="宋体" w:hAnsi="宋体" w:eastAsia="宋体"/>
                <w:sz w:val="16"/>
              </w:rPr>
              <w:t>-</w:t>
            </w:r>
          </w:p>
        </w:tc>
      </w:tr>
      <w:tr w14:paraId="29874B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644E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A202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286A2">
            <w:pPr>
              <w:jc w:val="center"/>
            </w:pPr>
            <w:r>
              <w:rPr>
                <w:rFonts w:ascii="宋体" w:hAnsi="宋体" w:eastAsia="宋体"/>
                <w:sz w:val="16"/>
              </w:rPr>
              <w:t>6,528.22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3FF1B">
            <w:pPr>
              <w:jc w:val="center"/>
            </w:pPr>
            <w:r>
              <w:rPr>
                <w:rFonts w:ascii="宋体" w:hAnsi="宋体" w:eastAsia="宋体"/>
                <w:sz w:val="16"/>
              </w:rPr>
              <w:t>6,862.24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6127A">
            <w:pPr>
              <w:jc w:val="center"/>
            </w:pPr>
            <w:r>
              <w:rPr>
                <w:rFonts w:ascii="宋体" w:hAnsi="宋体" w:eastAsia="宋体"/>
                <w:sz w:val="16"/>
              </w:rPr>
              <w:t>6,862.24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9CD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B16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9657F">
            <w:pPr>
              <w:jc w:val="center"/>
            </w:pPr>
            <w:r>
              <w:rPr>
                <w:rFonts w:ascii="宋体" w:hAnsi="宋体" w:eastAsia="宋体"/>
                <w:sz w:val="16"/>
              </w:rPr>
              <w:t>-</w:t>
            </w:r>
          </w:p>
        </w:tc>
      </w:tr>
      <w:tr w14:paraId="3226DA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13BC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852E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25A2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412F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DBDF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457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25D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CD4B4">
            <w:pPr>
              <w:jc w:val="center"/>
            </w:pPr>
            <w:r>
              <w:rPr>
                <w:rFonts w:ascii="宋体" w:hAnsi="宋体" w:eastAsia="宋体"/>
                <w:sz w:val="16"/>
              </w:rPr>
              <w:t>-</w:t>
            </w:r>
          </w:p>
        </w:tc>
      </w:tr>
      <w:tr w14:paraId="4A697FC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9283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5686C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B9142D">
            <w:pPr>
              <w:jc w:val="center"/>
            </w:pPr>
            <w:r>
              <w:rPr>
                <w:rFonts w:ascii="宋体" w:hAnsi="宋体" w:eastAsia="宋体"/>
                <w:sz w:val="16"/>
              </w:rPr>
              <w:t>实际完成情况</w:t>
            </w:r>
          </w:p>
        </w:tc>
      </w:tr>
      <w:tr w14:paraId="27C746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483E3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DEF1DE">
            <w:pPr>
              <w:jc w:val="both"/>
            </w:pPr>
            <w:r>
              <w:rPr>
                <w:rFonts w:ascii="宋体" w:hAnsi="宋体" w:eastAsia="宋体"/>
                <w:sz w:val="16"/>
              </w:rPr>
              <w:t>贯彻落实中央、自治区党委决策部署的各项重大工作决定和安排，充分发挥教育经费保障教育发展、推动教育改革、推进教育公平、提高教育质量的政策引领作用，进一步优化结构、深化改革、强化监管，花好每一分钱，坚持以习近平新时代中国特色社会主义思想为指导，深入贯彻党的二十大精神，把教育经费用到最关键处，切实提高教育经费使用效益。完善城乡义务教育经费保障机制，普及学前教育、义务教育，保障适龄儿童全部入学就读。保障各中小学和幼儿园教育教学正常运转，保证学校校舍安全。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加强资源统筹，构建终身教育体系，服务群众终身学习和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BA4850">
            <w:pPr>
              <w:jc w:val="both"/>
            </w:pPr>
            <w:r>
              <w:rPr>
                <w:rFonts w:ascii="宋体" w:hAnsi="宋体" w:eastAsia="宋体"/>
                <w:sz w:val="16"/>
              </w:rPr>
              <w:t>2024年学校围绕工作计划，从抓管理、强素质入手，强化德育为先，教学为中心，教研为先导，质量为本的学校育人策略，全面实施素质教育，完成各项教学任务。建设了一支高素质的师资队伍，培养了一批业务精、敢于担当、勇于奉献的青年教师队伍，为学校可持续发展奠定基础，巩固、提高了教学成果。</w:t>
            </w:r>
          </w:p>
        </w:tc>
      </w:tr>
      <w:tr w14:paraId="5441CCB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6DD6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ACF3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36E5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BD7D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4139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E08D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DAC7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579DA">
            <w:pPr>
              <w:jc w:val="center"/>
            </w:pPr>
            <w:r>
              <w:rPr>
                <w:rFonts w:ascii="宋体" w:hAnsi="宋体" w:eastAsia="宋体"/>
                <w:sz w:val="16"/>
              </w:rPr>
              <w:t>得分</w:t>
            </w:r>
          </w:p>
        </w:tc>
      </w:tr>
      <w:tr w14:paraId="5BDCE3E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DA80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40E7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5067D">
            <w:pPr>
              <w:jc w:val="center"/>
            </w:pPr>
            <w:r>
              <w:rPr>
                <w:rFonts w:ascii="宋体" w:hAnsi="宋体" w:eastAsia="宋体"/>
                <w:sz w:val="16"/>
              </w:rPr>
              <w:t>义务教育学生人数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A3BBA">
            <w:pPr>
              <w:jc w:val="center"/>
            </w:pPr>
            <w:r>
              <w:rPr>
                <w:rFonts w:ascii="宋体" w:hAnsi="宋体" w:eastAsia="宋体"/>
                <w:sz w:val="16"/>
              </w:rPr>
              <w:t>&gt;=3492人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4C582">
            <w:pPr>
              <w:jc w:val="center"/>
            </w:pPr>
            <w:r>
              <w:rPr>
                <w:rFonts w:ascii="宋体" w:hAnsi="宋体" w:eastAsia="宋体"/>
                <w:sz w:val="16"/>
              </w:rPr>
              <w:t>教育事业综合统计调查表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706A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1C3A0">
            <w:pPr>
              <w:jc w:val="center"/>
            </w:pPr>
            <w:r>
              <w:rPr>
                <w:rFonts w:ascii="宋体" w:hAnsi="宋体" w:eastAsia="宋体"/>
                <w:sz w:val="16"/>
              </w:rPr>
              <w:t>=3492人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0D1C6">
            <w:pPr>
              <w:jc w:val="center"/>
            </w:pPr>
            <w:r>
              <w:rPr>
                <w:rFonts w:ascii="宋体" w:hAnsi="宋体" w:eastAsia="宋体"/>
                <w:sz w:val="16"/>
              </w:rPr>
              <w:t>15</w:t>
            </w:r>
          </w:p>
        </w:tc>
      </w:tr>
      <w:tr w14:paraId="4808FA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8F21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28BB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7D051">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8A96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EC4FE">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45FE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255E3">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DE19D">
            <w:pPr>
              <w:jc w:val="center"/>
            </w:pPr>
            <w:r>
              <w:rPr>
                <w:rFonts w:ascii="宋体" w:hAnsi="宋体" w:eastAsia="宋体"/>
                <w:sz w:val="16"/>
              </w:rPr>
              <w:t>15</w:t>
            </w:r>
          </w:p>
        </w:tc>
      </w:tr>
      <w:tr w14:paraId="179928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7B2F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56BC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11BED">
            <w:pPr>
              <w:jc w:val="center"/>
            </w:pPr>
            <w:r>
              <w:rPr>
                <w:rFonts w:ascii="宋体" w:hAnsi="宋体" w:eastAsia="宋体"/>
                <w:sz w:val="16"/>
              </w:rPr>
              <w:t>残疾儿童入学率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EEB42">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46BD9">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A064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1DF6C">
            <w:pPr>
              <w:jc w:val="center"/>
            </w:pPr>
            <w:r>
              <w:rPr>
                <w:rFonts w:ascii="宋体" w:hAnsi="宋体" w:eastAsia="宋体"/>
                <w:sz w:val="16"/>
              </w:rPr>
              <w:tab/>
            </w: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C497A">
            <w:pPr>
              <w:jc w:val="center"/>
            </w:pPr>
            <w:r>
              <w:rPr>
                <w:rFonts w:ascii="宋体" w:hAnsi="宋体" w:eastAsia="宋体"/>
                <w:sz w:val="16"/>
              </w:rPr>
              <w:t>15</w:t>
            </w:r>
          </w:p>
        </w:tc>
      </w:tr>
      <w:tr w14:paraId="3AB1E6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2EB65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FA73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353D3">
            <w:pPr>
              <w:jc w:val="center"/>
            </w:pPr>
            <w:r>
              <w:rPr>
                <w:rFonts w:ascii="宋体" w:hAnsi="宋体" w:eastAsia="宋体"/>
                <w:sz w:val="16"/>
              </w:rPr>
              <w:t>创办平安校园活动举办次数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71A68">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A4844">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0E2B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5F584">
            <w:pPr>
              <w:jc w:val="center"/>
            </w:pPr>
            <w:r>
              <w:rPr>
                <w:rFonts w:ascii="宋体" w:hAnsi="宋体" w:eastAsia="宋体"/>
                <w:sz w:val="16"/>
              </w:rPr>
              <w:tab/>
            </w: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B74D8">
            <w:pPr>
              <w:jc w:val="center"/>
            </w:pPr>
            <w:r>
              <w:rPr>
                <w:rFonts w:ascii="宋体" w:hAnsi="宋体" w:eastAsia="宋体"/>
                <w:sz w:val="16"/>
              </w:rPr>
              <w:t>15</w:t>
            </w:r>
          </w:p>
        </w:tc>
      </w:tr>
      <w:tr w14:paraId="205B21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D0FC5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AEACE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CA0F5">
            <w:pPr>
              <w:jc w:val="center"/>
            </w:pPr>
            <w:r>
              <w:rPr>
                <w:rFonts w:ascii="宋体" w:hAnsi="宋体" w:eastAsia="宋体"/>
                <w:sz w:val="16"/>
              </w:rPr>
              <w:t>强化控辍保学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5E6E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8345E">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4BC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8C63D">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B83DC">
            <w:pPr>
              <w:jc w:val="center"/>
            </w:pPr>
            <w:r>
              <w:rPr>
                <w:rFonts w:ascii="宋体" w:hAnsi="宋体" w:eastAsia="宋体"/>
                <w:sz w:val="16"/>
              </w:rPr>
              <w:t>10</w:t>
            </w:r>
          </w:p>
        </w:tc>
      </w:tr>
      <w:tr w14:paraId="47DD8B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26F2E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6FC6C">
            <w:pPr>
              <w:jc w:val="center"/>
            </w:pPr>
            <w:r>
              <w:rPr>
                <w:rFonts w:ascii="宋体" w:hAnsi="宋体" w:eastAsia="宋体"/>
                <w:sz w:val="16"/>
              </w:rPr>
              <w:t>质量目标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47BED">
            <w:pPr>
              <w:jc w:val="center"/>
            </w:pPr>
            <w:r>
              <w:rPr>
                <w:rFonts w:ascii="宋体" w:hAnsi="宋体" w:eastAsia="宋体"/>
                <w:sz w:val="16"/>
              </w:rPr>
              <w:t>国家通用语言文学教育教学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54BB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53AF7">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66B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83A3D">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D0C4E">
            <w:pPr>
              <w:jc w:val="center"/>
            </w:pPr>
            <w:r>
              <w:rPr>
                <w:rFonts w:ascii="宋体" w:hAnsi="宋体" w:eastAsia="宋体"/>
                <w:sz w:val="16"/>
              </w:rPr>
              <w:t>10</w:t>
            </w:r>
          </w:p>
        </w:tc>
      </w:tr>
      <w:tr w14:paraId="55914B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C77C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7984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926F6">
            <w:pPr>
              <w:jc w:val="center"/>
            </w:pPr>
            <w:r>
              <w:rPr>
                <w:rFonts w:ascii="宋体" w:hAnsi="宋体" w:eastAsia="宋体"/>
                <w:sz w:val="16"/>
              </w:rPr>
              <w:t>义务教育优质均衡率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32B0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6AD45">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9769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7E133">
            <w:pPr>
              <w:jc w:val="center"/>
            </w:pPr>
            <w:r>
              <w:rPr>
                <w:rFonts w:ascii="宋体" w:hAnsi="宋体" w:eastAsia="宋体"/>
                <w:sz w:val="16"/>
              </w:rPr>
              <w:tab/>
            </w: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68A53">
            <w:pPr>
              <w:jc w:val="center"/>
            </w:pPr>
            <w:r>
              <w:rPr>
                <w:rFonts w:ascii="宋体" w:hAnsi="宋体" w:eastAsia="宋体"/>
                <w:sz w:val="16"/>
              </w:rPr>
              <w:t>10</w:t>
            </w:r>
          </w:p>
        </w:tc>
      </w:tr>
    </w:tbl>
    <w:p w14:paraId="0E5CD05A">
      <w:r>
        <w:br w:type="page"/>
      </w:r>
    </w:p>
    <w:p w14:paraId="0D4C7FDB">
      <w:pPr>
        <w:spacing w:line="640" w:lineRule="exact"/>
        <w:ind w:firstLine="640"/>
        <w:jc w:val="both"/>
        <w:outlineLvl w:val="2"/>
      </w:pPr>
      <w:r>
        <w:rPr>
          <w:rFonts w:ascii="黑体" w:hAnsi="黑体" w:eastAsia="黑体"/>
          <w:sz w:val="32"/>
        </w:rPr>
        <w:t>十二、其他需说明的事项</w:t>
      </w:r>
    </w:p>
    <w:p w14:paraId="4E90654E">
      <w:pPr>
        <w:spacing w:line="580" w:lineRule="exact"/>
        <w:ind w:firstLine="640"/>
        <w:jc w:val="both"/>
      </w:pPr>
      <w:r>
        <w:rPr>
          <w:rFonts w:ascii="仿宋_GB2312" w:hAnsi="仿宋_GB2312" w:eastAsia="仿宋_GB2312"/>
          <w:b w:val="0"/>
          <w:sz w:val="32"/>
        </w:rPr>
        <w:t>本单位无其他需说明的事项。</w:t>
      </w:r>
    </w:p>
    <w:p w14:paraId="548D2984">
      <w:r>
        <w:br w:type="page"/>
      </w:r>
    </w:p>
    <w:p w14:paraId="231B2E24">
      <w:pPr>
        <w:spacing w:line="240" w:lineRule="auto"/>
        <w:jc w:val="center"/>
        <w:outlineLvl w:val="1"/>
      </w:pPr>
      <w:r>
        <w:rPr>
          <w:rFonts w:ascii="黑体" w:hAnsi="黑体" w:eastAsia="黑体"/>
          <w:sz w:val="32"/>
        </w:rPr>
        <w:t>第三部分 专业名词解释</w:t>
      </w:r>
    </w:p>
    <w:p w14:paraId="1578812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826C7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5B7C1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70513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4CC75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5037A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5982F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7E6F0E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39D87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33F52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469BD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2742AF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C772F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7479F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00DE59">
      <w:r>
        <w:br w:type="page"/>
      </w:r>
    </w:p>
    <w:p w14:paraId="46F4D25C">
      <w:pPr>
        <w:spacing w:line="240" w:lineRule="auto"/>
        <w:jc w:val="center"/>
        <w:outlineLvl w:val="1"/>
      </w:pPr>
      <w:r>
        <w:rPr>
          <w:rFonts w:ascii="黑体" w:hAnsi="黑体" w:eastAsia="黑体"/>
          <w:sz w:val="32"/>
        </w:rPr>
        <w:t>第四部分 部门决算报表（见附表）</w:t>
      </w:r>
    </w:p>
    <w:p w14:paraId="73AD4E6B">
      <w:pPr>
        <w:spacing w:line="240" w:lineRule="auto"/>
        <w:ind w:firstLine="640"/>
        <w:jc w:val="both"/>
      </w:pPr>
      <w:r>
        <w:rPr>
          <w:rFonts w:ascii="仿宋_GB2312" w:hAnsi="仿宋_GB2312" w:eastAsia="仿宋_GB2312"/>
          <w:b w:val="0"/>
          <w:sz w:val="32"/>
        </w:rPr>
        <w:t>一、《收入支出决算总表》</w:t>
      </w:r>
    </w:p>
    <w:p w14:paraId="66333FE3">
      <w:pPr>
        <w:spacing w:line="240" w:lineRule="auto"/>
        <w:ind w:firstLine="640"/>
        <w:jc w:val="both"/>
      </w:pPr>
      <w:r>
        <w:rPr>
          <w:rFonts w:ascii="仿宋_GB2312" w:hAnsi="仿宋_GB2312" w:eastAsia="仿宋_GB2312"/>
          <w:b w:val="0"/>
          <w:sz w:val="32"/>
        </w:rPr>
        <w:t>二、《收入决算表》</w:t>
      </w:r>
    </w:p>
    <w:p w14:paraId="23857F8D">
      <w:pPr>
        <w:spacing w:line="240" w:lineRule="auto"/>
        <w:ind w:firstLine="640"/>
        <w:jc w:val="both"/>
      </w:pPr>
      <w:r>
        <w:rPr>
          <w:rFonts w:ascii="仿宋_GB2312" w:hAnsi="仿宋_GB2312" w:eastAsia="仿宋_GB2312"/>
          <w:b w:val="0"/>
          <w:sz w:val="32"/>
        </w:rPr>
        <w:t>三、《支出决算表》</w:t>
      </w:r>
    </w:p>
    <w:p w14:paraId="6CF73419">
      <w:pPr>
        <w:spacing w:line="240" w:lineRule="auto"/>
        <w:ind w:firstLine="640"/>
        <w:jc w:val="both"/>
      </w:pPr>
      <w:r>
        <w:rPr>
          <w:rFonts w:ascii="仿宋_GB2312" w:hAnsi="仿宋_GB2312" w:eastAsia="仿宋_GB2312"/>
          <w:b w:val="0"/>
          <w:sz w:val="32"/>
        </w:rPr>
        <w:t>四、《财政拨款收入支出决算总表》</w:t>
      </w:r>
    </w:p>
    <w:p w14:paraId="5B0471E3">
      <w:pPr>
        <w:spacing w:line="240" w:lineRule="auto"/>
        <w:ind w:firstLine="640"/>
        <w:jc w:val="both"/>
      </w:pPr>
      <w:r>
        <w:rPr>
          <w:rFonts w:ascii="仿宋_GB2312" w:hAnsi="仿宋_GB2312" w:eastAsia="仿宋_GB2312"/>
          <w:b w:val="0"/>
          <w:sz w:val="32"/>
        </w:rPr>
        <w:t>五、《一般公共预算财政拨款支出决算表》</w:t>
      </w:r>
    </w:p>
    <w:p w14:paraId="3E73E611">
      <w:pPr>
        <w:spacing w:line="240" w:lineRule="auto"/>
        <w:ind w:firstLine="640"/>
        <w:jc w:val="both"/>
      </w:pPr>
      <w:r>
        <w:rPr>
          <w:rFonts w:ascii="仿宋_GB2312" w:hAnsi="仿宋_GB2312" w:eastAsia="仿宋_GB2312"/>
          <w:b w:val="0"/>
          <w:sz w:val="32"/>
        </w:rPr>
        <w:t>六、《一般公共预算财政拨款基本支出决算表》</w:t>
      </w:r>
    </w:p>
    <w:p w14:paraId="6C8F87D7">
      <w:pPr>
        <w:spacing w:line="240" w:lineRule="auto"/>
        <w:ind w:firstLine="640"/>
        <w:jc w:val="both"/>
      </w:pPr>
      <w:r>
        <w:rPr>
          <w:rFonts w:ascii="仿宋_GB2312" w:hAnsi="仿宋_GB2312" w:eastAsia="仿宋_GB2312"/>
          <w:b w:val="0"/>
          <w:sz w:val="32"/>
        </w:rPr>
        <w:t>七、《政府性基金预算财政拨款收入支出决算表》</w:t>
      </w:r>
    </w:p>
    <w:p w14:paraId="161C751B">
      <w:pPr>
        <w:spacing w:line="240" w:lineRule="auto"/>
        <w:ind w:firstLine="640"/>
        <w:jc w:val="both"/>
      </w:pPr>
      <w:r>
        <w:rPr>
          <w:rFonts w:ascii="仿宋_GB2312" w:hAnsi="仿宋_GB2312" w:eastAsia="仿宋_GB2312"/>
          <w:b w:val="0"/>
          <w:sz w:val="32"/>
        </w:rPr>
        <w:t>八、《国有资本经营预算财政拨款收入支出决算表》</w:t>
      </w:r>
    </w:p>
    <w:p w14:paraId="57E9552E">
      <w:pPr>
        <w:spacing w:line="240" w:lineRule="auto"/>
        <w:ind w:firstLine="640"/>
        <w:jc w:val="both"/>
      </w:pPr>
      <w:r>
        <w:rPr>
          <w:rFonts w:ascii="仿宋_GB2312" w:hAnsi="仿宋_GB2312" w:eastAsia="仿宋_GB2312"/>
          <w:b w:val="0"/>
          <w:sz w:val="32"/>
        </w:rPr>
        <w:t>九、《财政拨款“三公”经费支出决算表》</w:t>
      </w:r>
    </w:p>
    <w:p w14:paraId="6F13B62E">
      <w:pPr>
        <w:spacing w:line="240" w:lineRule="auto"/>
        <w:ind w:firstLine="640"/>
        <w:jc w:val="both"/>
      </w:pPr>
    </w:p>
    <w:p w14:paraId="35BE3452">
      <w:pPr>
        <w:spacing w:line="240" w:lineRule="auto"/>
        <w:ind w:firstLine="640"/>
        <w:jc w:val="both"/>
      </w:pPr>
    </w:p>
    <w:p w14:paraId="67D101A2">
      <w:pPr>
        <w:spacing w:line="240" w:lineRule="auto"/>
        <w:ind w:firstLine="640"/>
        <w:jc w:val="both"/>
      </w:pPr>
    </w:p>
    <w:p w14:paraId="57021C54">
      <w:pPr>
        <w:spacing w:line="240" w:lineRule="auto"/>
        <w:ind w:firstLine="640"/>
        <w:jc w:val="both"/>
      </w:pPr>
    </w:p>
    <w:p w14:paraId="68CC3F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B362EE"/>
    <w:rsid w:val="464B7E04"/>
    <w:rsid w:val="464F7E64"/>
    <w:rsid w:val="46901EEE"/>
    <w:rsid w:val="469C74D2"/>
    <w:rsid w:val="47445515"/>
    <w:rsid w:val="4A047039"/>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5808</Words>
  <Characters>6637</Characters>
  <Lines>0</Lines>
  <Paragraphs>0</Paragraphs>
  <TotalTime>3</TotalTime>
  <ScaleCrop>false</ScaleCrop>
  <LinksUpToDate>false</LinksUpToDate>
  <CharactersWithSpaces>6645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2025-09-25T05:00:19Z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