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霍城县芦草沟镇人民政府2024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4905449">
      <w:r>
        <w:br w:type="page"/>
      </w:r>
    </w:p>
    <w:p w14:paraId="1E57FBDC">
      <w:pPr>
        <w:spacing w:line="640" w:lineRule="exact"/>
        <w:jc w:val="center"/>
        <w:outlineLvl w:val="1"/>
      </w:pPr>
      <w:r>
        <w:rPr>
          <w:rFonts w:ascii="黑体" w:hAnsi="黑体" w:eastAsia="黑体"/>
          <w:sz w:val="32"/>
        </w:rPr>
        <w:t>第一部分 单位概况</w:t>
      </w:r>
    </w:p>
    <w:p w14:paraId="698CDB86">
      <w:pPr>
        <w:spacing w:line="640" w:lineRule="exact"/>
        <w:ind w:firstLine="640"/>
        <w:jc w:val="both"/>
        <w:outlineLvl w:val="2"/>
      </w:pPr>
      <w:r>
        <w:rPr>
          <w:rFonts w:ascii="黑体" w:hAnsi="黑体" w:eastAsia="黑体"/>
          <w:sz w:val="32"/>
        </w:rPr>
        <w:t>一、主要职能</w:t>
      </w:r>
    </w:p>
    <w:p w14:paraId="2AE8361F">
      <w:pPr>
        <w:spacing w:line="580" w:lineRule="exact"/>
        <w:ind w:firstLine="640"/>
        <w:jc w:val="both"/>
      </w:pPr>
      <w:r>
        <w:rPr>
          <w:rFonts w:ascii="仿宋_GB2312" w:hAnsi="仿宋_GB2312" w:eastAsia="仿宋_GB2312"/>
          <w:sz w:val="32"/>
        </w:rPr>
        <w:t>认真执行国家法律法规以及上级人民政府的决定和命令，执行本级人民代表大会的决议。负责制定和执行本行政区域内的经济和社会发展的计划，预算。管理本行政区域内的经济、教育、科技、文化、卫生、体育事业和民政、公安、司法等行政工作。保护国家财产，保障公民的合法权益，维护社会正常秩序，推行民主管理制度，实施依法行政管理本镇的各项社会事务。认真执行国家各项经济政策，保护各种经济组织的合法权益、积极促进本镇乡镇企业及其他农村经济快速稳步</w:t>
      </w:r>
      <w:r>
        <w:rPr>
          <w:rFonts w:hint="eastAsia" w:ascii="仿宋_GB2312" w:hAnsi="仿宋_GB2312" w:eastAsia="仿宋_GB2312"/>
          <w:sz w:val="32"/>
          <w:lang w:eastAsia="zh-CN"/>
        </w:rPr>
        <w:t>地</w:t>
      </w:r>
      <w:r>
        <w:rPr>
          <w:rFonts w:ascii="仿宋_GB2312" w:hAnsi="仿宋_GB2312" w:eastAsia="仿宋_GB2312"/>
          <w:sz w:val="32"/>
        </w:rPr>
        <w:t>发展。宣传党和国家的各项政策、依法管理各项事务、依法保护宪法和法律赋予妇女、儿童、</w:t>
      </w:r>
      <w:r>
        <w:rPr>
          <w:rFonts w:hint="eastAsia" w:ascii="仿宋_GB2312" w:hAnsi="仿宋_GB2312" w:eastAsia="仿宋_GB2312"/>
          <w:sz w:val="32"/>
          <w:lang w:eastAsia="zh-CN"/>
        </w:rPr>
        <w:t>老年人</w:t>
      </w:r>
      <w:r>
        <w:rPr>
          <w:rFonts w:ascii="仿宋_GB2312" w:hAnsi="仿宋_GB2312" w:eastAsia="仿宋_GB2312"/>
          <w:sz w:val="32"/>
        </w:rPr>
        <w:t>的合法权益。办理上级人民政府交办的其他工作。</w:t>
      </w:r>
    </w:p>
    <w:p w14:paraId="462FF89F">
      <w:pPr>
        <w:spacing w:line="640" w:lineRule="exact"/>
        <w:ind w:firstLine="640"/>
        <w:jc w:val="both"/>
        <w:outlineLvl w:val="2"/>
      </w:pPr>
      <w:r>
        <w:rPr>
          <w:rFonts w:ascii="黑体" w:hAnsi="黑体" w:eastAsia="黑体"/>
          <w:sz w:val="32"/>
        </w:rPr>
        <w:t>二、机构设置及人员情况</w:t>
      </w:r>
    </w:p>
    <w:p w14:paraId="1D3B4C74">
      <w:pPr>
        <w:spacing w:line="580" w:lineRule="exact"/>
        <w:ind w:firstLine="640"/>
        <w:jc w:val="both"/>
      </w:pPr>
      <w:r>
        <w:rPr>
          <w:rFonts w:ascii="仿宋_GB2312" w:hAnsi="仿宋_GB2312" w:eastAsia="仿宋_GB2312"/>
          <w:sz w:val="32"/>
        </w:rPr>
        <w:t>霍城县芦草沟镇人民政府2024年度，实有人数207人，其中：在职人员136人，减少2人；离休人员0人，增加0人；退休人员71人,增加0人。</w:t>
      </w:r>
    </w:p>
    <w:p w14:paraId="7B2ECE61">
      <w:pPr>
        <w:spacing w:line="580" w:lineRule="exact"/>
        <w:ind w:firstLine="640"/>
        <w:jc w:val="both"/>
      </w:pPr>
      <w:r>
        <w:rPr>
          <w:rFonts w:ascii="仿宋_GB2312" w:hAnsi="仿宋_GB2312" w:eastAsia="仿宋_GB2312"/>
          <w:sz w:val="32"/>
        </w:rPr>
        <w:t>霍城县芦草沟镇人民政府无下属预算单位，下设12个科室，分别是：党政办公室、党建办公室、经济发展办公室、社会事务办公室、综合执法办公室、农业（畜牧业）发展服务中心、文体广电旅游服务中心、社会保障（民政）服务中心（退役军人服务站）、农村合作经济（统计）发展中心（财政所）、村镇规划建设发展中心（生态环境工作站）、综治中心（网格化服务中心）、人口和生育生殖健康服务站。</w:t>
      </w:r>
    </w:p>
    <w:p w14:paraId="5FE61335">
      <w:r>
        <w:br w:type="page"/>
      </w:r>
    </w:p>
    <w:p w14:paraId="1F6992B5">
      <w:pPr>
        <w:spacing w:line="240" w:lineRule="auto"/>
        <w:jc w:val="center"/>
        <w:outlineLvl w:val="1"/>
      </w:pPr>
      <w:r>
        <w:rPr>
          <w:rFonts w:ascii="黑体" w:hAnsi="黑体" w:eastAsia="黑体"/>
          <w:sz w:val="32"/>
        </w:rPr>
        <w:t>第二部分 部门决算情况说明</w:t>
      </w:r>
    </w:p>
    <w:p w14:paraId="1131EB37">
      <w:pPr>
        <w:spacing w:line="640" w:lineRule="exact"/>
        <w:ind w:firstLine="640"/>
        <w:jc w:val="both"/>
        <w:outlineLvl w:val="2"/>
      </w:pPr>
      <w:r>
        <w:rPr>
          <w:rFonts w:ascii="黑体" w:hAnsi="黑体" w:eastAsia="黑体"/>
          <w:sz w:val="32"/>
        </w:rPr>
        <w:t>一、收入支出决算总体情况说明</w:t>
      </w:r>
    </w:p>
    <w:p w14:paraId="51BAF8E6">
      <w:pPr>
        <w:spacing w:line="580" w:lineRule="exact"/>
        <w:ind w:firstLine="640"/>
        <w:jc w:val="both"/>
      </w:pPr>
      <w:r>
        <w:rPr>
          <w:rFonts w:ascii="仿宋_GB2312" w:hAnsi="仿宋_GB2312" w:eastAsia="仿宋_GB2312"/>
          <w:b/>
          <w:sz w:val="32"/>
        </w:rPr>
        <w:t>2024年度收入总计6,354.14万元，</w:t>
      </w:r>
      <w:r>
        <w:rPr>
          <w:rFonts w:ascii="仿宋_GB2312" w:hAnsi="仿宋_GB2312" w:eastAsia="仿宋_GB2312"/>
          <w:b w:val="0"/>
          <w:sz w:val="32"/>
        </w:rPr>
        <w:t>其中：本年收入合计6,354.14万元，使用非财政拨款结余（含专用结余）0.00万元，年初结转和结余0.00万元。</w:t>
      </w:r>
    </w:p>
    <w:p w14:paraId="02C95A17">
      <w:pPr>
        <w:spacing w:line="580" w:lineRule="exact"/>
        <w:ind w:firstLine="640"/>
        <w:jc w:val="both"/>
      </w:pPr>
      <w:r>
        <w:rPr>
          <w:rFonts w:ascii="仿宋_GB2312" w:hAnsi="仿宋_GB2312" w:eastAsia="仿宋_GB2312"/>
          <w:b/>
          <w:sz w:val="32"/>
        </w:rPr>
        <w:t>2024年度支出总计6,354.14万元，</w:t>
      </w:r>
      <w:r>
        <w:rPr>
          <w:rFonts w:ascii="仿宋_GB2312" w:hAnsi="仿宋_GB2312" w:eastAsia="仿宋_GB2312"/>
          <w:b w:val="0"/>
          <w:sz w:val="32"/>
        </w:rPr>
        <w:t>其中：本年支出合计6,354.14万元，结余分配0.00万元，年末结转和结余0.00万元。</w:t>
      </w:r>
    </w:p>
    <w:p w14:paraId="4EF52FBD">
      <w:pPr>
        <w:spacing w:line="580" w:lineRule="exact"/>
        <w:ind w:firstLine="640"/>
        <w:jc w:val="both"/>
      </w:pPr>
      <w:r>
        <w:rPr>
          <w:rFonts w:ascii="仿宋_GB2312" w:hAnsi="仿宋_GB2312" w:eastAsia="仿宋_GB2312"/>
          <w:b w:val="0"/>
          <w:sz w:val="32"/>
        </w:rPr>
        <w:t>收入支出总体与上年相比，增加2,318.53万元，增长57.45%，主要原因是：本年增加芦草沟镇新疆霍城县果子沟阿力麻里项目主游客服务中心建设项目，芦草沟镇新疆霍城县果子沟阿力麻里项目主游客服务中心建设项目，芦草沟镇幼儿园托班提升改造项目，芦草沟镇产业园薰衣草村落改造提升项目，霍城县国家</w:t>
      </w:r>
      <w:r>
        <w:rPr>
          <w:rFonts w:hint="eastAsia" w:ascii="仿宋_GB2312" w:hAnsi="仿宋_GB2312" w:eastAsia="仿宋_GB2312"/>
          <w:b w:val="0"/>
          <w:sz w:val="32"/>
          <w:lang w:eastAsia="zh-CN"/>
        </w:rPr>
        <w:t>现代农业产业园</w:t>
      </w:r>
      <w:r>
        <w:rPr>
          <w:rFonts w:ascii="仿宋_GB2312" w:hAnsi="仿宋_GB2312" w:eastAsia="仿宋_GB2312"/>
          <w:b w:val="0"/>
          <w:sz w:val="32"/>
        </w:rPr>
        <w:t>标识牌制作服务项目，芦草沟镇群众活动中心建设项目耕地开垦费项目，霍城县芦草沟镇牧民越冬放牧点生产用房（居住）建设项目，霍城县芦草沟镇2023年乡镇干部周转宿舍建设项目，征地和拆迁补偿款。</w:t>
      </w:r>
    </w:p>
    <w:p w14:paraId="30B68B99">
      <w:pPr>
        <w:spacing w:line="640" w:lineRule="exact"/>
        <w:ind w:firstLine="640"/>
        <w:jc w:val="both"/>
        <w:outlineLvl w:val="2"/>
      </w:pPr>
      <w:r>
        <w:rPr>
          <w:rFonts w:ascii="黑体" w:hAnsi="黑体" w:eastAsia="黑体"/>
          <w:sz w:val="32"/>
        </w:rPr>
        <w:t>二、收入决算情况说明</w:t>
      </w:r>
    </w:p>
    <w:p w14:paraId="00D4D08E">
      <w:pPr>
        <w:spacing w:line="580" w:lineRule="exact"/>
        <w:ind w:firstLine="640"/>
        <w:jc w:val="both"/>
      </w:pPr>
      <w:r>
        <w:rPr>
          <w:rFonts w:ascii="仿宋_GB2312" w:hAnsi="仿宋_GB2312" w:eastAsia="仿宋_GB2312"/>
          <w:b/>
          <w:sz w:val="32"/>
        </w:rPr>
        <w:t>本年收入6,354.14万元，</w:t>
      </w:r>
      <w:r>
        <w:rPr>
          <w:rFonts w:ascii="仿宋_GB2312" w:hAnsi="仿宋_GB2312" w:eastAsia="仿宋_GB2312"/>
          <w:b w:val="0"/>
          <w:sz w:val="32"/>
        </w:rPr>
        <w:t>其中：财政拨款收入6,325.16万元，占99.54%；上级补助收入0.00万元，占0.00%；事业收入0.00万元，占0.00%；经营收入0.00万元，占0.00%；附属单位上缴收入0.00万元，占0.00%；其他收入28.98万元，占0.46%。</w:t>
      </w:r>
    </w:p>
    <w:p w14:paraId="7C35E472">
      <w:pPr>
        <w:spacing w:line="640" w:lineRule="exact"/>
        <w:ind w:firstLine="640"/>
        <w:jc w:val="both"/>
        <w:outlineLvl w:val="2"/>
      </w:pPr>
      <w:r>
        <w:rPr>
          <w:rFonts w:ascii="黑体" w:hAnsi="黑体" w:eastAsia="黑体"/>
          <w:sz w:val="32"/>
        </w:rPr>
        <w:t>三、支出决算情况说明</w:t>
      </w:r>
    </w:p>
    <w:p w14:paraId="6D3E370D">
      <w:pPr>
        <w:spacing w:line="580" w:lineRule="exact"/>
        <w:ind w:firstLine="640"/>
        <w:jc w:val="both"/>
      </w:pPr>
      <w:r>
        <w:rPr>
          <w:rFonts w:ascii="仿宋_GB2312" w:hAnsi="仿宋_GB2312" w:eastAsia="仿宋_GB2312"/>
          <w:b/>
          <w:sz w:val="32"/>
        </w:rPr>
        <w:t>本年支出6,354.14万元，</w:t>
      </w:r>
      <w:r>
        <w:rPr>
          <w:rFonts w:ascii="仿宋_GB2312" w:hAnsi="仿宋_GB2312" w:eastAsia="仿宋_GB2312"/>
          <w:b w:val="0"/>
          <w:sz w:val="32"/>
        </w:rPr>
        <w:t>其中：基本支出3,609.55万元，占56.81%；项目支出2,744.59万元，占43.19%；上缴上级支出0.00万元，占0.00%；经营支出0.00万元，占0.00%；对附属单位补助支出0.00万元，占0.00%。</w:t>
      </w:r>
    </w:p>
    <w:p w14:paraId="4A6C847E">
      <w:pPr>
        <w:spacing w:line="640" w:lineRule="exact"/>
        <w:ind w:firstLine="640"/>
        <w:jc w:val="both"/>
        <w:outlineLvl w:val="2"/>
      </w:pPr>
      <w:r>
        <w:rPr>
          <w:rFonts w:ascii="黑体" w:hAnsi="黑体" w:eastAsia="黑体"/>
          <w:sz w:val="32"/>
        </w:rPr>
        <w:t>四、财政拨款收入支出决算总体情况说明</w:t>
      </w:r>
    </w:p>
    <w:p w14:paraId="76B44773">
      <w:pPr>
        <w:spacing w:line="580" w:lineRule="exact"/>
        <w:ind w:firstLine="640"/>
        <w:jc w:val="both"/>
      </w:pPr>
      <w:r>
        <w:rPr>
          <w:rFonts w:ascii="仿宋_GB2312" w:hAnsi="仿宋_GB2312" w:eastAsia="仿宋_GB2312"/>
          <w:b/>
          <w:sz w:val="32"/>
        </w:rPr>
        <w:t>2024年度财政拨款收入总计6,325.16万元，</w:t>
      </w:r>
      <w:r>
        <w:rPr>
          <w:rFonts w:ascii="仿宋_GB2312" w:hAnsi="仿宋_GB2312" w:eastAsia="仿宋_GB2312"/>
          <w:b w:val="0"/>
          <w:sz w:val="32"/>
        </w:rPr>
        <w:t>其中：年初财政拨款结转和结余0.00万元，本年财政拨款收入6,325.16万元。</w:t>
      </w:r>
      <w:r>
        <w:rPr>
          <w:rFonts w:ascii="仿宋_GB2312" w:hAnsi="仿宋_GB2312" w:eastAsia="仿宋_GB2312"/>
          <w:b/>
          <w:sz w:val="32"/>
        </w:rPr>
        <w:t>财政拨款支出总计6,325.16万元，</w:t>
      </w:r>
      <w:r>
        <w:rPr>
          <w:rFonts w:ascii="仿宋_GB2312" w:hAnsi="仿宋_GB2312" w:eastAsia="仿宋_GB2312"/>
          <w:b w:val="0"/>
          <w:sz w:val="32"/>
        </w:rPr>
        <w:t>其中：年末财政拨款结转和结余0.00万元，本年财政拨款支出6,325.16万元。</w:t>
      </w:r>
    </w:p>
    <w:p w14:paraId="04C130D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2,289.55万元，增长56.73%，主要原因是：本年增加芦草沟镇新疆霍城县果子沟阿力麻里项目主游客服务中心建设项目，芦草沟镇新疆霍城县果子沟阿力麻里项目主游客服务中心建设项目，芦草沟镇幼儿园托班提升改造项目，芦草沟镇产业园薰衣草村落改造提升项目，霍城县国家</w:t>
      </w:r>
      <w:r>
        <w:rPr>
          <w:rFonts w:hint="eastAsia" w:ascii="仿宋_GB2312" w:hAnsi="仿宋_GB2312" w:eastAsia="仿宋_GB2312"/>
          <w:b w:val="0"/>
          <w:sz w:val="32"/>
          <w:lang w:eastAsia="zh-CN"/>
        </w:rPr>
        <w:t>现代农业产业园</w:t>
      </w:r>
      <w:r>
        <w:rPr>
          <w:rFonts w:ascii="仿宋_GB2312" w:hAnsi="仿宋_GB2312" w:eastAsia="仿宋_GB2312"/>
          <w:b w:val="0"/>
          <w:sz w:val="32"/>
        </w:rPr>
        <w:t>标识牌制作服务项目，芦草沟镇群众活动中心建设项目耕地开垦费项目，霍城县芦草沟镇牧民越冬放牧点生产用房（居住）建设项目，霍城县芦草沟镇2023年乡镇干部周转宿舍建设项目，征地和拆迁补偿款。</w:t>
      </w:r>
      <w:r>
        <w:rPr>
          <w:rFonts w:ascii="仿宋_GB2312" w:hAnsi="仿宋_GB2312" w:eastAsia="仿宋_GB2312"/>
          <w:b/>
          <w:sz w:val="32"/>
        </w:rPr>
        <w:t>与年初预算相比，</w:t>
      </w:r>
      <w:r>
        <w:rPr>
          <w:rFonts w:ascii="仿宋_GB2312" w:hAnsi="仿宋_GB2312" w:eastAsia="仿宋_GB2312"/>
          <w:b w:val="0"/>
          <w:sz w:val="32"/>
        </w:rPr>
        <w:t>年初预算数2,310.09万元，决算数6,325.16万元，预决算差异率173.81%，主要原因是：年中追加芦草沟镇新疆霍城县果子沟阿力麻里项目主游客服务中心建设项目，芦草沟镇新疆霍城县果子沟阿力麻里项目主游客服务中心建设项目，芦草沟镇幼儿园托班提升改造项目，芦草沟镇产业园薰衣草村落改造提升项目，霍城县国家</w:t>
      </w:r>
      <w:r>
        <w:rPr>
          <w:rFonts w:hint="eastAsia" w:ascii="仿宋_GB2312" w:hAnsi="仿宋_GB2312" w:eastAsia="仿宋_GB2312"/>
          <w:b w:val="0"/>
          <w:sz w:val="32"/>
          <w:lang w:eastAsia="zh-CN"/>
        </w:rPr>
        <w:t>现代农业产业园</w:t>
      </w:r>
      <w:r>
        <w:rPr>
          <w:rFonts w:ascii="仿宋_GB2312" w:hAnsi="仿宋_GB2312" w:eastAsia="仿宋_GB2312"/>
          <w:b w:val="0"/>
          <w:sz w:val="32"/>
        </w:rPr>
        <w:t>标识牌制作服务项目，芦草沟镇群众活动中心建设项目耕地开垦费项目，霍城县芦草沟镇牧民越冬放牧点生产用房（居住）建设项目，霍城县芦草沟镇2023年乡镇干部周转宿舍建设项目，征地和拆迁补偿支出，导致预决算存在差异。</w:t>
      </w:r>
    </w:p>
    <w:p w14:paraId="78BBF650">
      <w:pPr>
        <w:spacing w:line="640" w:lineRule="exact"/>
        <w:ind w:firstLine="640"/>
        <w:jc w:val="both"/>
        <w:outlineLvl w:val="2"/>
      </w:pPr>
      <w:r>
        <w:rPr>
          <w:rFonts w:ascii="黑体" w:hAnsi="黑体" w:eastAsia="黑体"/>
          <w:sz w:val="32"/>
        </w:rPr>
        <w:t>五、一般公共预算财政拨款支出决算情况说明</w:t>
      </w:r>
    </w:p>
    <w:p w14:paraId="16C68C98">
      <w:pPr>
        <w:spacing w:line="640" w:lineRule="exact"/>
        <w:ind w:firstLine="640"/>
        <w:jc w:val="both"/>
        <w:outlineLvl w:val="3"/>
      </w:pPr>
      <w:r>
        <w:rPr>
          <w:rFonts w:ascii="楷体_GB2312" w:hAnsi="楷体_GB2312" w:eastAsia="楷体_GB2312"/>
          <w:b/>
          <w:sz w:val="32"/>
        </w:rPr>
        <w:t>（一）一般公共预算财政拨款支出决算总体情况</w:t>
      </w:r>
    </w:p>
    <w:p w14:paraId="6B2151B6">
      <w:pPr>
        <w:spacing w:line="580" w:lineRule="exact"/>
        <w:ind w:firstLine="640"/>
        <w:jc w:val="both"/>
      </w:pPr>
      <w:r>
        <w:rPr>
          <w:rFonts w:ascii="仿宋_GB2312" w:hAnsi="仿宋_GB2312" w:eastAsia="仿宋_GB2312"/>
          <w:b/>
          <w:sz w:val="32"/>
        </w:rPr>
        <w:t>2024年度一般公共预算财政拨款支出5,732.75万元，</w:t>
      </w:r>
      <w:r>
        <w:rPr>
          <w:rFonts w:ascii="仿宋_GB2312" w:hAnsi="仿宋_GB2312" w:eastAsia="仿宋_GB2312"/>
          <w:b w:val="0"/>
          <w:sz w:val="32"/>
        </w:rPr>
        <w:t>占本年支出合计的90.22%。</w:t>
      </w:r>
      <w:r>
        <w:rPr>
          <w:rFonts w:ascii="仿宋_GB2312" w:hAnsi="仿宋_GB2312" w:eastAsia="仿宋_GB2312"/>
          <w:b/>
          <w:sz w:val="32"/>
        </w:rPr>
        <w:t>与上年相比，</w:t>
      </w:r>
      <w:r>
        <w:rPr>
          <w:rFonts w:ascii="仿宋_GB2312" w:hAnsi="仿宋_GB2312" w:eastAsia="仿宋_GB2312"/>
          <w:b w:val="0"/>
          <w:sz w:val="32"/>
        </w:rPr>
        <w:t>增加1,736.57万元，增长43.46%，主要原因是：本年增加芦草沟镇新疆霍城县果子沟阿力麻里项目主游客服务中心建设项目，芦草沟镇新疆霍城县果子沟阿力麻里项目主游客服务中心建设项目，芦草沟镇幼儿园托班提升改造项目，芦草沟镇产业园薰衣草村落改造提升项目，霍城县国家</w:t>
      </w:r>
      <w:r>
        <w:rPr>
          <w:rFonts w:hint="eastAsia" w:ascii="仿宋_GB2312" w:hAnsi="仿宋_GB2312" w:eastAsia="仿宋_GB2312"/>
          <w:b w:val="0"/>
          <w:sz w:val="32"/>
          <w:lang w:eastAsia="zh-CN"/>
        </w:rPr>
        <w:t>现代农业产业园</w:t>
      </w:r>
      <w:r>
        <w:rPr>
          <w:rFonts w:ascii="仿宋_GB2312" w:hAnsi="仿宋_GB2312" w:eastAsia="仿宋_GB2312"/>
          <w:b w:val="0"/>
          <w:sz w:val="32"/>
        </w:rPr>
        <w:t>标识牌制作服务项目。</w:t>
      </w:r>
      <w:r>
        <w:rPr>
          <w:rFonts w:ascii="仿宋_GB2312" w:hAnsi="仿宋_GB2312" w:eastAsia="仿宋_GB2312"/>
          <w:b/>
          <w:sz w:val="32"/>
        </w:rPr>
        <w:t>与年初预算相比,</w:t>
      </w:r>
      <w:r>
        <w:rPr>
          <w:rFonts w:ascii="仿宋_GB2312" w:hAnsi="仿宋_GB2312" w:eastAsia="仿宋_GB2312"/>
          <w:b w:val="0"/>
          <w:sz w:val="32"/>
        </w:rPr>
        <w:t>年初预算数2,310.09万元，决算数5,732.75万元，预决算差异率148.16%，主要原因是：年中追加芦草沟镇新疆霍城县果子沟阿力麻里项目主游客服务中心建设项目，芦草沟镇新疆霍城县果子沟阿力麻里项目主游客服务中心建设项目，芦草沟镇幼儿园托班提升改造项目，芦草沟镇产业园薰衣草村落改造提升项目，霍城县国家</w:t>
      </w:r>
      <w:r>
        <w:rPr>
          <w:rFonts w:hint="eastAsia" w:ascii="仿宋_GB2312" w:hAnsi="仿宋_GB2312" w:eastAsia="仿宋_GB2312"/>
          <w:b w:val="0"/>
          <w:sz w:val="32"/>
          <w:lang w:eastAsia="zh-CN"/>
        </w:rPr>
        <w:t>现代农业产业园</w:t>
      </w:r>
      <w:r>
        <w:rPr>
          <w:rFonts w:ascii="仿宋_GB2312" w:hAnsi="仿宋_GB2312" w:eastAsia="仿宋_GB2312"/>
          <w:b w:val="0"/>
          <w:sz w:val="32"/>
        </w:rPr>
        <w:t>标识牌制作服务项目，芦草沟镇群众活动中心建设项目耕地开垦费项目，霍城县芦草沟镇牧民越冬放牧点生产用房（居住）建设项目，霍城县芦草沟镇2023年乡镇干部周转宿舍建设项目，导致预决算存在差异。</w:t>
      </w:r>
    </w:p>
    <w:p w14:paraId="5133BAF1">
      <w:pPr>
        <w:spacing w:line="640" w:lineRule="exact"/>
        <w:ind w:firstLine="640"/>
        <w:jc w:val="both"/>
        <w:outlineLvl w:val="3"/>
      </w:pPr>
      <w:r>
        <w:rPr>
          <w:rFonts w:ascii="楷体_GB2312" w:hAnsi="楷体_GB2312" w:eastAsia="楷体_GB2312"/>
          <w:b/>
          <w:sz w:val="32"/>
        </w:rPr>
        <w:t>（二）一般公共预算财政拨款支出决算结构情况</w:t>
      </w:r>
    </w:p>
    <w:p w14:paraId="51BEA191">
      <w:pPr>
        <w:spacing w:line="580" w:lineRule="exact"/>
        <w:ind w:firstLine="640"/>
        <w:jc w:val="both"/>
      </w:pPr>
      <w:r>
        <w:rPr>
          <w:rFonts w:ascii="仿宋_GB2312" w:hAnsi="仿宋_GB2312" w:eastAsia="仿宋_GB2312"/>
          <w:b w:val="0"/>
          <w:sz w:val="32"/>
        </w:rPr>
        <w:t>1.一般公共服务支出(类)659.11万元,占11.50%。</w:t>
      </w:r>
    </w:p>
    <w:p w14:paraId="5EA9D9D5">
      <w:pPr>
        <w:spacing w:line="580" w:lineRule="exact"/>
        <w:ind w:firstLine="640"/>
        <w:jc w:val="both"/>
      </w:pPr>
      <w:r>
        <w:rPr>
          <w:rFonts w:ascii="仿宋_GB2312" w:hAnsi="仿宋_GB2312" w:eastAsia="仿宋_GB2312"/>
          <w:b w:val="0"/>
          <w:sz w:val="32"/>
        </w:rPr>
        <w:t>2.文化旅游体育与传媒支出(类)259.19万元,占4.52%。</w:t>
      </w:r>
    </w:p>
    <w:p w14:paraId="5CFDB984">
      <w:pPr>
        <w:spacing w:line="580" w:lineRule="exact"/>
        <w:ind w:firstLine="640"/>
        <w:jc w:val="both"/>
      </w:pPr>
      <w:r>
        <w:rPr>
          <w:rFonts w:ascii="仿宋_GB2312" w:hAnsi="仿宋_GB2312" w:eastAsia="仿宋_GB2312"/>
          <w:b w:val="0"/>
          <w:sz w:val="32"/>
        </w:rPr>
        <w:t>3.社会保障和就业支出(类)276.97万元,占4.83%。</w:t>
      </w:r>
    </w:p>
    <w:p w14:paraId="18A8B450">
      <w:pPr>
        <w:spacing w:line="580" w:lineRule="exact"/>
        <w:ind w:firstLine="640"/>
        <w:jc w:val="both"/>
      </w:pPr>
      <w:r>
        <w:rPr>
          <w:rFonts w:ascii="仿宋_GB2312" w:hAnsi="仿宋_GB2312" w:eastAsia="仿宋_GB2312"/>
          <w:b w:val="0"/>
          <w:sz w:val="32"/>
        </w:rPr>
        <w:t>4.卫生健康支出(类)135.49万元,占2.36%。</w:t>
      </w:r>
    </w:p>
    <w:p w14:paraId="4E361130">
      <w:pPr>
        <w:spacing w:line="580" w:lineRule="exact"/>
        <w:ind w:firstLine="640"/>
        <w:jc w:val="both"/>
      </w:pPr>
      <w:r>
        <w:rPr>
          <w:rFonts w:ascii="仿宋_GB2312" w:hAnsi="仿宋_GB2312" w:eastAsia="仿宋_GB2312"/>
          <w:b w:val="0"/>
          <w:sz w:val="32"/>
        </w:rPr>
        <w:t>5.农林水支出(类)3,539.29万元,占61.74%。</w:t>
      </w:r>
    </w:p>
    <w:p w14:paraId="01CF0489">
      <w:pPr>
        <w:spacing w:line="580" w:lineRule="exact"/>
        <w:ind w:firstLine="640"/>
        <w:jc w:val="both"/>
      </w:pPr>
      <w:r>
        <w:rPr>
          <w:rFonts w:ascii="仿宋_GB2312" w:hAnsi="仿宋_GB2312" w:eastAsia="仿宋_GB2312"/>
          <w:b w:val="0"/>
          <w:sz w:val="32"/>
        </w:rPr>
        <w:t>6.住房保障支出(类)862.70万元,占15.05%。</w:t>
      </w:r>
    </w:p>
    <w:p w14:paraId="3CEA4C93">
      <w:pPr>
        <w:spacing w:line="640" w:lineRule="exact"/>
        <w:ind w:firstLine="640"/>
        <w:jc w:val="both"/>
        <w:outlineLvl w:val="3"/>
      </w:pPr>
      <w:r>
        <w:rPr>
          <w:rFonts w:ascii="楷体_GB2312" w:hAnsi="楷体_GB2312" w:eastAsia="楷体_GB2312"/>
          <w:b/>
          <w:sz w:val="32"/>
        </w:rPr>
        <w:t>（三）一般公共预算财政拨款支出决算具体情况</w:t>
      </w:r>
    </w:p>
    <w:p w14:paraId="32501CAD">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576.97万元，比上年决算减少31.52万元，下降5.18%,主要原因是：本年在职人员调入调出，人员职级不同，工资基数不同，导致人员经费较上年减少。</w:t>
      </w:r>
    </w:p>
    <w:p w14:paraId="7DC3F9CC">
      <w:pPr>
        <w:spacing w:line="580" w:lineRule="exact"/>
        <w:ind w:firstLine="640"/>
        <w:jc w:val="both"/>
      </w:pPr>
      <w:r>
        <w:rPr>
          <w:rFonts w:ascii="仿宋_GB2312" w:hAnsi="仿宋_GB2312" w:eastAsia="仿宋_GB2312"/>
          <w:b w:val="0"/>
          <w:sz w:val="32"/>
        </w:rPr>
        <w:t>2.一般公共服务支出(类)政府办公厅（室）及相关机构事务(款)事业运行(项):支出决算数为1.00万元，比上年决算增加1.00万元，增长100.00%,主要原因是：本年新增加履职清单经费。</w:t>
      </w:r>
    </w:p>
    <w:p w14:paraId="0C21907E">
      <w:pPr>
        <w:spacing w:line="580" w:lineRule="exact"/>
        <w:ind w:firstLine="640"/>
        <w:jc w:val="both"/>
      </w:pPr>
      <w:r>
        <w:rPr>
          <w:rFonts w:ascii="仿宋_GB2312" w:hAnsi="仿宋_GB2312" w:eastAsia="仿宋_GB2312"/>
          <w:b w:val="0"/>
          <w:sz w:val="32"/>
        </w:rPr>
        <w:t>3.一般公共服务支出(类)纪检监察事务(款)其他纪检监察事务支出(项):支出决算数为2.00万元，比上年决算增加0.50万元，增长33.33%,主要原因是：本年</w:t>
      </w:r>
      <w:r>
        <w:rPr>
          <w:rFonts w:hint="eastAsia" w:ascii="仿宋_GB2312" w:hAnsi="仿宋_GB2312" w:eastAsia="仿宋_GB2312"/>
          <w:b w:val="0"/>
          <w:sz w:val="32"/>
          <w:lang w:val="en-US" w:eastAsia="zh-CN"/>
        </w:rPr>
        <w:t>增加</w:t>
      </w:r>
      <w:r>
        <w:rPr>
          <w:rFonts w:ascii="仿宋_GB2312" w:hAnsi="仿宋_GB2312" w:eastAsia="仿宋_GB2312"/>
          <w:b w:val="0"/>
          <w:sz w:val="32"/>
        </w:rPr>
        <w:t>纪检专项办公费、设备费。</w:t>
      </w:r>
    </w:p>
    <w:p w14:paraId="1640417E">
      <w:pPr>
        <w:spacing w:line="580" w:lineRule="exact"/>
        <w:ind w:firstLine="640"/>
        <w:jc w:val="both"/>
      </w:pPr>
      <w:r>
        <w:rPr>
          <w:rFonts w:ascii="仿宋_GB2312" w:hAnsi="仿宋_GB2312" w:eastAsia="仿宋_GB2312"/>
          <w:b w:val="0"/>
          <w:sz w:val="32"/>
        </w:rPr>
        <w:t>4.一般公共服务支出(类)组织事务(款)其他组织事务支出(项):支出决算数为77.14万元，比上年决算减少1,250.19万元，下降94.19%,主要原因是：本年未安排“三老”人员，离职村干部工资。</w:t>
      </w:r>
    </w:p>
    <w:p w14:paraId="1F8F5F98">
      <w:pPr>
        <w:spacing w:line="580" w:lineRule="exact"/>
        <w:ind w:firstLine="640"/>
        <w:jc w:val="both"/>
      </w:pPr>
      <w:r>
        <w:rPr>
          <w:rFonts w:ascii="仿宋_GB2312" w:hAnsi="仿宋_GB2312" w:eastAsia="仿宋_GB2312"/>
          <w:b w:val="0"/>
          <w:sz w:val="32"/>
        </w:rPr>
        <w:t>5.一般公共服务支出(类)统战事务(款)宗教事务(项):支出决算数为2.00万元，比上年决算增加1.30万元，增长185.71%,主要原因是：本年增加驻村管寺工作队工作经费。</w:t>
      </w:r>
    </w:p>
    <w:p w14:paraId="3C5638F1">
      <w:pPr>
        <w:spacing w:line="580" w:lineRule="exact"/>
        <w:ind w:firstLine="640"/>
        <w:jc w:val="both"/>
      </w:pPr>
      <w:r>
        <w:rPr>
          <w:rFonts w:ascii="仿宋_GB2312" w:hAnsi="仿宋_GB2312" w:eastAsia="仿宋_GB2312"/>
          <w:b w:val="0"/>
          <w:sz w:val="32"/>
        </w:rPr>
        <w:t>6.文化旅游体育与传媒支出(类)文化和旅游(款)其他文化和旅游支出(项):支出决算数为95.19万元，比上年决算增加92.04万元，增长2,921.90%,主要原因是：本年新增芦草沟镇新疆霍城县果子沟阿力麻里项目</w:t>
      </w:r>
      <w:r>
        <w:rPr>
          <w:rFonts w:hint="eastAsia" w:ascii="仿宋_GB2312" w:hAnsi="仿宋_GB2312" w:eastAsia="仿宋_GB2312"/>
          <w:b w:val="0"/>
          <w:sz w:val="32"/>
          <w:lang w:eastAsia="zh-CN"/>
        </w:rPr>
        <w:t>、</w:t>
      </w:r>
      <w:r>
        <w:rPr>
          <w:rFonts w:ascii="仿宋_GB2312" w:hAnsi="仿宋_GB2312" w:eastAsia="仿宋_GB2312"/>
          <w:b w:val="0"/>
          <w:sz w:val="32"/>
        </w:rPr>
        <w:t>游客服务中心建设项目。</w:t>
      </w:r>
    </w:p>
    <w:p w14:paraId="16B8B65C">
      <w:pPr>
        <w:spacing w:line="580" w:lineRule="exact"/>
        <w:ind w:firstLine="640"/>
        <w:jc w:val="both"/>
      </w:pPr>
      <w:r>
        <w:rPr>
          <w:rFonts w:ascii="仿宋_GB2312" w:hAnsi="仿宋_GB2312" w:eastAsia="仿宋_GB2312"/>
          <w:b w:val="0"/>
          <w:sz w:val="32"/>
        </w:rPr>
        <w:t>7.文化旅游体育与传媒支出(类)其他文化旅游体育与传媒支出(款)其他文化旅游体育与传媒支出(项):支出决算数为164.00万元，比上年决算增加156.78万元，增长2,171.47%,主要原因是：本年新增加芦草沟镇新疆霍城县果子沟阿力麻里项目</w:t>
      </w:r>
      <w:r>
        <w:rPr>
          <w:rFonts w:hint="eastAsia" w:ascii="仿宋_GB2312" w:hAnsi="仿宋_GB2312" w:eastAsia="仿宋_GB2312"/>
          <w:b w:val="0"/>
          <w:sz w:val="32"/>
          <w:lang w:eastAsia="zh-CN"/>
        </w:rPr>
        <w:t>、</w:t>
      </w:r>
      <w:r>
        <w:rPr>
          <w:rFonts w:ascii="仿宋_GB2312" w:hAnsi="仿宋_GB2312" w:eastAsia="仿宋_GB2312"/>
          <w:b w:val="0"/>
          <w:sz w:val="32"/>
        </w:rPr>
        <w:t>游客服务中心建设项目。</w:t>
      </w:r>
    </w:p>
    <w:p w14:paraId="73F09F33">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8.社会保障和就业支出(类)行政事业单位养老支出(款)行政单位离退休(项):支出决算数为14.75万元，比上年决算增加11.41万元，增长341.62%,主要原因是：本年增加退休人员基础绩效奖，退休费支出增加。</w:t>
      </w:r>
    </w:p>
    <w:p w14:paraId="5FBED88E">
      <w:pPr>
        <w:spacing w:line="580" w:lineRule="exact"/>
        <w:ind w:firstLine="640"/>
        <w:jc w:val="both"/>
      </w:pPr>
      <w:r>
        <w:rPr>
          <w:rFonts w:ascii="仿宋_GB2312" w:hAnsi="仿宋_GB2312" w:eastAsia="仿宋_GB2312"/>
          <w:b w:val="0"/>
          <w:sz w:val="32"/>
        </w:rPr>
        <w:t>9.社会保障和就业支出(类)行政事业单位养老支出(款)事业单位离退休(项):支出决算数为24.64万元，比上年决算增加16.51万元，增长203.08%,主要原因是：本年增加退休人员基础绩效奖，退休费支出增加。</w:t>
      </w:r>
    </w:p>
    <w:p w14:paraId="4FA13932">
      <w:pPr>
        <w:spacing w:line="580" w:lineRule="exact"/>
        <w:ind w:firstLine="640"/>
        <w:jc w:val="both"/>
      </w:pPr>
      <w:r>
        <w:rPr>
          <w:rFonts w:ascii="仿宋_GB2312" w:hAnsi="仿宋_GB2312" w:eastAsia="仿宋_GB2312"/>
          <w:b w:val="0"/>
          <w:sz w:val="32"/>
        </w:rPr>
        <w:t>10.社会保障和就业支出(类)行政事业单位养老支出(款)机关事业单位基本养老保险缴费支出(项):支出决算数为209.74万元，比上年决算增加21.35万元，增长11.33%,主要原因是：本年在职人员工资基数调增，养老缴费基数上涨，相应支出增加。</w:t>
      </w:r>
    </w:p>
    <w:p w14:paraId="650A49DF">
      <w:pPr>
        <w:spacing w:line="580" w:lineRule="exact"/>
        <w:ind w:firstLine="640"/>
        <w:jc w:val="both"/>
      </w:pPr>
      <w:r>
        <w:rPr>
          <w:rFonts w:ascii="仿宋_GB2312" w:hAnsi="仿宋_GB2312" w:eastAsia="仿宋_GB2312"/>
          <w:b w:val="0"/>
          <w:sz w:val="32"/>
        </w:rPr>
        <w:t>11.社会保障和就业支出(类)行政事业单位养老支出(款)机关事业单位职业年金缴费支出(项):支出决算数为6.52万元，比上年决算减少19.18万元，下降74.63%,主要原因是：本年调出人员较上年减少，机关事业单位职业年金缴费支出减少。</w:t>
      </w:r>
    </w:p>
    <w:p w14:paraId="502BD358">
      <w:pPr>
        <w:spacing w:line="580" w:lineRule="exact"/>
        <w:ind w:firstLine="640"/>
        <w:jc w:val="both"/>
      </w:pPr>
      <w:r>
        <w:rPr>
          <w:rFonts w:ascii="仿宋_GB2312" w:hAnsi="仿宋_GB2312" w:eastAsia="仿宋_GB2312"/>
          <w:b w:val="0"/>
          <w:sz w:val="32"/>
        </w:rPr>
        <w:t>12.社会保障和就业支出(类)就业补助(款)其他就业补助支出(项):支出决算数为0.18万元，比上年决算减少11.65万元，下降98.48%,主要原因是：本年</w:t>
      </w:r>
      <w:r>
        <w:rPr>
          <w:rFonts w:hint="eastAsia" w:ascii="仿宋_GB2312" w:hAnsi="仿宋_GB2312" w:eastAsia="仿宋_GB2312"/>
          <w:b w:val="0"/>
          <w:sz w:val="32"/>
          <w:lang w:val="en-US" w:eastAsia="zh-CN"/>
        </w:rPr>
        <w:t>未</w:t>
      </w:r>
      <w:r>
        <w:rPr>
          <w:rFonts w:ascii="仿宋_GB2312" w:hAnsi="仿宋_GB2312" w:eastAsia="仿宋_GB2312"/>
          <w:b w:val="0"/>
          <w:sz w:val="32"/>
        </w:rPr>
        <w:t>安排生活补助。</w:t>
      </w:r>
    </w:p>
    <w:p w14:paraId="577867D8">
      <w:pPr>
        <w:spacing w:line="580" w:lineRule="exact"/>
        <w:ind w:firstLine="640"/>
        <w:jc w:val="both"/>
      </w:pPr>
      <w:r>
        <w:rPr>
          <w:rFonts w:ascii="仿宋_GB2312" w:hAnsi="仿宋_GB2312" w:eastAsia="仿宋_GB2312"/>
          <w:b w:val="0"/>
          <w:sz w:val="32"/>
        </w:rPr>
        <w:t>13.社会保障和就业支出(类)抚恤(款)死亡抚恤(项):支出决算数为7.14万元，比上年决算减少2.42万元，下降25.31%,主要原因是：本年新增死亡事业退休人员1人，较上年新增死亡抚恤人员减少。</w:t>
      </w:r>
    </w:p>
    <w:p w14:paraId="7811FA5C">
      <w:pPr>
        <w:spacing w:line="580" w:lineRule="exact"/>
        <w:ind w:firstLine="640"/>
        <w:jc w:val="both"/>
      </w:pPr>
      <w:r>
        <w:rPr>
          <w:rFonts w:ascii="仿宋_GB2312" w:hAnsi="仿宋_GB2312" w:eastAsia="仿宋_GB2312"/>
          <w:b w:val="0"/>
          <w:sz w:val="32"/>
        </w:rPr>
        <w:t>14.社会保障和就业支出(类)临时救助(款)临时救助支出(项):支出决算数为14.00万元，比上年决算减少53.56万元，下降79.28%,主要原因是：本年民政困难群众减少，临时救助支出减少。</w:t>
      </w:r>
    </w:p>
    <w:p w14:paraId="545C349A">
      <w:pPr>
        <w:spacing w:line="580" w:lineRule="exact"/>
        <w:ind w:firstLine="640"/>
        <w:jc w:val="both"/>
      </w:pPr>
      <w:r>
        <w:rPr>
          <w:rFonts w:ascii="仿宋_GB2312" w:hAnsi="仿宋_GB2312" w:eastAsia="仿宋_GB2312"/>
          <w:b w:val="0"/>
          <w:sz w:val="32"/>
        </w:rPr>
        <w:t>15.卫生健康支出(类)卫生健康管理事务(款)其他卫生健康管理事务支出(项):支出决算数为30.00万元，比上年决算增加30.00万元，增长100.00%,主要原因是：本年增加芦草沟镇幼儿园托班提升改造项目。</w:t>
      </w:r>
    </w:p>
    <w:p w14:paraId="3E8E3DA6">
      <w:pPr>
        <w:spacing w:line="580" w:lineRule="exact"/>
        <w:ind w:firstLine="640"/>
        <w:jc w:val="both"/>
      </w:pPr>
      <w:r>
        <w:rPr>
          <w:rFonts w:ascii="仿宋_GB2312" w:hAnsi="仿宋_GB2312" w:eastAsia="仿宋_GB2312"/>
          <w:b w:val="0"/>
          <w:sz w:val="32"/>
        </w:rPr>
        <w:t>16.卫生健康支出(类)行政事业单位医疗(款)行政单位医疗(项):支出决算数为34.24万元，比上年决算减少6.69万元，下降16.34%,主要原因是：因退休人员医疗保险制度改革，退休人员基本医疗不再由单位缴纳，导致经费较上年减少。</w:t>
      </w:r>
    </w:p>
    <w:p w14:paraId="34162808">
      <w:pPr>
        <w:spacing w:line="580" w:lineRule="exact"/>
        <w:ind w:firstLine="640"/>
        <w:jc w:val="both"/>
      </w:pPr>
      <w:r>
        <w:rPr>
          <w:rFonts w:ascii="仿宋_GB2312" w:hAnsi="仿宋_GB2312" w:eastAsia="仿宋_GB2312"/>
          <w:b w:val="0"/>
          <w:sz w:val="32"/>
        </w:rPr>
        <w:t>17.卫生健康支出(类)行政事业单位医疗(款)事业单位医疗(项):支出决算数为70.60万元，比上年决算减少16.73万元，下降19.16%,主要原因是：因退休人员医疗保险制度改革，退休人员基本医疗不再由单位缴纳，导致经费较上年减少。</w:t>
      </w:r>
    </w:p>
    <w:p w14:paraId="357E85F1">
      <w:pPr>
        <w:spacing w:line="580" w:lineRule="exact"/>
        <w:ind w:firstLine="640"/>
        <w:jc w:val="both"/>
      </w:pPr>
      <w:r>
        <w:rPr>
          <w:rFonts w:ascii="仿宋_GB2312" w:hAnsi="仿宋_GB2312" w:eastAsia="仿宋_GB2312"/>
          <w:b w:val="0"/>
          <w:sz w:val="32"/>
        </w:rPr>
        <w:t>18.卫生健康支出(类)行政事业单位医疗(款)公务员医疗补助(项):支出决算数为0.66万元，比上年决算减少1.20万元，下降64.52%,主要原因是：本年在职人员调入调出，人员职级不同，缴费基数不同，导致公务员医疗补助较上年减少。</w:t>
      </w:r>
    </w:p>
    <w:p w14:paraId="3624DA4A">
      <w:pPr>
        <w:spacing w:line="580" w:lineRule="exact"/>
        <w:ind w:firstLine="640"/>
        <w:jc w:val="both"/>
      </w:pPr>
      <w:r>
        <w:rPr>
          <w:rFonts w:ascii="仿宋_GB2312" w:hAnsi="仿宋_GB2312" w:eastAsia="仿宋_GB2312"/>
          <w:b w:val="0"/>
          <w:sz w:val="32"/>
        </w:rPr>
        <w:t>19.城乡社区支出(类)城乡社区环境卫生(款)城乡社区环境卫生(项):支出决算数为0.00万元，比上年决算减少2.40万元，下降100.00%,主要原因是：本年未安排城乡社区环境卫生人员相关支出。</w:t>
      </w:r>
    </w:p>
    <w:p w14:paraId="3466E52F">
      <w:pPr>
        <w:spacing w:line="580" w:lineRule="exact"/>
        <w:ind w:firstLine="640"/>
        <w:jc w:val="both"/>
      </w:pPr>
      <w:r>
        <w:rPr>
          <w:rFonts w:ascii="仿宋_GB2312" w:hAnsi="仿宋_GB2312" w:eastAsia="仿宋_GB2312"/>
          <w:b w:val="0"/>
          <w:sz w:val="32"/>
        </w:rPr>
        <w:t>20.农林水支出(类)农业农村(款)事业运行(项):支出决算数为1,119.06万元，比上年决算减少32.38万元，下降2.81%,主要原因是：本年在职人员减少，相应人员经费较上年减少。</w:t>
      </w:r>
    </w:p>
    <w:p w14:paraId="5E6F234A">
      <w:pPr>
        <w:spacing w:line="580" w:lineRule="exact"/>
        <w:ind w:firstLine="640"/>
        <w:jc w:val="both"/>
      </w:pPr>
      <w:r>
        <w:rPr>
          <w:rFonts w:ascii="仿宋_GB2312" w:hAnsi="仿宋_GB2312" w:eastAsia="仿宋_GB2312"/>
          <w:b w:val="0"/>
          <w:sz w:val="32"/>
        </w:rPr>
        <w:t>21.农林水支出(类)农业农村(款)农业生产发展(项):支出决算数为1,113.49万元，比上年决算增加1,112.79万元，增长158,970.00%,主要原因是：本年增加芦草沟镇产业园薰衣草村落改造提升项目，霍城县国家</w:t>
      </w:r>
      <w:r>
        <w:rPr>
          <w:rFonts w:hint="eastAsia" w:ascii="仿宋_GB2312" w:hAnsi="仿宋_GB2312" w:eastAsia="仿宋_GB2312"/>
          <w:b w:val="0"/>
          <w:sz w:val="32"/>
          <w:lang w:eastAsia="zh-CN"/>
        </w:rPr>
        <w:t>现代农业产业园</w:t>
      </w:r>
      <w:r>
        <w:rPr>
          <w:rFonts w:ascii="仿宋_GB2312" w:hAnsi="仿宋_GB2312" w:eastAsia="仿宋_GB2312"/>
          <w:b w:val="0"/>
          <w:sz w:val="32"/>
        </w:rPr>
        <w:t>标识牌制作服务项目。</w:t>
      </w:r>
    </w:p>
    <w:p w14:paraId="119169A8">
      <w:pPr>
        <w:spacing w:line="580" w:lineRule="exact"/>
        <w:ind w:firstLine="640"/>
        <w:jc w:val="both"/>
      </w:pPr>
      <w:r>
        <w:rPr>
          <w:rFonts w:ascii="仿宋_GB2312" w:hAnsi="仿宋_GB2312" w:eastAsia="仿宋_GB2312"/>
          <w:b w:val="0"/>
          <w:sz w:val="32"/>
        </w:rPr>
        <w:t>22.农林水支出(类)农业农村(款)其他农业农村支出(项):支出决算数为470.53万元，比上年决算增加401.53万元，增长581.93%,主要原因是：本年村干部工资，为民办实事工作队补助</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p>
    <w:p w14:paraId="38A28A0F">
      <w:pPr>
        <w:spacing w:line="580" w:lineRule="exact"/>
        <w:ind w:firstLine="640"/>
        <w:jc w:val="both"/>
      </w:pPr>
      <w:r>
        <w:rPr>
          <w:rFonts w:ascii="仿宋_GB2312" w:hAnsi="仿宋_GB2312" w:eastAsia="仿宋_GB2312"/>
          <w:b w:val="0"/>
          <w:sz w:val="32"/>
        </w:rPr>
        <w:t>23.农林水支出(类)水利(款)农村水利(项):支出决算数为0.00万元，比上年决算减少10.00万元，下降100.00%,主要原因是：本年未安排霍城县芦草沟镇扽麦里村农田水利项目。</w:t>
      </w:r>
    </w:p>
    <w:p w14:paraId="776B37F9">
      <w:pPr>
        <w:spacing w:line="580" w:lineRule="exact"/>
        <w:ind w:firstLine="640"/>
        <w:jc w:val="both"/>
      </w:pPr>
      <w:r>
        <w:rPr>
          <w:rFonts w:ascii="仿宋_GB2312" w:hAnsi="仿宋_GB2312" w:eastAsia="仿宋_GB2312"/>
          <w:b w:val="0"/>
          <w:sz w:val="32"/>
        </w:rPr>
        <w:t>24.农林水支出(类)巩固脱贫攻坚成果衔接乡村振兴(款)农村基础设施建设(项):支出决算数为13.22万元，比上年决算增加13.22万元，增长100.00%,主要原因是：本年新增芦草沟镇群众活动中心建设项目耕地开垦费。</w:t>
      </w:r>
    </w:p>
    <w:p w14:paraId="0E999986">
      <w:pPr>
        <w:spacing w:line="580" w:lineRule="exact"/>
        <w:ind w:firstLine="640"/>
        <w:jc w:val="both"/>
      </w:pPr>
      <w:r>
        <w:rPr>
          <w:rFonts w:ascii="仿宋_GB2312" w:hAnsi="仿宋_GB2312" w:eastAsia="仿宋_GB2312"/>
          <w:b w:val="0"/>
          <w:sz w:val="32"/>
        </w:rPr>
        <w:t>25.农林水支出(类)农村综合改革(款)对村级公益事业建设的补助(项):支出决算数为50.00万元，比上年决算减少70.00万元，下降58.33%,主要原因是：本年减少芦草沟镇2024年中央农村综合改革转移支付项目，芦草沟镇2023年中央农村综合改革转移支付项目。</w:t>
      </w:r>
    </w:p>
    <w:p w14:paraId="06F62EAC">
      <w:pPr>
        <w:spacing w:line="580" w:lineRule="exact"/>
        <w:ind w:firstLine="640"/>
        <w:jc w:val="both"/>
      </w:pPr>
      <w:r>
        <w:rPr>
          <w:rFonts w:ascii="仿宋_GB2312" w:hAnsi="仿宋_GB2312" w:eastAsia="仿宋_GB2312"/>
          <w:b w:val="0"/>
          <w:sz w:val="32"/>
        </w:rPr>
        <w:t>26.农林水支出(类)其他农林水支出(款)其他农林水支出(项):支出决算数为773.00万元，比上年决算增加680.55万元，增长736.13%,主要原因是：本年为民办实事人员补助和经费</w:t>
      </w:r>
      <w:r>
        <w:rPr>
          <w:rFonts w:hint="eastAsia" w:ascii="仿宋_GB2312" w:hAnsi="仿宋_GB2312" w:eastAsia="仿宋_GB2312"/>
          <w:b w:val="0"/>
          <w:sz w:val="32"/>
          <w:lang w:val="en-US" w:eastAsia="zh-CN"/>
        </w:rPr>
        <w:t>增加</w:t>
      </w:r>
      <w:r>
        <w:rPr>
          <w:rFonts w:ascii="仿宋_GB2312" w:hAnsi="仿宋_GB2312" w:eastAsia="仿宋_GB2312"/>
          <w:b w:val="0"/>
          <w:sz w:val="32"/>
        </w:rPr>
        <w:t>，经费增加。</w:t>
      </w:r>
    </w:p>
    <w:p w14:paraId="68B0C9FE">
      <w:pPr>
        <w:spacing w:line="580" w:lineRule="exact"/>
        <w:ind w:firstLine="640"/>
        <w:jc w:val="both"/>
      </w:pPr>
      <w:r>
        <w:rPr>
          <w:rFonts w:ascii="仿宋_GB2312" w:hAnsi="仿宋_GB2312" w:eastAsia="仿宋_GB2312"/>
          <w:b w:val="0"/>
          <w:sz w:val="32"/>
        </w:rPr>
        <w:t>27.住房保障支出(类)保障性安居工程支出(款)少数民族地区游牧民定居工程(项):支出决算数为531.39万元，比上年决算增加531.39万元，增长100.00%,主要原因是：本年新增霍城县芦草沟镇牧民越冬放牧点生产用房（居住）建设项目。</w:t>
      </w:r>
    </w:p>
    <w:p w14:paraId="5D564FEC">
      <w:pPr>
        <w:spacing w:line="580" w:lineRule="exact"/>
        <w:ind w:firstLine="640"/>
        <w:jc w:val="both"/>
      </w:pPr>
      <w:r>
        <w:rPr>
          <w:rFonts w:ascii="仿宋_GB2312" w:hAnsi="仿宋_GB2312" w:eastAsia="仿宋_GB2312"/>
          <w:b w:val="0"/>
          <w:sz w:val="32"/>
        </w:rPr>
        <w:t>28.住房保障支出(类)住房改革支出(款)住房公积金(项):支出决算数为171.31万元，比上年决算增加14.13万元，增长8.99%,主要原因是：本年在职人员工资基数调增，公积金缴费基数上涨，相应支出增加。</w:t>
      </w:r>
    </w:p>
    <w:p w14:paraId="64B43F61">
      <w:pPr>
        <w:spacing w:line="580" w:lineRule="exact"/>
        <w:ind w:firstLine="640"/>
        <w:jc w:val="both"/>
      </w:pPr>
      <w:r>
        <w:rPr>
          <w:rFonts w:ascii="仿宋_GB2312" w:hAnsi="仿宋_GB2312" w:eastAsia="仿宋_GB2312"/>
          <w:b w:val="0"/>
          <w:sz w:val="32"/>
        </w:rPr>
        <w:t>29.住房保障支出(类)城乡社区住宅(款)公有住房建设和维修改造支出(项):支出决算数为160.00万元，比上年决算增加160.00万元，增长100.00%,主要原因是：本年新增霍城县芦草沟镇2023年乡镇干部周转宿舍建设项目。</w:t>
      </w:r>
    </w:p>
    <w:p w14:paraId="360FD16D">
      <w:pPr>
        <w:spacing w:line="640" w:lineRule="exact"/>
        <w:ind w:firstLine="640"/>
        <w:jc w:val="both"/>
        <w:outlineLvl w:val="2"/>
      </w:pPr>
      <w:r>
        <w:rPr>
          <w:rFonts w:ascii="黑体" w:hAnsi="黑体" w:eastAsia="黑体"/>
          <w:sz w:val="32"/>
        </w:rPr>
        <w:t>六、一般公共预算财政拨款基本支出决算情况说明</w:t>
      </w:r>
    </w:p>
    <w:p w14:paraId="10415362">
      <w:pPr>
        <w:spacing w:line="580" w:lineRule="exact"/>
        <w:ind w:firstLine="640"/>
        <w:jc w:val="both"/>
      </w:pPr>
      <w:r>
        <w:rPr>
          <w:rFonts w:ascii="仿宋_GB2312" w:hAnsi="仿宋_GB2312" w:eastAsia="仿宋_GB2312"/>
          <w:b w:val="0"/>
          <w:sz w:val="32"/>
        </w:rPr>
        <w:t>2024年度一般公共预算财政拨款基本支出3,580.57万元，其中：</w:t>
      </w:r>
      <w:r>
        <w:rPr>
          <w:rFonts w:ascii="仿宋_GB2312" w:hAnsi="仿宋_GB2312" w:eastAsia="仿宋_GB2312"/>
          <w:b/>
          <w:sz w:val="32"/>
        </w:rPr>
        <w:t>人员经费3,258.08万元，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救济费、奖励金、其他对个人和家庭的补助。</w:t>
      </w:r>
    </w:p>
    <w:p w14:paraId="294F8679">
      <w:pPr>
        <w:spacing w:line="580" w:lineRule="exact"/>
        <w:ind w:firstLine="640"/>
        <w:jc w:val="both"/>
      </w:pPr>
      <w:r>
        <w:rPr>
          <w:rFonts w:ascii="仿宋_GB2312" w:hAnsi="仿宋_GB2312" w:eastAsia="仿宋_GB2312"/>
          <w:b/>
          <w:sz w:val="32"/>
        </w:rPr>
        <w:t>公用经费322.49万元，</w:t>
      </w:r>
      <w:r>
        <w:rPr>
          <w:rFonts w:ascii="仿宋_GB2312" w:hAnsi="仿宋_GB2312" w:eastAsia="仿宋_GB2312"/>
          <w:b w:val="0"/>
          <w:sz w:val="32"/>
        </w:rPr>
        <w:t>包括：办公费、电费、邮电费、取暖费、差旅费、维修（护）费、租赁费、劳务费、福利费、公务用车运行维护费、办公设备购置。</w:t>
      </w:r>
    </w:p>
    <w:p w14:paraId="52BD9A17">
      <w:pPr>
        <w:spacing w:line="640" w:lineRule="exact"/>
        <w:ind w:firstLine="640"/>
        <w:jc w:val="both"/>
        <w:outlineLvl w:val="2"/>
      </w:pPr>
      <w:r>
        <w:rPr>
          <w:rFonts w:ascii="黑体" w:hAnsi="黑体" w:eastAsia="黑体"/>
          <w:sz w:val="32"/>
        </w:rPr>
        <w:t>七、政府性基金预算财政拨款收入支出决算情况说明</w:t>
      </w:r>
    </w:p>
    <w:p w14:paraId="668AAE03">
      <w:pPr>
        <w:spacing w:line="580" w:lineRule="exact"/>
        <w:ind w:firstLine="640"/>
        <w:jc w:val="both"/>
      </w:pPr>
      <w:r>
        <w:rPr>
          <w:rFonts w:ascii="仿宋_GB2312" w:hAnsi="仿宋_GB2312" w:eastAsia="仿宋_GB2312"/>
          <w:b/>
          <w:sz w:val="32"/>
        </w:rPr>
        <w:t>2024年度政府性基金预算财政拨款收入总计592.41万元，</w:t>
      </w:r>
      <w:r>
        <w:rPr>
          <w:rFonts w:ascii="仿宋_GB2312" w:hAnsi="仿宋_GB2312" w:eastAsia="仿宋_GB2312"/>
          <w:b w:val="0"/>
          <w:sz w:val="32"/>
        </w:rPr>
        <w:t>其中：年初结转和结余0.00万元，本年收入592.41万元。</w:t>
      </w:r>
      <w:r>
        <w:rPr>
          <w:rFonts w:ascii="仿宋_GB2312" w:hAnsi="仿宋_GB2312" w:eastAsia="仿宋_GB2312"/>
          <w:b/>
          <w:sz w:val="32"/>
        </w:rPr>
        <w:t>政府性基金预算财政拨款支出总计592.41万元，</w:t>
      </w:r>
      <w:r>
        <w:rPr>
          <w:rFonts w:ascii="仿宋_GB2312" w:hAnsi="仿宋_GB2312" w:eastAsia="仿宋_GB2312"/>
          <w:b w:val="0"/>
          <w:sz w:val="32"/>
        </w:rPr>
        <w:t>其中：年末结转和结余0.00万元，本年支出592.41万元。</w:t>
      </w:r>
    </w:p>
    <w:p w14:paraId="0E4D1FE5">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增加552.99万元，增长1,402.82%，主要原因是：本年增加芦草沟镇四宫村和元宝山村征地和拆迁补偿支出。</w:t>
      </w:r>
      <w:r>
        <w:rPr>
          <w:rFonts w:ascii="仿宋_GB2312" w:hAnsi="仿宋_GB2312" w:eastAsia="仿宋_GB2312"/>
          <w:b/>
          <w:sz w:val="32"/>
        </w:rPr>
        <w:t>与年初预算相比，</w:t>
      </w:r>
      <w:r>
        <w:rPr>
          <w:rFonts w:ascii="仿宋_GB2312" w:hAnsi="仿宋_GB2312" w:eastAsia="仿宋_GB2312"/>
          <w:b w:val="0"/>
          <w:sz w:val="32"/>
        </w:rPr>
        <w:t>年初预算数0.00万元，决算数592.41万元，预决算差异率100.00%，主要原因是：年中追加芦草沟镇四宫村和元宝山村征地和拆迁补偿支出项目，导致预决算存在差异。</w:t>
      </w:r>
    </w:p>
    <w:p w14:paraId="6782C8A1">
      <w:pPr>
        <w:spacing w:line="580" w:lineRule="exact"/>
        <w:ind w:firstLine="640"/>
        <w:jc w:val="both"/>
      </w:pPr>
      <w:r>
        <w:rPr>
          <w:rFonts w:ascii="仿宋_GB2312" w:hAnsi="仿宋_GB2312" w:eastAsia="仿宋_GB2312"/>
          <w:b w:val="0"/>
          <w:sz w:val="32"/>
        </w:rPr>
        <w:t>政府性基金预算财政拨款支出592.41万元。</w:t>
      </w:r>
    </w:p>
    <w:p w14:paraId="15B15C27">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592.41万元，比上年决算增加592.41万元，增长100.00%,主要原因是：本年增加芦草沟镇四宫村和元宝山村征地和拆迁补偿支出。</w:t>
      </w:r>
    </w:p>
    <w:p w14:paraId="0574F1E0">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0.00万元，比上年决算减少39.42万元，下降100.00%,主要原因是：本年未安排霍城县芦草沟镇公共医疗卫生能力提升建设项目耕地开垦费。</w:t>
      </w:r>
    </w:p>
    <w:p w14:paraId="430ACD9D">
      <w:pPr>
        <w:spacing w:line="640" w:lineRule="exact"/>
        <w:ind w:firstLine="640"/>
        <w:jc w:val="both"/>
        <w:outlineLvl w:val="2"/>
      </w:pPr>
      <w:r>
        <w:rPr>
          <w:rFonts w:ascii="黑体" w:hAnsi="黑体" w:eastAsia="黑体"/>
          <w:sz w:val="32"/>
        </w:rPr>
        <w:t>八、国有资本经营预算财政拨款收入支出决算情况说明</w:t>
      </w:r>
    </w:p>
    <w:p w14:paraId="07AB766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FF612EE">
      <w:pPr>
        <w:spacing w:line="640" w:lineRule="exact"/>
        <w:ind w:firstLine="640"/>
        <w:jc w:val="both"/>
        <w:outlineLvl w:val="2"/>
      </w:pPr>
      <w:r>
        <w:rPr>
          <w:rFonts w:ascii="黑体" w:hAnsi="黑体" w:eastAsia="黑体"/>
          <w:sz w:val="32"/>
        </w:rPr>
        <w:t>九、财政拨款“三公”经费支出决算情况说明</w:t>
      </w:r>
    </w:p>
    <w:p w14:paraId="48F11845">
      <w:pPr>
        <w:spacing w:line="580" w:lineRule="exact"/>
        <w:ind w:firstLine="640"/>
        <w:jc w:val="both"/>
      </w:pPr>
      <w:r>
        <w:rPr>
          <w:rFonts w:ascii="仿宋_GB2312" w:hAnsi="仿宋_GB2312" w:eastAsia="仿宋_GB2312"/>
          <w:b/>
          <w:sz w:val="32"/>
        </w:rPr>
        <w:t>2024年度财政拨款“三公”经费支出19.40万元，</w:t>
      </w:r>
      <w:r>
        <w:rPr>
          <w:rFonts w:ascii="仿宋_GB2312" w:hAnsi="仿宋_GB2312" w:eastAsia="仿宋_GB2312"/>
          <w:b w:val="0"/>
          <w:sz w:val="32"/>
        </w:rPr>
        <w:t>比上年增加7.90万元，增长68.70%，主要原因是：本年</w:t>
      </w:r>
      <w:r>
        <w:rPr>
          <w:rFonts w:hint="eastAsia" w:ascii="仿宋_GB2312" w:hAnsi="仿宋_GB2312" w:eastAsia="仿宋_GB2312"/>
          <w:b w:val="0"/>
          <w:sz w:val="32"/>
          <w:lang w:val="en-US" w:eastAsia="zh-CN"/>
        </w:rPr>
        <w:t>公务用车使用次数增加，燃油费增加</w:t>
      </w:r>
      <w:r>
        <w:rPr>
          <w:rFonts w:ascii="仿宋_GB2312" w:hAnsi="仿宋_GB2312" w:eastAsia="仿宋_GB2312"/>
          <w:b w:val="0"/>
          <w:sz w:val="32"/>
        </w:rPr>
        <w:t>，公务用车运行费较上年增加。其中：因公出国（境）费支出0.00万元，占0.00%，比上年增加0.00万元，增长0.00%，主要原因是：2023年与2024年均未安排因公出国（境）费支出。公务用车购置及运行维护费支出19.40万元，占100.00%，比上年增加7.90万元，增长68.70%，主要原因是：本年</w:t>
      </w:r>
      <w:r>
        <w:rPr>
          <w:rFonts w:hint="eastAsia" w:ascii="仿宋_GB2312" w:hAnsi="仿宋_GB2312" w:eastAsia="仿宋_GB2312"/>
          <w:b w:val="0"/>
          <w:sz w:val="32"/>
          <w:lang w:val="en-US" w:eastAsia="zh-CN"/>
        </w:rPr>
        <w:t>公务用车使用次数增加，燃油费增加</w:t>
      </w:r>
      <w:r>
        <w:rPr>
          <w:rFonts w:ascii="仿宋_GB2312" w:hAnsi="仿宋_GB2312" w:eastAsia="仿宋_GB2312"/>
          <w:b w:val="0"/>
          <w:sz w:val="32"/>
        </w:rPr>
        <w:t>，公务用车运行费较上年增加。公务接待费支出0.00万元，占0.00%，比上年增加0.00万元，增长0.00%，主要原因是：2023年与2024年均未安排公务接待费支出。</w:t>
      </w:r>
    </w:p>
    <w:p w14:paraId="22B67A9D">
      <w:pPr>
        <w:spacing w:line="580" w:lineRule="exact"/>
        <w:ind w:firstLine="640"/>
        <w:jc w:val="both"/>
      </w:pPr>
      <w:r>
        <w:rPr>
          <w:rFonts w:ascii="仿宋_GB2312" w:hAnsi="仿宋_GB2312" w:eastAsia="仿宋_GB2312"/>
          <w:b/>
          <w:sz w:val="32"/>
        </w:rPr>
        <w:t>具体情况如下：</w:t>
      </w:r>
    </w:p>
    <w:p w14:paraId="339C3D9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C7A0B12">
      <w:pPr>
        <w:spacing w:line="580" w:lineRule="exact"/>
        <w:ind w:firstLine="640"/>
        <w:jc w:val="both"/>
      </w:pPr>
      <w:r>
        <w:rPr>
          <w:rFonts w:ascii="仿宋_GB2312" w:hAnsi="仿宋_GB2312" w:eastAsia="仿宋_GB2312"/>
          <w:b w:val="0"/>
          <w:sz w:val="32"/>
        </w:rPr>
        <w:t>公务用车购置及运行维护费19.40万元，其中：公务用车购置费0.00万元，公务用车运行维护费19.40万元。公务用车运行维护费开支内容包括主要包括加油</w:t>
      </w:r>
      <w:r>
        <w:rPr>
          <w:rFonts w:hint="eastAsia" w:ascii="仿宋_GB2312" w:hAnsi="仿宋_GB2312" w:eastAsia="仿宋_GB2312"/>
          <w:b w:val="0"/>
          <w:sz w:val="32"/>
          <w:lang w:val="en-US" w:eastAsia="zh-CN"/>
        </w:rPr>
        <w:t>费</w:t>
      </w:r>
      <w:r>
        <w:rPr>
          <w:rFonts w:ascii="仿宋_GB2312" w:hAnsi="仿宋_GB2312" w:eastAsia="仿宋_GB2312"/>
          <w:b w:val="0"/>
          <w:sz w:val="32"/>
        </w:rPr>
        <w:t>，维修</w:t>
      </w:r>
      <w:r>
        <w:rPr>
          <w:rFonts w:hint="eastAsia" w:ascii="仿宋_GB2312" w:hAnsi="仿宋_GB2312" w:eastAsia="仿宋_GB2312"/>
          <w:b w:val="0"/>
          <w:sz w:val="32"/>
          <w:lang w:val="en-US" w:eastAsia="zh-CN"/>
        </w:rPr>
        <w:t>费</w:t>
      </w:r>
      <w:r>
        <w:rPr>
          <w:rFonts w:ascii="仿宋_GB2312" w:hAnsi="仿宋_GB2312" w:eastAsia="仿宋_GB2312"/>
          <w:b w:val="0"/>
          <w:sz w:val="32"/>
        </w:rPr>
        <w:t>，保险</w:t>
      </w:r>
      <w:r>
        <w:rPr>
          <w:rFonts w:hint="eastAsia" w:ascii="仿宋_GB2312" w:hAnsi="仿宋_GB2312" w:eastAsia="仿宋_GB2312"/>
          <w:b w:val="0"/>
          <w:sz w:val="32"/>
          <w:lang w:val="en-US" w:eastAsia="zh-CN"/>
        </w:rPr>
        <w:t>费</w:t>
      </w:r>
      <w:r>
        <w:rPr>
          <w:rFonts w:ascii="仿宋_GB2312" w:hAnsi="仿宋_GB2312" w:eastAsia="仿宋_GB2312"/>
          <w:b w:val="0"/>
          <w:sz w:val="32"/>
        </w:rPr>
        <w:t>等。公务用车购置数0辆，公务用车保有量23辆。国有资产占用情况中固定资产车辆23辆，与公务用车保有量差异原因是：本单位固定资产车辆与公务用车保有量一致无差异。</w:t>
      </w:r>
    </w:p>
    <w:p w14:paraId="3A9111D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CC84EF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19.40万元，决算数19.40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19.40万元，决算数19.40万元，预决算差异率0.00%，主要原因是：严格按照预算执行，预决算无差异。公务接待费全年预算数0.00万元，决算数0.00万元，预决算差异率0.00%，主要原因是：本单位无公务接待费。</w:t>
      </w:r>
    </w:p>
    <w:p w14:paraId="75CAE7D0">
      <w:pPr>
        <w:spacing w:line="640" w:lineRule="exact"/>
        <w:ind w:firstLine="640"/>
        <w:jc w:val="both"/>
        <w:outlineLvl w:val="2"/>
      </w:pPr>
      <w:r>
        <w:rPr>
          <w:rFonts w:ascii="黑体" w:hAnsi="黑体" w:eastAsia="黑体"/>
          <w:sz w:val="32"/>
        </w:rPr>
        <w:t>十、其他重要事项的情况说明</w:t>
      </w:r>
    </w:p>
    <w:p w14:paraId="101DF37B">
      <w:pPr>
        <w:spacing w:line="640" w:lineRule="exact"/>
        <w:ind w:firstLine="640"/>
        <w:jc w:val="both"/>
        <w:outlineLvl w:val="3"/>
      </w:pPr>
      <w:r>
        <w:rPr>
          <w:rFonts w:ascii="楷体_GB2312" w:hAnsi="楷体_GB2312" w:eastAsia="楷体_GB2312"/>
          <w:b/>
          <w:sz w:val="32"/>
        </w:rPr>
        <w:t>（一）机关运行经费及公用经费支出情况</w:t>
      </w:r>
    </w:p>
    <w:p w14:paraId="2E1C2BC6">
      <w:pPr>
        <w:spacing w:line="580" w:lineRule="exact"/>
        <w:ind w:firstLine="640"/>
        <w:jc w:val="both"/>
      </w:pPr>
      <w:r>
        <w:rPr>
          <w:rFonts w:ascii="仿宋_GB2312" w:hAnsi="仿宋_GB2312" w:eastAsia="仿宋_GB2312"/>
          <w:b w:val="0"/>
          <w:sz w:val="32"/>
        </w:rPr>
        <w:t>2024年度霍城县芦草沟镇人民政府（行政单位和参照公务员法管理事业单位）机关运行经费支出322.49万元，比上年增加121.25万元，增长60.25%，主要原因是：</w:t>
      </w:r>
      <w:bookmarkStart w:id="0" w:name="_GoBack"/>
      <w:r>
        <w:rPr>
          <w:rFonts w:ascii="仿宋_GB2312" w:hAnsi="仿宋_GB2312" w:eastAsia="仿宋_GB2312"/>
          <w:b w:val="0"/>
          <w:sz w:val="32"/>
        </w:rPr>
        <w:t>本年新增加赛里木湖草场补偿费，机关运行经费增加。</w:t>
      </w:r>
    </w:p>
    <w:bookmarkEnd w:id="0"/>
    <w:p w14:paraId="5BA42B7D">
      <w:pPr>
        <w:spacing w:line="640" w:lineRule="exact"/>
        <w:ind w:firstLine="640"/>
        <w:jc w:val="both"/>
        <w:outlineLvl w:val="3"/>
      </w:pPr>
      <w:r>
        <w:rPr>
          <w:rFonts w:ascii="楷体_GB2312" w:hAnsi="楷体_GB2312" w:eastAsia="楷体_GB2312"/>
          <w:b/>
          <w:sz w:val="32"/>
        </w:rPr>
        <w:t>（二）政府采购情况</w:t>
      </w:r>
    </w:p>
    <w:p w14:paraId="1208A2FF">
      <w:pPr>
        <w:spacing w:line="580" w:lineRule="exact"/>
        <w:ind w:firstLine="640"/>
        <w:jc w:val="both"/>
      </w:pPr>
      <w:r>
        <w:rPr>
          <w:rFonts w:ascii="仿宋_GB2312" w:hAnsi="仿宋_GB2312" w:eastAsia="仿宋_GB2312"/>
          <w:b w:val="0"/>
          <w:sz w:val="32"/>
        </w:rPr>
        <w:t>2024年度政府采购支出总额794.68万元，其中：政府采购货物支出16.20万元、政府采购工程支出778.23万元、政府采购服务支出0.25万元。</w:t>
      </w:r>
    </w:p>
    <w:p w14:paraId="43BC157E">
      <w:pPr>
        <w:spacing w:line="580" w:lineRule="exact"/>
        <w:ind w:firstLine="640"/>
        <w:jc w:val="both"/>
      </w:pPr>
      <w:r>
        <w:rPr>
          <w:rFonts w:ascii="仿宋_GB2312" w:hAnsi="仿宋_GB2312" w:eastAsia="仿宋_GB2312"/>
          <w:b w:val="0"/>
          <w:sz w:val="32"/>
        </w:rPr>
        <w:t>授予中小企业合同金额794.68万元，占政府采购支出总额的100.00%，其中：授予小微企业合同金额794.68万元，占政府采购支出总额的100.00%。</w:t>
      </w:r>
    </w:p>
    <w:p w14:paraId="64B7D110">
      <w:pPr>
        <w:spacing w:line="640" w:lineRule="exact"/>
        <w:ind w:firstLine="640"/>
        <w:jc w:val="both"/>
        <w:outlineLvl w:val="3"/>
      </w:pPr>
      <w:r>
        <w:rPr>
          <w:rFonts w:ascii="楷体_GB2312" w:hAnsi="楷体_GB2312" w:eastAsia="楷体_GB2312"/>
          <w:b/>
          <w:sz w:val="32"/>
        </w:rPr>
        <w:t>（三）国有资产占用情况说明</w:t>
      </w:r>
    </w:p>
    <w:p w14:paraId="5693E345">
      <w:pPr>
        <w:spacing w:line="580" w:lineRule="exact"/>
        <w:ind w:firstLine="640"/>
        <w:jc w:val="both"/>
      </w:pPr>
      <w:r>
        <w:rPr>
          <w:rFonts w:ascii="仿宋_GB2312" w:hAnsi="仿宋_GB2312" w:eastAsia="仿宋_GB2312"/>
          <w:b w:val="0"/>
          <w:sz w:val="32"/>
        </w:rPr>
        <w:t>截至2024年12月31日，房屋12,377.47平方米，价值1,783.57万元。车辆23辆，价值325.89万元，其中：副部（省）级及以上领导用车0辆、主要负责人用车0辆、机要通信用车0辆、应急保障用车2辆、执法执勤用车2辆、特种专业技术用车1辆、离退休干部服务用车0辆、其他用车18辆，其他用车主要是：垃圾车、洒水车、一般公务用车、铲车、吸粪车。单价100万元（含）以上设备（不含车辆）0台（套）。</w:t>
      </w:r>
    </w:p>
    <w:p w14:paraId="00B2B902">
      <w:pPr>
        <w:spacing w:line="640" w:lineRule="exact"/>
        <w:ind w:firstLine="640"/>
        <w:jc w:val="both"/>
        <w:outlineLvl w:val="2"/>
      </w:pPr>
      <w:r>
        <w:rPr>
          <w:rFonts w:ascii="黑体" w:hAnsi="黑体" w:eastAsia="黑体"/>
          <w:sz w:val="32"/>
        </w:rPr>
        <w:t>十一、预算绩效的情况说明</w:t>
      </w:r>
    </w:p>
    <w:p w14:paraId="2B1F7DE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6,354.14万元，实际执行总额6,354.14万元；预算绩效评价项目2个，全年预算数642.41万元，全年执行数642.41万元。预算绩效管理取得的成效：一是绩效目标管理日益加强，促进了财政资金使用效益的提高；二是全过程预算绩效管理框架逐渐清晰，推动预算绩效管理工作有序</w:t>
      </w:r>
      <w:r>
        <w:rPr>
          <w:rFonts w:hint="eastAsia" w:ascii="仿宋_GB2312" w:hAnsi="仿宋_GB2312" w:eastAsia="仿宋_GB2312"/>
          <w:b w:val="0"/>
          <w:sz w:val="32"/>
          <w:lang w:eastAsia="zh-CN"/>
        </w:rPr>
        <w:t>地</w:t>
      </w:r>
      <w:r>
        <w:rPr>
          <w:rFonts w:ascii="仿宋_GB2312" w:hAnsi="仿宋_GB2312" w:eastAsia="仿宋_GB2312"/>
          <w:b w:val="0"/>
          <w:sz w:val="32"/>
        </w:rPr>
        <w:t>开展。发现的问题及原因：一是预算绩效管理的重要性认识不足；二是预算绩效管理的组织实施统筹不够。下一步改进措施：一是加大预算绩效管理宣传培训力度，加强系统内各层级人员绩效管理培训；二是提高绩效管理统筹组织能力，进一步明确系统内单位项目、资金使用的绩效管理责任。具体附整体支出绩效自评表，项目支出绩效自评表和评价报告。</w:t>
      </w:r>
    </w:p>
    <w:p w14:paraId="412B17B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EC93A69">
        <w:tc>
          <w:tcPr>
            <w:tcW w:w="8840" w:type="dxa"/>
            <w:gridSpan w:val="8"/>
            <w:vAlign w:val="center"/>
          </w:tcPr>
          <w:p w14:paraId="4179247E">
            <w:pPr>
              <w:jc w:val="center"/>
            </w:pPr>
            <w:r>
              <w:rPr>
                <w:rFonts w:ascii="宋体" w:hAnsi="宋体" w:eastAsia="宋体"/>
                <w:sz w:val="24"/>
              </w:rPr>
              <w:t>单位整体支出绩效自评表</w:t>
            </w:r>
          </w:p>
        </w:tc>
      </w:tr>
      <w:tr w14:paraId="330691D8">
        <w:tblPrEx>
          <w:tblCellMar>
            <w:top w:w="0" w:type="dxa"/>
            <w:left w:w="108" w:type="dxa"/>
            <w:bottom w:w="0" w:type="dxa"/>
            <w:right w:w="108" w:type="dxa"/>
          </w:tblCellMar>
        </w:tblPrEx>
        <w:tc>
          <w:tcPr>
            <w:tcW w:w="8840" w:type="dxa"/>
            <w:gridSpan w:val="8"/>
            <w:vAlign w:val="center"/>
          </w:tcPr>
          <w:p w14:paraId="33545698">
            <w:pPr>
              <w:jc w:val="center"/>
            </w:pPr>
            <w:r>
              <w:rPr>
                <w:rFonts w:ascii="宋体" w:hAnsi="宋体" w:eastAsia="宋体"/>
                <w:sz w:val="24"/>
              </w:rPr>
              <w:t>（2024年度）</w:t>
            </w:r>
          </w:p>
        </w:tc>
      </w:tr>
      <w:tr w14:paraId="35F42E7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25269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1780A7">
            <w:pPr>
              <w:jc w:val="center"/>
            </w:pPr>
            <w:r>
              <w:rPr>
                <w:rFonts w:ascii="宋体" w:hAnsi="宋体" w:eastAsia="宋体"/>
                <w:sz w:val="16"/>
              </w:rPr>
              <w:t>霍城县芦草沟镇人民政府</w:t>
            </w:r>
          </w:p>
        </w:tc>
      </w:tr>
      <w:tr w14:paraId="2B68C2A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1B742D">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F8BE0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2B155F">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F66C7E">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2EC3C1">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F9E77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A37F8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91D301">
            <w:pPr>
              <w:jc w:val="center"/>
            </w:pPr>
            <w:r>
              <w:rPr>
                <w:rFonts w:ascii="宋体" w:hAnsi="宋体" w:eastAsia="宋体"/>
                <w:sz w:val="16"/>
              </w:rPr>
              <w:t>得分</w:t>
            </w:r>
          </w:p>
        </w:tc>
      </w:tr>
      <w:tr w14:paraId="2E8547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B5472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9D8EE7">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D48294">
            <w:pPr>
              <w:jc w:val="center"/>
            </w:pPr>
            <w:r>
              <w:rPr>
                <w:rFonts w:ascii="宋体" w:hAnsi="宋体" w:eastAsia="宋体"/>
                <w:sz w:val="16"/>
              </w:rPr>
              <w:t>2,310.08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0387AF">
            <w:pPr>
              <w:jc w:val="center"/>
            </w:pPr>
            <w:r>
              <w:rPr>
                <w:rFonts w:ascii="宋体" w:hAnsi="宋体" w:eastAsia="宋体"/>
                <w:sz w:val="16"/>
              </w:rPr>
              <w:t>6,354.14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20A870">
            <w:pPr>
              <w:jc w:val="center"/>
            </w:pPr>
            <w:r>
              <w:rPr>
                <w:rFonts w:ascii="宋体" w:hAnsi="宋体" w:eastAsia="宋体"/>
                <w:sz w:val="16"/>
              </w:rPr>
              <w:t>6,354.14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A1F72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AA92D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A3106E">
            <w:pPr>
              <w:jc w:val="center"/>
            </w:pPr>
            <w:r>
              <w:rPr>
                <w:rFonts w:ascii="宋体" w:hAnsi="宋体" w:eastAsia="宋体"/>
                <w:sz w:val="16"/>
              </w:rPr>
              <w:t>10</w:t>
            </w:r>
          </w:p>
        </w:tc>
      </w:tr>
      <w:tr w14:paraId="0E51098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E139C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EC7323">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421C2E">
            <w:pPr>
              <w:jc w:val="center"/>
            </w:pPr>
            <w:r>
              <w:rPr>
                <w:rFonts w:ascii="宋体" w:hAnsi="宋体" w:eastAsia="宋体"/>
                <w:sz w:val="16"/>
              </w:rPr>
              <w:t>50.00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D90F51">
            <w:pPr>
              <w:jc w:val="center"/>
            </w:pPr>
            <w:r>
              <w:rPr>
                <w:rFonts w:ascii="宋体" w:hAnsi="宋体" w:eastAsia="宋体"/>
                <w:sz w:val="16"/>
              </w:rPr>
              <w:t>50.00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81D4F0">
            <w:pPr>
              <w:jc w:val="center"/>
            </w:pPr>
            <w:r>
              <w:rPr>
                <w:rFonts w:ascii="宋体" w:hAnsi="宋体" w:eastAsia="宋体"/>
                <w:sz w:val="16"/>
              </w:rPr>
              <w:t>50.00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65CD5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222AE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BA803C">
            <w:pPr>
              <w:jc w:val="center"/>
            </w:pPr>
            <w:r>
              <w:rPr>
                <w:rFonts w:ascii="宋体" w:hAnsi="宋体" w:eastAsia="宋体"/>
                <w:sz w:val="16"/>
              </w:rPr>
              <w:t>-</w:t>
            </w:r>
          </w:p>
        </w:tc>
      </w:tr>
      <w:tr w14:paraId="41F98A5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D9897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37FEA7">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285A1B">
            <w:pPr>
              <w:jc w:val="center"/>
            </w:pPr>
            <w:r>
              <w:rPr>
                <w:rFonts w:ascii="宋体" w:hAnsi="宋体" w:eastAsia="宋体"/>
                <w:sz w:val="16"/>
              </w:rPr>
              <w:t>2,260.08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EA9E63">
            <w:pPr>
              <w:jc w:val="center"/>
            </w:pPr>
            <w:r>
              <w:rPr>
                <w:rFonts w:ascii="宋体" w:hAnsi="宋体" w:eastAsia="宋体"/>
                <w:sz w:val="16"/>
              </w:rPr>
              <w:t>6,275.16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7DF759">
            <w:pPr>
              <w:jc w:val="center"/>
            </w:pPr>
            <w:r>
              <w:rPr>
                <w:rFonts w:ascii="宋体" w:hAnsi="宋体" w:eastAsia="宋体"/>
                <w:sz w:val="16"/>
              </w:rPr>
              <w:t>6,275.16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D53CB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12D02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CFCE05">
            <w:pPr>
              <w:jc w:val="center"/>
            </w:pPr>
            <w:r>
              <w:rPr>
                <w:rFonts w:ascii="宋体" w:hAnsi="宋体" w:eastAsia="宋体"/>
                <w:sz w:val="16"/>
              </w:rPr>
              <w:t>-</w:t>
            </w:r>
          </w:p>
        </w:tc>
      </w:tr>
      <w:tr w14:paraId="627F1B7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5AE3F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079555">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8C3B9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8EAF75">
            <w:pPr>
              <w:jc w:val="center"/>
            </w:pPr>
            <w:r>
              <w:rPr>
                <w:rFonts w:ascii="宋体" w:hAnsi="宋体" w:eastAsia="宋体"/>
                <w:sz w:val="16"/>
              </w:rPr>
              <w:t>28.98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5B917D">
            <w:pPr>
              <w:jc w:val="center"/>
            </w:pPr>
            <w:r>
              <w:rPr>
                <w:rFonts w:ascii="宋体" w:hAnsi="宋体" w:eastAsia="宋体"/>
                <w:sz w:val="16"/>
              </w:rPr>
              <w:t>28.98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089A3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1A51F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0A7485">
            <w:pPr>
              <w:jc w:val="center"/>
            </w:pPr>
            <w:r>
              <w:rPr>
                <w:rFonts w:ascii="宋体" w:hAnsi="宋体" w:eastAsia="宋体"/>
                <w:sz w:val="16"/>
              </w:rPr>
              <w:t>-</w:t>
            </w:r>
          </w:p>
        </w:tc>
      </w:tr>
      <w:tr w14:paraId="6E09649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CA6091">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6F121A">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B23698">
            <w:pPr>
              <w:jc w:val="center"/>
            </w:pPr>
            <w:r>
              <w:rPr>
                <w:rFonts w:ascii="宋体" w:hAnsi="宋体" w:eastAsia="宋体"/>
                <w:sz w:val="16"/>
              </w:rPr>
              <w:t>实际完成情况</w:t>
            </w:r>
          </w:p>
        </w:tc>
      </w:tr>
      <w:tr w14:paraId="3E217E1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51862C"/>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3D417A">
            <w:pPr>
              <w:jc w:val="both"/>
            </w:pPr>
            <w:r>
              <w:rPr>
                <w:rFonts w:ascii="宋体" w:hAnsi="宋体" w:eastAsia="宋体"/>
                <w:sz w:val="16"/>
              </w:rPr>
              <w:t>推动项目建设、扎实推进乡村振兴。一是在产业项目引建育上持续发力。2024年，我们将扭住招</w:t>
            </w:r>
            <w:r>
              <w:rPr>
                <w:rFonts w:hint="eastAsia" w:ascii="宋体" w:hAnsi="宋体"/>
                <w:sz w:val="16"/>
                <w:lang w:eastAsia="zh-CN"/>
              </w:rPr>
              <w:t>商引资</w:t>
            </w:r>
            <w:r>
              <w:rPr>
                <w:rFonts w:ascii="宋体" w:hAnsi="宋体" w:eastAsia="宋体"/>
                <w:sz w:val="16"/>
              </w:rPr>
              <w:t>这个牛鼻子，围绕现有资源开展产业链上下游精准招商，重点招引助力旅游发展项目，加强书记、镇长带队的“走”“请”力度，高质量圆满完成年度招</w:t>
            </w:r>
            <w:r>
              <w:rPr>
                <w:rFonts w:hint="eastAsia" w:ascii="宋体" w:hAnsi="宋体"/>
                <w:sz w:val="16"/>
                <w:lang w:eastAsia="zh-CN"/>
              </w:rPr>
              <w:t>商引资</w:t>
            </w:r>
            <w:r>
              <w:rPr>
                <w:rFonts w:ascii="宋体" w:hAnsi="宋体" w:eastAsia="宋体"/>
                <w:sz w:val="16"/>
              </w:rPr>
              <w:t>任务。二是持续巩固拓展脱贫攻坚成果。抓好巩固拓展脱贫攻坚成果同乡村振兴有效衔接工作，坚持思想不松、责任不变、力度不减，加强扶贫项目资产管理和监管，建立健全防止返贫动态监测和帮扶机制。三是大力发展特色农业产业。落实最严格的耕地保护制度，深入推进农村乱占耕地建房专项整治行动，坚决遏制耕地“非农化”、防止“非粮化”。持续打造“一村一品”，紧紧抓住产业培育不放松，以富民强镇为目标，全力推动</w:t>
            </w:r>
            <w:r>
              <w:rPr>
                <w:rFonts w:hint="eastAsia" w:ascii="宋体" w:hAnsi="宋体"/>
                <w:sz w:val="16"/>
                <w:lang w:eastAsia="zh-CN"/>
              </w:rPr>
              <w:t>地理标志</w:t>
            </w:r>
            <w:r>
              <w:rPr>
                <w:rFonts w:ascii="宋体" w:hAnsi="宋体" w:eastAsia="宋体"/>
                <w:sz w:val="16"/>
              </w:rPr>
              <w:t>打造，让薰衣草、黄元帅、恐龙蛋等一众优质农产品脱颖而出，实现农产品由价格向价值的转变，持续不断增加农民收入。拓宽线上销售渠道。将本地优质农产品，在抖音、淘宝等平台开展网络直播带货，扩大品牌知名度。四是激活本土自然资源优势。写好芦草沟镇自然、乡土、生态三篇文章。以晃晃村为中心，激活喀拉苏鱼塘、小东沟、果子沟等特色资源，突出乡土文化资源，利用好本地资源，着力打造精品乡村生态旅游景观线路。</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0A5389">
            <w:pPr>
              <w:jc w:val="both"/>
            </w:pPr>
            <w:r>
              <w:rPr>
                <w:rFonts w:ascii="宋体" w:hAnsi="宋体" w:eastAsia="宋体"/>
                <w:sz w:val="16"/>
              </w:rPr>
              <w:t>持续调整产业结构，优化产业布局，群众增收根基更加稳固。坚持以产业振兴推动乡村振兴，农业产业成果丰硕。全镇种植薰衣草3.2万亩，产出精油34.3吨，干花1600吨；黄元帅基地收获苹果850吨，预计户均分红650元；完成复播大豆等作物1.2万亩，实现“一田两用、一地双收”；2024 年芦草沟镇累计实施高标准农田项目建设合计4.8万亩，涉及的村有，长山梁子村，喀拉苏村，西宁庄村、别西阿尕什村、乌拉斯台村、东庄村、墩买里村，农科站；依托安欣牧业，完成牛品种改良1170头，因村制宜培育特色产业，自身“造血”功能显著增强，预计全年完成村集体收入1100万元。持续改善民生，提高群众生活品质，民生福祉迈上新台阶。稳步提升民生保障水平，推动各项惠民利民政策落地实施，发放各类民政补贴、救助资金1436.7万元，惠及群众3831人，2024年我镇整改厕所273座；2024年劳动力已转移就业12372人；共组织了7期技能培训班，245人参加了各类职业技能培训并参加了技能资格鉴定考试；持续推进文化建设，组织开展晃晃村BA、音乐季、村民日、赛马会等各类活动100余场，丰富群众精神文化生活的同时，带动旅游、研学、影视等蓬勃发展。坚持稳中求进，聚焦项目落地，乡村发展取得新成效。完成产业园薰衣草村落改造提升项目，持续增强特色产业发展优势；完成养殖小区建设项目，激发养殖产业活力；完成乌拉斯台村农田节水灌溉2024年以工代赈项目，拓宽群众增收致富渠道；完成晃晃村石榴籽服务站项目，增强旅游产业发展势能；完成晃晃村人才驿站项目，推动人才资源集聚；完成晃晃村浣洗房项目，强化服务保障质效；乡村振兴项目精准落地，为乡村产业振兴和农业高质量发展注入新动能，本年脱贫监测人口需人口自然增加42人，人口自然减少95人，每月监护1次，2024年共监护12次，为持续</w:t>
            </w:r>
            <w:r>
              <w:rPr>
                <w:rFonts w:hint="eastAsia" w:ascii="宋体" w:hAnsi="宋体"/>
                <w:sz w:val="16"/>
                <w:lang w:eastAsia="zh-CN"/>
              </w:rPr>
              <w:t>巩固拓展脱贫攻坚成果</w:t>
            </w:r>
            <w:r>
              <w:rPr>
                <w:rFonts w:ascii="宋体" w:hAnsi="宋体" w:eastAsia="宋体"/>
                <w:sz w:val="16"/>
              </w:rPr>
              <w:t>，坚决防止返贫致贫夯实了基础。“无遗漏、无盲点、无死角、全覆盖”监护排查，经排查暂未发现存在返贫致贫农户。守牢安全底线，提升基层治理水平，平安建设取得新突破。始终坚持警钟长鸣、警惕常在，办理</w:t>
            </w:r>
            <w:r>
              <w:rPr>
                <w:rFonts w:hint="eastAsia" w:ascii="宋体" w:hAnsi="宋体"/>
                <w:sz w:val="16"/>
                <w:lang w:eastAsia="zh-CN"/>
              </w:rPr>
              <w:t>行政案件</w:t>
            </w:r>
            <w:r>
              <w:rPr>
                <w:rFonts w:ascii="宋体" w:hAnsi="宋体" w:eastAsia="宋体"/>
                <w:sz w:val="16"/>
              </w:rPr>
              <w:t>42起42人；刑事个案3起7人；行政团伙案1起2人。深入排查化解风险隐患及矛盾纠纷，对各类风险隐患及矛盾纠纷进行梳理归类、建立台账、做到底数清、情况明，镇村两级排查风险隐患62余次，排查矛盾纠纷132起，均已全部化解。深入开展平安创建工作，营造稳定和谐的社会环境，2024年创建平安家庭10378户、创建率97.70%，平安商铺656户、创建率95.90%，创建平安村（社区）13个、平安活动场所3个、平安校园18个、平安卫生院2个、平安景区3个、平安企业6个、平安单位7个，创建率均为100%，全面提升全镇群众对平安建设的参与率、满意度。</w:t>
            </w:r>
          </w:p>
        </w:tc>
      </w:tr>
      <w:tr w14:paraId="04DB969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10019D">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BA74F4">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043A9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323879">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D2E95C">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245B8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7B4A6F">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074C59">
            <w:pPr>
              <w:jc w:val="center"/>
            </w:pPr>
            <w:r>
              <w:rPr>
                <w:rFonts w:ascii="宋体" w:hAnsi="宋体" w:eastAsia="宋体"/>
                <w:sz w:val="16"/>
              </w:rPr>
              <w:t>得分</w:t>
            </w:r>
          </w:p>
        </w:tc>
      </w:tr>
      <w:tr w14:paraId="54E52C0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15B008">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5550C3">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51A120">
            <w:pPr>
              <w:jc w:val="center"/>
            </w:pPr>
            <w:r>
              <w:rPr>
                <w:rFonts w:ascii="宋体" w:hAnsi="宋体" w:eastAsia="宋体"/>
                <w:sz w:val="16"/>
              </w:rPr>
              <w:t>专项技能培训人数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F44407">
            <w:pPr>
              <w:jc w:val="center"/>
            </w:pPr>
            <w:r>
              <w:rPr>
                <w:rFonts w:ascii="宋体" w:hAnsi="宋体" w:eastAsia="宋体"/>
                <w:sz w:val="16"/>
              </w:rPr>
              <w:t>&gt;=250人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8BD75E">
            <w:pPr>
              <w:jc w:val="center"/>
            </w:pPr>
            <w:r>
              <w:rPr>
                <w:rFonts w:ascii="宋体" w:hAnsi="宋体" w:eastAsia="宋体"/>
                <w:sz w:val="16"/>
              </w:rPr>
              <w:t>芦草沟镇工作报告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BC4624">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D7CF80">
            <w:pPr>
              <w:jc w:val="center"/>
            </w:pPr>
            <w:r>
              <w:rPr>
                <w:rFonts w:ascii="宋体" w:hAnsi="宋体" w:eastAsia="宋体"/>
                <w:sz w:val="16"/>
              </w:rPr>
              <w:t>252人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DC0D30">
            <w:pPr>
              <w:jc w:val="center"/>
            </w:pPr>
            <w:r>
              <w:rPr>
                <w:rFonts w:ascii="宋体" w:hAnsi="宋体" w:eastAsia="宋体"/>
                <w:sz w:val="16"/>
              </w:rPr>
              <w:t>18</w:t>
            </w:r>
          </w:p>
        </w:tc>
      </w:tr>
      <w:tr w14:paraId="0D2B97D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0F090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B106B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7449FA">
            <w:pPr>
              <w:jc w:val="center"/>
            </w:pPr>
            <w:r>
              <w:rPr>
                <w:rFonts w:ascii="宋体" w:hAnsi="宋体" w:eastAsia="宋体"/>
                <w:sz w:val="16"/>
              </w:rPr>
              <w:t>返贫动态监测次数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1BF0D1">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809EFB">
            <w:pPr>
              <w:jc w:val="center"/>
            </w:pPr>
            <w:r>
              <w:rPr>
                <w:rFonts w:ascii="宋体" w:hAnsi="宋体" w:eastAsia="宋体"/>
                <w:sz w:val="16"/>
              </w:rPr>
              <w:t>芦草沟镇工作报告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758859">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E7C39D">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DED34D">
            <w:pPr>
              <w:jc w:val="center"/>
            </w:pPr>
            <w:r>
              <w:rPr>
                <w:rFonts w:ascii="宋体" w:hAnsi="宋体" w:eastAsia="宋体"/>
                <w:sz w:val="16"/>
              </w:rPr>
              <w:t>18</w:t>
            </w:r>
          </w:p>
        </w:tc>
      </w:tr>
      <w:tr w14:paraId="5EB42C0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C32A2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BC290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21EF07">
            <w:pPr>
              <w:jc w:val="center"/>
            </w:pPr>
            <w:r>
              <w:rPr>
                <w:rFonts w:ascii="宋体" w:hAnsi="宋体" w:eastAsia="宋体"/>
                <w:sz w:val="16"/>
              </w:rPr>
              <w:t>实施高标准农田高效节水面积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C79CCC">
            <w:pPr>
              <w:jc w:val="center"/>
            </w:pPr>
            <w:r>
              <w:rPr>
                <w:rFonts w:ascii="宋体" w:hAnsi="宋体" w:eastAsia="宋体"/>
                <w:sz w:val="16"/>
              </w:rPr>
              <w:t>&gt;=4.80万亩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A42ABF">
            <w:pPr>
              <w:jc w:val="center"/>
            </w:pPr>
            <w:r>
              <w:rPr>
                <w:rFonts w:ascii="宋体" w:hAnsi="宋体" w:eastAsia="宋体"/>
                <w:sz w:val="16"/>
              </w:rPr>
              <w:t>芦草沟镇工作报告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FDBFF4">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3BFC86">
            <w:pPr>
              <w:jc w:val="center"/>
            </w:pPr>
            <w:r>
              <w:rPr>
                <w:rFonts w:ascii="宋体" w:hAnsi="宋体" w:eastAsia="宋体"/>
                <w:sz w:val="16"/>
              </w:rPr>
              <w:t>4.80万亩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565A7B">
            <w:pPr>
              <w:jc w:val="center"/>
            </w:pPr>
            <w:r>
              <w:rPr>
                <w:rFonts w:ascii="宋体" w:hAnsi="宋体" w:eastAsia="宋体"/>
                <w:sz w:val="16"/>
              </w:rPr>
              <w:t>18</w:t>
            </w:r>
          </w:p>
        </w:tc>
      </w:tr>
      <w:tr w14:paraId="3F5CC6F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D567D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999AA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1AC16">
            <w:pPr>
              <w:jc w:val="center"/>
            </w:pPr>
            <w:r>
              <w:rPr>
                <w:rFonts w:ascii="宋体" w:hAnsi="宋体" w:eastAsia="宋体"/>
                <w:sz w:val="16"/>
              </w:rPr>
              <w:t>农村改厕户数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50B6E8">
            <w:pPr>
              <w:jc w:val="center"/>
            </w:pPr>
            <w:r>
              <w:rPr>
                <w:rFonts w:ascii="宋体" w:hAnsi="宋体" w:eastAsia="宋体"/>
                <w:sz w:val="16"/>
              </w:rPr>
              <w:t>&gt;=270户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C21C61">
            <w:pPr>
              <w:jc w:val="center"/>
            </w:pPr>
            <w:r>
              <w:rPr>
                <w:rFonts w:ascii="宋体" w:hAnsi="宋体" w:eastAsia="宋体"/>
                <w:sz w:val="16"/>
              </w:rPr>
              <w:t>芦草沟镇工作报告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A2F72D">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06714F">
            <w:pPr>
              <w:jc w:val="center"/>
            </w:pPr>
            <w:r>
              <w:rPr>
                <w:rFonts w:ascii="宋体" w:hAnsi="宋体" w:eastAsia="宋体"/>
                <w:sz w:val="16"/>
              </w:rPr>
              <w:t>433户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F59CCD">
            <w:pPr>
              <w:jc w:val="center"/>
            </w:pPr>
            <w:r>
              <w:rPr>
                <w:rFonts w:ascii="宋体" w:hAnsi="宋体" w:eastAsia="宋体"/>
                <w:sz w:val="16"/>
              </w:rPr>
              <w:t>18</w:t>
            </w:r>
          </w:p>
        </w:tc>
      </w:tr>
      <w:tr w14:paraId="053CAB6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AFFE16">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5EC7B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ED3891">
            <w:pPr>
              <w:jc w:val="center"/>
            </w:pPr>
            <w:r>
              <w:rPr>
                <w:rFonts w:ascii="宋体" w:hAnsi="宋体" w:eastAsia="宋体"/>
                <w:sz w:val="16"/>
              </w:rPr>
              <w:t>劳动力转移就业人数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9886D9">
            <w:pPr>
              <w:jc w:val="center"/>
            </w:pPr>
            <w:r>
              <w:rPr>
                <w:rFonts w:ascii="宋体" w:hAnsi="宋体" w:eastAsia="宋体"/>
                <w:sz w:val="16"/>
              </w:rPr>
              <w:t>&gt;=12000人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10DFD3">
            <w:pPr>
              <w:jc w:val="center"/>
            </w:pPr>
            <w:r>
              <w:rPr>
                <w:rFonts w:ascii="宋体" w:hAnsi="宋体" w:eastAsia="宋体"/>
                <w:sz w:val="16"/>
              </w:rPr>
              <w:t>芦草沟镇工作报告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E7D245">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44C189">
            <w:pPr>
              <w:jc w:val="center"/>
            </w:pPr>
            <w:r>
              <w:rPr>
                <w:rFonts w:ascii="宋体" w:hAnsi="宋体" w:eastAsia="宋体"/>
                <w:sz w:val="16"/>
              </w:rPr>
              <w:t>12372人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8EC577">
            <w:pPr>
              <w:jc w:val="center"/>
            </w:pPr>
            <w:r>
              <w:rPr>
                <w:rFonts w:ascii="宋体" w:hAnsi="宋体" w:eastAsia="宋体"/>
                <w:sz w:val="16"/>
              </w:rPr>
              <w:t>18</w:t>
            </w:r>
          </w:p>
        </w:tc>
      </w:tr>
    </w:tbl>
    <w:p w14:paraId="2F9FD46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776"/>
        <w:gridCol w:w="632"/>
        <w:gridCol w:w="632"/>
        <w:gridCol w:w="632"/>
        <w:gridCol w:w="632"/>
        <w:gridCol w:w="632"/>
        <w:gridCol w:w="632"/>
      </w:tblGrid>
      <w:tr w14:paraId="33409433">
        <w:tblPrEx>
          <w:tblCellMar>
            <w:top w:w="0" w:type="dxa"/>
            <w:left w:w="108" w:type="dxa"/>
            <w:bottom w:w="0" w:type="dxa"/>
            <w:right w:w="108" w:type="dxa"/>
          </w:tblCellMar>
        </w:tblPrEx>
        <w:tc>
          <w:tcPr>
            <w:tcW w:w="8848" w:type="dxa"/>
            <w:gridSpan w:val="14"/>
            <w:vAlign w:val="center"/>
          </w:tcPr>
          <w:p w14:paraId="2D43E240">
            <w:pPr>
              <w:jc w:val="center"/>
            </w:pPr>
            <w:r>
              <w:rPr>
                <w:rFonts w:ascii="宋体" w:hAnsi="宋体" w:eastAsia="宋体"/>
                <w:sz w:val="24"/>
              </w:rPr>
              <w:t>项目支出绩效自评表</w:t>
            </w:r>
          </w:p>
        </w:tc>
      </w:tr>
      <w:tr w14:paraId="2261579E">
        <w:tblPrEx>
          <w:tblCellMar>
            <w:top w:w="0" w:type="dxa"/>
            <w:left w:w="108" w:type="dxa"/>
            <w:bottom w:w="0" w:type="dxa"/>
            <w:right w:w="108" w:type="dxa"/>
          </w:tblCellMar>
        </w:tblPrEx>
        <w:tc>
          <w:tcPr>
            <w:tcW w:w="8848" w:type="dxa"/>
            <w:gridSpan w:val="14"/>
            <w:vAlign w:val="center"/>
          </w:tcPr>
          <w:p w14:paraId="53980FA3">
            <w:pPr>
              <w:jc w:val="center"/>
            </w:pPr>
            <w:r>
              <w:rPr>
                <w:rFonts w:ascii="宋体" w:hAnsi="宋体" w:eastAsia="宋体"/>
                <w:sz w:val="24"/>
              </w:rPr>
              <w:t>(2024年度)</w:t>
            </w:r>
          </w:p>
        </w:tc>
      </w:tr>
      <w:tr w14:paraId="048D5C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49EE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39567F">
            <w:pPr>
              <w:jc w:val="center"/>
            </w:pPr>
            <w:r>
              <w:rPr>
                <w:rFonts w:ascii="宋体" w:hAnsi="宋体" w:eastAsia="宋体"/>
                <w:sz w:val="16"/>
              </w:rPr>
              <w:t>农村综合改革转移支付</w:t>
            </w:r>
          </w:p>
        </w:tc>
      </w:tr>
      <w:tr w14:paraId="37AB27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5ACC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996FAD">
            <w:pPr>
              <w:jc w:val="center"/>
            </w:pPr>
            <w:r>
              <w:rPr>
                <w:rFonts w:ascii="宋体" w:hAnsi="宋体" w:eastAsia="宋体"/>
                <w:sz w:val="16"/>
              </w:rPr>
              <w:t>霍城县芦草沟镇人民政府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6465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50A088">
            <w:pPr>
              <w:jc w:val="center"/>
            </w:pPr>
            <w:r>
              <w:rPr>
                <w:rFonts w:ascii="宋体" w:hAnsi="宋体" w:eastAsia="宋体"/>
                <w:sz w:val="16"/>
              </w:rPr>
              <w:t>霍城县芦草沟镇人民政府</w:t>
            </w:r>
          </w:p>
        </w:tc>
      </w:tr>
      <w:tr w14:paraId="18C1F9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4CEF04">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99CD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1554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6E24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2BA4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77F2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A380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9F4D3">
            <w:pPr>
              <w:jc w:val="center"/>
            </w:pPr>
            <w:r>
              <w:rPr>
                <w:rFonts w:ascii="宋体" w:hAnsi="宋体" w:eastAsia="宋体"/>
                <w:sz w:val="16"/>
              </w:rPr>
              <w:t>得分</w:t>
            </w:r>
          </w:p>
        </w:tc>
      </w:tr>
      <w:tr w14:paraId="0506AF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935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0A27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6FF31">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A4913">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8761B">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932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F6B8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0905C">
            <w:pPr>
              <w:jc w:val="center"/>
            </w:pPr>
            <w:r>
              <w:rPr>
                <w:rFonts w:ascii="宋体" w:hAnsi="宋体" w:eastAsia="宋体"/>
                <w:sz w:val="16"/>
              </w:rPr>
              <w:t>10.00</w:t>
            </w:r>
          </w:p>
        </w:tc>
      </w:tr>
      <w:tr w14:paraId="2A59CE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BFD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DED2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7E015">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E3497">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22798">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B2B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524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BD480">
            <w:pPr>
              <w:jc w:val="center"/>
            </w:pPr>
            <w:r>
              <w:rPr>
                <w:rFonts w:ascii="宋体" w:hAnsi="宋体" w:eastAsia="宋体"/>
                <w:sz w:val="16"/>
              </w:rPr>
              <w:t>—</w:t>
            </w:r>
          </w:p>
        </w:tc>
      </w:tr>
      <w:tr w14:paraId="7C03F5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5F5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72DC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8A7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3A8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038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975B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174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8C03B">
            <w:pPr>
              <w:jc w:val="center"/>
            </w:pPr>
            <w:r>
              <w:rPr>
                <w:rFonts w:ascii="宋体" w:hAnsi="宋体" w:eastAsia="宋体"/>
                <w:sz w:val="16"/>
              </w:rPr>
              <w:t>—</w:t>
            </w:r>
          </w:p>
        </w:tc>
      </w:tr>
      <w:tr w14:paraId="4B9B91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55D07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5D1B3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F8DAE2">
            <w:pPr>
              <w:jc w:val="center"/>
            </w:pPr>
            <w:r>
              <w:rPr>
                <w:rFonts w:ascii="宋体" w:hAnsi="宋体" w:eastAsia="宋体"/>
                <w:sz w:val="16"/>
              </w:rPr>
              <w:t>实际完成情况</w:t>
            </w:r>
          </w:p>
        </w:tc>
      </w:tr>
      <w:tr w14:paraId="694C90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2507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F210F5">
            <w:pPr>
              <w:jc w:val="both"/>
            </w:pPr>
            <w:r>
              <w:rPr>
                <w:rFonts w:ascii="宋体" w:hAnsi="宋体" w:eastAsia="宋体"/>
                <w:sz w:val="16"/>
              </w:rPr>
              <w:t>本项目实施地点位于芦草沟镇墩买里村。通过项目建设，改善人民出行条件，提高居民满意度，保障项目顺利实施并投入使用，有利于新农村建设步伐加快，有利于农民生产生活水平的提高。1、推进农村公益事业建设，提升农村</w:t>
            </w:r>
            <w:r>
              <w:rPr>
                <w:rFonts w:hint="eastAsia" w:ascii="宋体" w:hAnsi="宋体"/>
                <w:sz w:val="16"/>
                <w:lang w:eastAsia="zh-CN"/>
              </w:rPr>
              <w:t>人居</w:t>
            </w:r>
            <w:r>
              <w:rPr>
                <w:rFonts w:ascii="宋体" w:hAnsi="宋体" w:eastAsia="宋体"/>
                <w:sz w:val="16"/>
              </w:rPr>
              <w:t>环境。2、计划安装100盏路灯。</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6E6A54">
            <w:pPr>
              <w:jc w:val="both"/>
            </w:pPr>
            <w:r>
              <w:rPr>
                <w:rFonts w:ascii="宋体" w:hAnsi="宋体" w:eastAsia="宋体"/>
                <w:sz w:val="16"/>
              </w:rPr>
              <w:t>本项目实施地点位于霍城县芦草沟镇墩买里村，本项目在2024年4月15日经村“两委”会议研究决定在2024年4月26日开工。本项目安装了路灯共160盏，维修了30盏，</w:t>
            </w:r>
            <w:r>
              <w:rPr>
                <w:rFonts w:hint="eastAsia" w:ascii="宋体" w:hAnsi="宋体"/>
                <w:sz w:val="16"/>
                <w:lang w:eastAsia="zh-CN"/>
              </w:rPr>
              <w:t>截至目前</w:t>
            </w:r>
            <w:r>
              <w:rPr>
                <w:rFonts w:ascii="宋体" w:hAnsi="宋体" w:eastAsia="宋体"/>
                <w:sz w:val="16"/>
              </w:rPr>
              <w:t>此项目已完工。通过该项目的实施</w:t>
            </w:r>
            <w:r>
              <w:rPr>
                <w:rFonts w:hint="eastAsia" w:ascii="宋体" w:hAnsi="宋体"/>
                <w:sz w:val="16"/>
                <w:lang w:eastAsia="zh-CN"/>
              </w:rPr>
              <w:t>，改善</w:t>
            </w:r>
            <w:r>
              <w:rPr>
                <w:rFonts w:ascii="宋体" w:hAnsi="宋体" w:eastAsia="宋体"/>
                <w:sz w:val="16"/>
              </w:rPr>
              <w:t>人民出行条件及居民生活质量。</w:t>
            </w:r>
          </w:p>
        </w:tc>
      </w:tr>
      <w:tr w14:paraId="1BBCAA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8C34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FE96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0DAE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026B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66D9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9B75C">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0F26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F7D9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FA439">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9F09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863A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CB12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F23D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17822">
            <w:pPr>
              <w:jc w:val="center"/>
            </w:pPr>
            <w:r>
              <w:rPr>
                <w:rFonts w:ascii="宋体" w:hAnsi="宋体" w:eastAsia="宋体"/>
                <w:sz w:val="16"/>
              </w:rPr>
              <w:t>偏差原因分析及改进措施</w:t>
            </w:r>
          </w:p>
        </w:tc>
      </w:tr>
      <w:tr w14:paraId="564153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0DDAF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26FCA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F7A24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B8124">
            <w:pPr>
              <w:jc w:val="center"/>
            </w:pPr>
            <w:r>
              <w:rPr>
                <w:rFonts w:ascii="宋体" w:hAnsi="宋体" w:eastAsia="宋体"/>
                <w:sz w:val="16"/>
              </w:rPr>
              <w:t>农村公益设施建设数量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B5E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622F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F114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A1E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F7E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E84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EECF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6452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81D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9BF7C">
            <w:pPr>
              <w:jc w:val="center"/>
            </w:pPr>
          </w:p>
        </w:tc>
      </w:tr>
      <w:tr w14:paraId="270236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52F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E2A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438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0E145">
            <w:pPr>
              <w:jc w:val="center"/>
            </w:pPr>
            <w:r>
              <w:rPr>
                <w:rFonts w:ascii="宋体" w:hAnsi="宋体" w:eastAsia="宋体"/>
                <w:sz w:val="16"/>
              </w:rPr>
              <w:t>安装路灯数量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6FE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251C7">
            <w:pPr>
              <w:jc w:val="center"/>
            </w:pPr>
            <w:r>
              <w:rPr>
                <w:rFonts w:ascii="宋体" w:hAnsi="宋体" w:eastAsia="宋体"/>
                <w:sz w:val="16"/>
              </w:rPr>
              <w:t>=100盏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79567">
            <w:pPr>
              <w:jc w:val="center"/>
            </w:pPr>
            <w:r>
              <w:rPr>
                <w:rFonts w:ascii="宋体" w:hAnsi="宋体" w:eastAsia="宋体"/>
                <w:sz w:val="16"/>
              </w:rPr>
              <w:t>160盏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CA1F2">
            <w:pPr>
              <w:jc w:val="center"/>
            </w:pPr>
            <w:r>
              <w:rPr>
                <w:rFonts w:ascii="宋体" w:hAnsi="宋体" w:eastAsia="宋体"/>
                <w:sz w:val="16"/>
              </w:rPr>
              <w:t>160%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4F0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8A4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8B48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6D0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641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20433">
            <w:pPr>
              <w:jc w:val="center"/>
            </w:pPr>
            <w:r>
              <w:rPr>
                <w:rFonts w:ascii="宋体" w:hAnsi="宋体" w:eastAsia="宋体"/>
                <w:sz w:val="16"/>
              </w:rPr>
              <w:t>由于核查有误导致该指标数量增加，整改措施，加强项目摸排工作。</w:t>
            </w:r>
          </w:p>
        </w:tc>
      </w:tr>
      <w:tr w14:paraId="31F963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A84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DB6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53AC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8F04F">
            <w:pPr>
              <w:jc w:val="center"/>
            </w:pPr>
            <w:r>
              <w:rPr>
                <w:rFonts w:ascii="宋体" w:hAnsi="宋体" w:eastAsia="宋体"/>
                <w:sz w:val="16"/>
              </w:rPr>
              <w:t>村内公益设施建设验收合格率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2C4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E70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C26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2C7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F02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C34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2ABB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96F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3A8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232F5">
            <w:pPr>
              <w:jc w:val="center"/>
            </w:pPr>
          </w:p>
        </w:tc>
      </w:tr>
      <w:tr w14:paraId="16D951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DC0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2F6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3608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B3715">
            <w:pPr>
              <w:jc w:val="center"/>
            </w:pPr>
            <w:r>
              <w:rPr>
                <w:rFonts w:ascii="宋体" w:hAnsi="宋体" w:eastAsia="宋体"/>
                <w:sz w:val="16"/>
              </w:rPr>
              <w:t>财政资金下达及时性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B3F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BD96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E87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AD4C2">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7A7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CAE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3A23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63D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7C8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C3C9B">
            <w:pPr>
              <w:jc w:val="center"/>
            </w:pPr>
            <w:r>
              <w:rPr>
                <w:rFonts w:ascii="宋体" w:hAnsi="宋体" w:eastAsia="宋体"/>
                <w:sz w:val="16"/>
              </w:rPr>
              <w:t>已按照本年度工作完成指标所涉及的工作。</w:t>
            </w:r>
          </w:p>
        </w:tc>
      </w:tr>
      <w:tr w14:paraId="1B87D8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B0D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A9B4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E522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4D5A5">
            <w:pPr>
              <w:jc w:val="center"/>
            </w:pPr>
            <w:r>
              <w:rPr>
                <w:rFonts w:ascii="宋体" w:hAnsi="宋体" w:eastAsia="宋体"/>
                <w:sz w:val="16"/>
              </w:rPr>
              <w:t>安装路灯成本控制价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F300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3A36E">
            <w:pPr>
              <w:jc w:val="center"/>
            </w:pPr>
            <w:r>
              <w:rPr>
                <w:rFonts w:ascii="宋体" w:hAnsi="宋体" w:eastAsia="宋体"/>
                <w:sz w:val="16"/>
              </w:rPr>
              <w:t>&lt;=5000元/盏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684AC">
            <w:pPr>
              <w:jc w:val="center"/>
            </w:pPr>
            <w:r>
              <w:rPr>
                <w:rFonts w:ascii="宋体" w:hAnsi="宋体" w:eastAsia="宋体"/>
                <w:sz w:val="16"/>
              </w:rPr>
              <w:t>2890元/盏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D70C2">
            <w:pPr>
              <w:jc w:val="center"/>
            </w:pPr>
            <w:r>
              <w:rPr>
                <w:rFonts w:ascii="宋体" w:hAnsi="宋体" w:eastAsia="宋体"/>
                <w:sz w:val="16"/>
              </w:rPr>
              <w:t>92.48%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7A8FB">
            <w:pPr>
              <w:jc w:val="center"/>
            </w:pPr>
            <w:r>
              <w:rPr>
                <w:rFonts w:ascii="宋体" w:hAnsi="宋体" w:eastAsia="宋体"/>
                <w:sz w:val="16"/>
              </w:rPr>
              <w:t>18.5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3DA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1773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EA0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604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D3C6A">
            <w:pPr>
              <w:jc w:val="center"/>
            </w:pPr>
            <w:r>
              <w:rPr>
                <w:rFonts w:ascii="宋体" w:hAnsi="宋体" w:eastAsia="宋体"/>
                <w:sz w:val="16"/>
              </w:rPr>
              <w:t>由于安装路灯数量增多，导致每盏路灯购买成本降低。整改措施，加强项目摸排工作。</w:t>
            </w:r>
          </w:p>
        </w:tc>
      </w:tr>
      <w:tr w14:paraId="7FD297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FCB0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3FAD2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7FF4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10239">
            <w:pPr>
              <w:jc w:val="center"/>
            </w:pPr>
            <w:r>
              <w:rPr>
                <w:rFonts w:ascii="宋体" w:hAnsi="宋体" w:eastAsia="宋体"/>
                <w:sz w:val="16"/>
              </w:rPr>
              <w:t>农村公益事业滚动项目库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B8A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F2485">
            <w:pPr>
              <w:jc w:val="center"/>
            </w:pPr>
            <w:r>
              <w:rPr>
                <w:rFonts w:ascii="宋体" w:hAnsi="宋体" w:eastAsia="宋体"/>
                <w:sz w:val="16"/>
              </w:rPr>
              <w:t>基本建立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ED5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8AA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F41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DF6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FA44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D7FA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706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FBAB5">
            <w:pPr>
              <w:jc w:val="center"/>
            </w:pPr>
          </w:p>
        </w:tc>
      </w:tr>
      <w:tr w14:paraId="2A45B6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B95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2A1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88710">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D32CA">
            <w:pPr>
              <w:jc w:val="center"/>
            </w:pPr>
            <w:r>
              <w:rPr>
                <w:rFonts w:ascii="宋体" w:hAnsi="宋体" w:eastAsia="宋体"/>
                <w:sz w:val="16"/>
              </w:rPr>
              <w:t>农村人居环境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C37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43CAE">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F01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20F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F8F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51E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735F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EA69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FFC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0EEF2">
            <w:pPr>
              <w:jc w:val="center"/>
            </w:pPr>
          </w:p>
        </w:tc>
      </w:tr>
      <w:tr w14:paraId="2B3ED6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EDD9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92F94E">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76DA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EDBBB">
            <w:pPr>
              <w:jc w:val="center"/>
            </w:pPr>
            <w:r>
              <w:rPr>
                <w:rFonts w:ascii="宋体" w:hAnsi="宋体" w:eastAsia="宋体"/>
                <w:sz w:val="16"/>
              </w:rPr>
              <w:t>项目区受益农民满意度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36B1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8079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466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F9E58">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31E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4D6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170D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1849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F0B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95E46">
            <w:pPr>
              <w:jc w:val="center"/>
            </w:pPr>
            <w:r>
              <w:rPr>
                <w:rFonts w:ascii="宋体" w:hAnsi="宋体" w:eastAsia="宋体"/>
                <w:sz w:val="16"/>
              </w:rPr>
              <w:t>已按照本年度工作完成该条指标所涉及的工作。</w:t>
            </w:r>
          </w:p>
        </w:tc>
      </w:tr>
      <w:tr w14:paraId="313403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F43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83E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24E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D4C6C">
            <w:pPr>
              <w:jc w:val="center"/>
            </w:pPr>
            <w:r>
              <w:rPr>
                <w:rFonts w:ascii="宋体" w:hAnsi="宋体" w:eastAsia="宋体"/>
                <w:sz w:val="16"/>
              </w:rPr>
              <w:t>项目区</w:t>
            </w:r>
            <w:r>
              <w:rPr>
                <w:rFonts w:hint="eastAsia" w:ascii="宋体" w:hAnsi="宋体"/>
                <w:sz w:val="16"/>
                <w:lang w:eastAsia="zh-CN"/>
              </w:rPr>
              <w:t>基层干部</w:t>
            </w:r>
            <w:r>
              <w:rPr>
                <w:rFonts w:ascii="宋体" w:hAnsi="宋体" w:eastAsia="宋体"/>
                <w:sz w:val="16"/>
              </w:rPr>
              <w:t>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089E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F54C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833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6EDC3">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A9BB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521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7D9C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B2D6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F5D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CD5AA">
            <w:pPr>
              <w:jc w:val="center"/>
            </w:pPr>
            <w:r>
              <w:rPr>
                <w:rFonts w:ascii="宋体" w:hAnsi="宋体" w:eastAsia="宋体"/>
                <w:sz w:val="16"/>
              </w:rPr>
              <w:t>已按照本年度工作完成指标所涉及的工作。</w:t>
            </w:r>
          </w:p>
        </w:tc>
      </w:tr>
      <w:tr w14:paraId="4A00C72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61A69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839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9360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80D52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D395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70844">
            <w:pPr>
              <w:jc w:val="center"/>
            </w:pPr>
            <w:r>
              <w:rPr>
                <w:rFonts w:ascii="宋体" w:hAnsi="宋体" w:eastAsia="宋体"/>
                <w:sz w:val="16"/>
              </w:rPr>
              <w:t>98.5分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2AF60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319B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9C25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01AD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1F6DEC"/>
        </w:tc>
      </w:tr>
    </w:tbl>
    <w:p w14:paraId="07D2DFB7">
      <w:r>
        <w:br w:type="page"/>
      </w:r>
    </w:p>
    <w:tbl>
      <w:tblPr>
        <w:tblStyle w:val="9"/>
        <w:tblW w:w="0" w:type="auto"/>
        <w:tblInd w:w="0" w:type="dxa"/>
        <w:tblLayout w:type="autofit"/>
        <w:tblCellMar>
          <w:top w:w="0" w:type="dxa"/>
          <w:left w:w="108" w:type="dxa"/>
          <w:bottom w:w="0" w:type="dxa"/>
          <w:right w:w="108" w:type="dxa"/>
        </w:tblCellMar>
      </w:tblPr>
      <w:tblGrid>
        <w:gridCol w:w="619"/>
        <w:gridCol w:w="597"/>
        <w:gridCol w:w="597"/>
        <w:gridCol w:w="597"/>
        <w:gridCol w:w="608"/>
        <w:gridCol w:w="936"/>
        <w:gridCol w:w="856"/>
        <w:gridCol w:w="619"/>
        <w:gridCol w:w="608"/>
        <w:gridCol w:w="597"/>
        <w:gridCol w:w="597"/>
        <w:gridCol w:w="599"/>
        <w:gridCol w:w="599"/>
        <w:gridCol w:w="631"/>
      </w:tblGrid>
      <w:tr w14:paraId="74CCEB2C">
        <w:tblPrEx>
          <w:tblCellMar>
            <w:top w:w="0" w:type="dxa"/>
            <w:left w:w="108" w:type="dxa"/>
            <w:bottom w:w="0" w:type="dxa"/>
            <w:right w:w="108" w:type="dxa"/>
          </w:tblCellMar>
        </w:tblPrEx>
        <w:tc>
          <w:tcPr>
            <w:tcW w:w="8848" w:type="dxa"/>
            <w:gridSpan w:val="14"/>
            <w:vAlign w:val="center"/>
          </w:tcPr>
          <w:p w14:paraId="0699EC4E">
            <w:pPr>
              <w:jc w:val="center"/>
            </w:pPr>
            <w:r>
              <w:rPr>
                <w:rFonts w:ascii="宋体" w:hAnsi="宋体" w:eastAsia="宋体"/>
                <w:sz w:val="24"/>
              </w:rPr>
              <w:t>项目支出绩效自评表</w:t>
            </w:r>
          </w:p>
        </w:tc>
      </w:tr>
      <w:tr w14:paraId="6A3D09F4">
        <w:tblPrEx>
          <w:tblCellMar>
            <w:top w:w="0" w:type="dxa"/>
            <w:left w:w="108" w:type="dxa"/>
            <w:bottom w:w="0" w:type="dxa"/>
            <w:right w:w="108" w:type="dxa"/>
          </w:tblCellMar>
        </w:tblPrEx>
        <w:tc>
          <w:tcPr>
            <w:tcW w:w="8848" w:type="dxa"/>
            <w:gridSpan w:val="14"/>
            <w:vAlign w:val="center"/>
          </w:tcPr>
          <w:p w14:paraId="4926DB21">
            <w:pPr>
              <w:jc w:val="center"/>
            </w:pPr>
            <w:r>
              <w:rPr>
                <w:rFonts w:ascii="宋体" w:hAnsi="宋体" w:eastAsia="宋体"/>
                <w:sz w:val="24"/>
              </w:rPr>
              <w:t>(2024年度)</w:t>
            </w:r>
          </w:p>
        </w:tc>
      </w:tr>
      <w:tr w14:paraId="542B36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F2E9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FCA6A0">
            <w:pPr>
              <w:jc w:val="center"/>
            </w:pPr>
            <w:r>
              <w:rPr>
                <w:rFonts w:ascii="宋体" w:hAnsi="宋体" w:eastAsia="宋体"/>
                <w:sz w:val="16"/>
              </w:rPr>
              <w:t>新疆霍城县果子沟阿力麻里建设项目征收补偿款</w:t>
            </w:r>
          </w:p>
        </w:tc>
      </w:tr>
      <w:tr w14:paraId="72E621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04D4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3D3706">
            <w:pPr>
              <w:jc w:val="center"/>
            </w:pPr>
            <w:r>
              <w:rPr>
                <w:rFonts w:ascii="宋体" w:hAnsi="宋体" w:eastAsia="宋体"/>
                <w:sz w:val="16"/>
              </w:rPr>
              <w:t>霍城县芦草沟镇人民政府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89A5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09B322">
            <w:pPr>
              <w:jc w:val="center"/>
            </w:pPr>
            <w:r>
              <w:rPr>
                <w:rFonts w:ascii="宋体" w:hAnsi="宋体" w:eastAsia="宋体"/>
                <w:sz w:val="16"/>
              </w:rPr>
              <w:t>霍城县芦草沟镇人民政府</w:t>
            </w:r>
          </w:p>
        </w:tc>
      </w:tr>
      <w:tr w14:paraId="3CBAFF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56401F">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C0E2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8838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88F1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569F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67C8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4E24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AB664">
            <w:pPr>
              <w:jc w:val="center"/>
            </w:pPr>
            <w:r>
              <w:rPr>
                <w:rFonts w:ascii="宋体" w:hAnsi="宋体" w:eastAsia="宋体"/>
                <w:sz w:val="16"/>
              </w:rPr>
              <w:t>得分</w:t>
            </w:r>
          </w:p>
        </w:tc>
      </w:tr>
      <w:tr w14:paraId="342718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9C2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373A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94CDC">
            <w:pPr>
              <w:jc w:val="center"/>
            </w:pPr>
            <w:r>
              <w:rPr>
                <w:rFonts w:ascii="宋体" w:hAnsi="宋体" w:eastAsia="宋体"/>
                <w:sz w:val="16"/>
              </w:rPr>
              <w:t>592.41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43780">
            <w:pPr>
              <w:jc w:val="center"/>
            </w:pPr>
            <w:r>
              <w:rPr>
                <w:rFonts w:ascii="宋体" w:hAnsi="宋体" w:eastAsia="宋体"/>
                <w:sz w:val="16"/>
              </w:rPr>
              <w:t>592.41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DC13A">
            <w:pPr>
              <w:jc w:val="center"/>
            </w:pPr>
            <w:r>
              <w:rPr>
                <w:rFonts w:ascii="宋体" w:hAnsi="宋体" w:eastAsia="宋体"/>
                <w:sz w:val="16"/>
              </w:rPr>
              <w:t>592.41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2A3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912F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6BE94">
            <w:pPr>
              <w:jc w:val="center"/>
            </w:pPr>
            <w:r>
              <w:rPr>
                <w:rFonts w:ascii="宋体" w:hAnsi="宋体" w:eastAsia="宋体"/>
                <w:sz w:val="16"/>
              </w:rPr>
              <w:t>10.00</w:t>
            </w:r>
          </w:p>
        </w:tc>
      </w:tr>
      <w:tr w14:paraId="374AC3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775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32BC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3CA61">
            <w:pPr>
              <w:jc w:val="center"/>
            </w:pPr>
            <w:r>
              <w:rPr>
                <w:rFonts w:ascii="宋体" w:hAnsi="宋体" w:eastAsia="宋体"/>
                <w:sz w:val="16"/>
              </w:rPr>
              <w:t>592.41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5AF8E">
            <w:pPr>
              <w:jc w:val="center"/>
            </w:pPr>
            <w:r>
              <w:rPr>
                <w:rFonts w:ascii="宋体" w:hAnsi="宋体" w:eastAsia="宋体"/>
                <w:sz w:val="16"/>
              </w:rPr>
              <w:t>592.41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F4FC3">
            <w:pPr>
              <w:jc w:val="center"/>
            </w:pPr>
            <w:r>
              <w:rPr>
                <w:rFonts w:ascii="宋体" w:hAnsi="宋体" w:eastAsia="宋体"/>
                <w:sz w:val="16"/>
              </w:rPr>
              <w:t>592.41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EE0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395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C6DB8">
            <w:pPr>
              <w:jc w:val="center"/>
            </w:pPr>
            <w:r>
              <w:rPr>
                <w:rFonts w:ascii="宋体" w:hAnsi="宋体" w:eastAsia="宋体"/>
                <w:sz w:val="16"/>
              </w:rPr>
              <w:t>—</w:t>
            </w:r>
          </w:p>
        </w:tc>
      </w:tr>
      <w:tr w14:paraId="0F6BBC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650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6A29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9CF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A06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F5F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4AC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CC6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FD2CA">
            <w:pPr>
              <w:jc w:val="center"/>
            </w:pPr>
            <w:r>
              <w:rPr>
                <w:rFonts w:ascii="宋体" w:hAnsi="宋体" w:eastAsia="宋体"/>
                <w:sz w:val="16"/>
              </w:rPr>
              <w:t>—</w:t>
            </w:r>
          </w:p>
        </w:tc>
      </w:tr>
      <w:tr w14:paraId="4B71FF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1E4A0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1F022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C58468">
            <w:pPr>
              <w:jc w:val="center"/>
            </w:pPr>
            <w:r>
              <w:rPr>
                <w:rFonts w:ascii="宋体" w:hAnsi="宋体" w:eastAsia="宋体"/>
                <w:sz w:val="16"/>
              </w:rPr>
              <w:t>实际完成情况</w:t>
            </w:r>
          </w:p>
        </w:tc>
      </w:tr>
      <w:tr w14:paraId="02FCDC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4527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838CD8">
            <w:pPr>
              <w:jc w:val="both"/>
            </w:pPr>
            <w:r>
              <w:rPr>
                <w:rFonts w:ascii="宋体" w:hAnsi="宋体" w:eastAsia="宋体"/>
                <w:sz w:val="16"/>
              </w:rPr>
              <w:t>推动霍城县果子沟阿力麻里项目主游客服务中心建设顺利进行，征收土地共计15141.33平方米、果园30.2亩，第一笔偿还资金50万元、第二笔偿还资金200万元、第三笔偿还资金142.41万元、第四笔偿还资金200万元，合计592.41万元。在土地征收过程中，遵循法定的程序和标准。阿力麻里项目的建设</w:t>
            </w:r>
            <w:r>
              <w:rPr>
                <w:rFonts w:hint="eastAsia" w:ascii="宋体" w:hAnsi="宋体"/>
                <w:sz w:val="16"/>
                <w:lang w:eastAsia="zh-CN"/>
              </w:rPr>
              <w:t>将以</w:t>
            </w:r>
            <w:r>
              <w:rPr>
                <w:rFonts w:ascii="宋体" w:hAnsi="宋体" w:eastAsia="宋体"/>
                <w:sz w:val="16"/>
              </w:rPr>
              <w:t>全面</w:t>
            </w:r>
            <w:r>
              <w:rPr>
                <w:rFonts w:hint="eastAsia" w:ascii="宋体" w:hAnsi="宋体"/>
                <w:sz w:val="16"/>
                <w:lang w:eastAsia="zh-CN"/>
              </w:rPr>
              <w:t>建设好</w:t>
            </w:r>
            <w:r>
              <w:rPr>
                <w:rFonts w:ascii="宋体" w:hAnsi="宋体" w:eastAsia="宋体"/>
                <w:sz w:val="16"/>
              </w:rPr>
              <w:t>基础设施，大大提高服务水平和质量，提高果子沟知名度和美誉度，推动现代旅游业的快速发展，促进果子沟</w:t>
            </w:r>
            <w:r>
              <w:rPr>
                <w:rFonts w:hint="eastAsia" w:ascii="宋体" w:hAnsi="宋体"/>
                <w:sz w:val="16"/>
                <w:lang w:eastAsia="zh-CN"/>
              </w:rPr>
              <w:t>－</w:t>
            </w:r>
            <w:r>
              <w:rPr>
                <w:rFonts w:ascii="宋体" w:hAnsi="宋体" w:eastAsia="宋体"/>
                <w:sz w:val="16"/>
              </w:rPr>
              <w:t>赛里木湖可持续发展，综合社会效益明显，推动霍城县社会全面发展，促进沿线优势资源甘特图具有重要意义。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790FEF">
            <w:pPr>
              <w:jc w:val="both"/>
            </w:pPr>
            <w:r>
              <w:rPr>
                <w:rFonts w:ascii="宋体" w:hAnsi="宋体" w:eastAsia="宋体"/>
                <w:sz w:val="16"/>
              </w:rPr>
              <w:t>该项目的实施推进旅游名镇的需要，征收土地共计15141.33平方米，果园30.2亩，第一笔偿还资金50万元，第二笔偿还资金200万元，第三笔偿还资金142.41万元，第四笔偿还资金200</w:t>
            </w:r>
            <w:r>
              <w:rPr>
                <w:rFonts w:hint="eastAsia" w:ascii="宋体" w:hAnsi="宋体"/>
                <w:sz w:val="16"/>
                <w:lang w:eastAsia="zh-CN"/>
              </w:rPr>
              <w:t>万元</w:t>
            </w:r>
            <w:r>
              <w:rPr>
                <w:rFonts w:ascii="宋体" w:hAnsi="宋体" w:eastAsia="宋体"/>
                <w:sz w:val="16"/>
              </w:rPr>
              <w:t>，合计592.41万元符合现代化新农村建设的要求，切合芦草沟镇旅游环境实际，提高游客幸福及满意度，保障项目顺利实施并投入使用，有利于推进我镇美丽乡村建设步伐，将芳香文化与特色产业有效融合，</w:t>
            </w:r>
            <w:r>
              <w:rPr>
                <w:rFonts w:hint="eastAsia" w:ascii="宋体" w:hAnsi="宋体"/>
                <w:sz w:val="16"/>
                <w:lang w:eastAsia="zh-CN"/>
              </w:rPr>
              <w:t>进一步</w:t>
            </w:r>
            <w:r>
              <w:rPr>
                <w:rFonts w:ascii="宋体" w:hAnsi="宋体" w:eastAsia="宋体"/>
                <w:sz w:val="16"/>
              </w:rPr>
              <w:t>提升美丽乡村文化</w:t>
            </w:r>
            <w:r>
              <w:rPr>
                <w:rFonts w:hint="eastAsia" w:ascii="宋体" w:hAnsi="宋体"/>
                <w:sz w:val="16"/>
                <w:lang w:eastAsia="zh-CN"/>
              </w:rPr>
              <w:t>品位</w:t>
            </w:r>
            <w:r>
              <w:rPr>
                <w:rFonts w:ascii="宋体" w:hAnsi="宋体" w:eastAsia="宋体"/>
                <w:sz w:val="16"/>
              </w:rPr>
              <w:t>。</w:t>
            </w:r>
          </w:p>
        </w:tc>
      </w:tr>
      <w:tr w14:paraId="2776F1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8010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E556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5EBB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384A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E9A4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FFDFF">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7499B">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B4C4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C0026">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1EA8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46EB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5D19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21F9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023E9">
            <w:pPr>
              <w:jc w:val="center"/>
            </w:pPr>
            <w:r>
              <w:rPr>
                <w:rFonts w:ascii="宋体" w:hAnsi="宋体" w:eastAsia="宋体"/>
                <w:sz w:val="16"/>
              </w:rPr>
              <w:t>偏差原因分析及改进措施</w:t>
            </w:r>
          </w:p>
        </w:tc>
      </w:tr>
      <w:tr w14:paraId="4A3DCD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1E6E8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EC46B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3655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ED4C2">
            <w:pPr>
              <w:jc w:val="center"/>
            </w:pPr>
            <w:r>
              <w:rPr>
                <w:rFonts w:ascii="宋体" w:hAnsi="宋体" w:eastAsia="宋体"/>
                <w:sz w:val="16"/>
              </w:rPr>
              <w:t>征收企业土地面积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D805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21C6C">
            <w:pPr>
              <w:jc w:val="center"/>
            </w:pPr>
            <w:r>
              <w:rPr>
                <w:rFonts w:ascii="宋体" w:hAnsi="宋体" w:eastAsia="宋体"/>
                <w:sz w:val="16"/>
              </w:rPr>
              <w:t>=15141.33平方米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29A53">
            <w:pPr>
              <w:jc w:val="center"/>
            </w:pPr>
            <w:r>
              <w:rPr>
                <w:rFonts w:ascii="宋体" w:hAnsi="宋体" w:eastAsia="宋体"/>
                <w:sz w:val="16"/>
              </w:rPr>
              <w:t>15141.33平方米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C41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0434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2FD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045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4AE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0FC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E1653">
            <w:pPr>
              <w:jc w:val="center"/>
            </w:pPr>
          </w:p>
        </w:tc>
      </w:tr>
      <w:tr w14:paraId="5A105E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820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375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686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CF5AA">
            <w:pPr>
              <w:jc w:val="center"/>
            </w:pPr>
            <w:r>
              <w:rPr>
                <w:rFonts w:ascii="宋体" w:hAnsi="宋体" w:eastAsia="宋体"/>
                <w:sz w:val="16"/>
              </w:rPr>
              <w:t>征收企业数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CB8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29B17">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711A4">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9BE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8FB6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0F9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E6C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D86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0FF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2A576">
            <w:pPr>
              <w:jc w:val="center"/>
            </w:pPr>
          </w:p>
        </w:tc>
      </w:tr>
      <w:tr w14:paraId="01C17E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EDB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625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EC2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B9B7C">
            <w:pPr>
              <w:jc w:val="center"/>
            </w:pPr>
            <w:r>
              <w:rPr>
                <w:rFonts w:ascii="宋体" w:hAnsi="宋体" w:eastAsia="宋体"/>
                <w:sz w:val="16"/>
              </w:rPr>
              <w:t>征收企业房屋建筑面积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4992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5B956">
            <w:pPr>
              <w:jc w:val="center"/>
            </w:pPr>
            <w:r>
              <w:rPr>
                <w:rFonts w:ascii="宋体" w:hAnsi="宋体" w:eastAsia="宋体"/>
                <w:sz w:val="16"/>
              </w:rPr>
              <w:t>=683平方米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9D4E3">
            <w:pPr>
              <w:jc w:val="center"/>
            </w:pPr>
            <w:r>
              <w:rPr>
                <w:rFonts w:ascii="宋体" w:hAnsi="宋体" w:eastAsia="宋体"/>
                <w:sz w:val="16"/>
              </w:rPr>
              <w:t>683平方米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242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EE1E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3A8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3FE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108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244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9B172">
            <w:pPr>
              <w:jc w:val="center"/>
            </w:pPr>
          </w:p>
        </w:tc>
      </w:tr>
      <w:tr w14:paraId="204C27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3E9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523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EBA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A9DC7">
            <w:pPr>
              <w:jc w:val="center"/>
            </w:pPr>
            <w:r>
              <w:rPr>
                <w:rFonts w:ascii="宋体" w:hAnsi="宋体" w:eastAsia="宋体"/>
                <w:sz w:val="16"/>
              </w:rPr>
              <w:t>征收企业雨棚面积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BD38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A1202">
            <w:pPr>
              <w:jc w:val="center"/>
            </w:pPr>
            <w:r>
              <w:rPr>
                <w:rFonts w:ascii="宋体" w:hAnsi="宋体" w:eastAsia="宋体"/>
                <w:sz w:val="16"/>
              </w:rPr>
              <w:t>=1317平方米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80583">
            <w:pPr>
              <w:jc w:val="center"/>
            </w:pPr>
            <w:r>
              <w:rPr>
                <w:rFonts w:ascii="宋体" w:hAnsi="宋体" w:eastAsia="宋体"/>
                <w:sz w:val="16"/>
              </w:rPr>
              <w:t>1317平方米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04C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902D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60A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7AD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498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E2E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DDC08">
            <w:pPr>
              <w:jc w:val="center"/>
            </w:pPr>
          </w:p>
        </w:tc>
      </w:tr>
      <w:tr w14:paraId="4A2BFB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E5C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077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8F9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9EC4D">
            <w:pPr>
              <w:jc w:val="center"/>
            </w:pPr>
            <w:r>
              <w:rPr>
                <w:rFonts w:ascii="宋体" w:hAnsi="宋体" w:eastAsia="宋体"/>
                <w:sz w:val="16"/>
              </w:rPr>
              <w:t>征收个体户数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DE77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6AFCD">
            <w:pPr>
              <w:jc w:val="center"/>
            </w:pPr>
            <w:r>
              <w:rPr>
                <w:rFonts w:ascii="宋体" w:hAnsi="宋体" w:eastAsia="宋体"/>
                <w:sz w:val="16"/>
              </w:rPr>
              <w:t>=1户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85EE9">
            <w:pPr>
              <w:jc w:val="center"/>
            </w:pPr>
            <w:r>
              <w:rPr>
                <w:rFonts w:ascii="宋体" w:hAnsi="宋体" w:eastAsia="宋体"/>
                <w:sz w:val="16"/>
              </w:rPr>
              <w:t>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6E5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466A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4EC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B35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726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5F4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A1C33">
            <w:pPr>
              <w:jc w:val="center"/>
            </w:pPr>
          </w:p>
        </w:tc>
      </w:tr>
      <w:tr w14:paraId="11A381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FB6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11A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98F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B696A">
            <w:pPr>
              <w:jc w:val="center"/>
            </w:pPr>
            <w:r>
              <w:rPr>
                <w:rFonts w:ascii="宋体" w:hAnsi="宋体" w:eastAsia="宋体"/>
                <w:sz w:val="16"/>
              </w:rPr>
              <w:t>征收个体户果园面积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58C3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07443">
            <w:pPr>
              <w:jc w:val="center"/>
            </w:pPr>
            <w:r>
              <w:rPr>
                <w:rFonts w:ascii="宋体" w:hAnsi="宋体" w:eastAsia="宋体"/>
                <w:sz w:val="16"/>
              </w:rPr>
              <w:t>=30.20亩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526BE">
            <w:pPr>
              <w:jc w:val="center"/>
            </w:pPr>
            <w:r>
              <w:rPr>
                <w:rFonts w:ascii="宋体" w:hAnsi="宋体" w:eastAsia="宋体"/>
                <w:sz w:val="16"/>
              </w:rPr>
              <w:t>30.2亩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F91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D5EC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42D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EF8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B2C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A55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1E8C8">
            <w:pPr>
              <w:jc w:val="center"/>
            </w:pPr>
          </w:p>
        </w:tc>
      </w:tr>
      <w:tr w14:paraId="76C363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FE2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D37A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19C1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6BA1A">
            <w:pPr>
              <w:jc w:val="center"/>
            </w:pPr>
            <w:r>
              <w:rPr>
                <w:rFonts w:ascii="宋体" w:hAnsi="宋体" w:eastAsia="宋体"/>
                <w:sz w:val="16"/>
              </w:rPr>
              <w:t>土地征收合规率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F512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C8B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7EC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B26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B3F8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3D3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820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A5B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E4D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BB389">
            <w:pPr>
              <w:jc w:val="center"/>
            </w:pPr>
          </w:p>
        </w:tc>
      </w:tr>
      <w:tr w14:paraId="103796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DBF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235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CA7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3A90D">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EFA1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7F4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865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0CA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2097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4DB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B97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2C1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503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15733">
            <w:pPr>
              <w:jc w:val="center"/>
            </w:pPr>
          </w:p>
        </w:tc>
      </w:tr>
      <w:tr w14:paraId="243B28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AD9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4E2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7A6D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01E6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8C12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897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664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E20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885E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D68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409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75F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E1A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BAABE">
            <w:pPr>
              <w:jc w:val="center"/>
            </w:pPr>
          </w:p>
        </w:tc>
      </w:tr>
      <w:tr w14:paraId="5CC76A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C5F3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95D1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4F22C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93614">
            <w:pPr>
              <w:jc w:val="center"/>
            </w:pPr>
            <w:r>
              <w:rPr>
                <w:rFonts w:ascii="宋体" w:hAnsi="宋体" w:eastAsia="宋体"/>
                <w:sz w:val="16"/>
              </w:rPr>
              <w:t>第一笔偿还资金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BD02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BDF8D">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64C98">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61A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8A52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B46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B38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145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449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3AF50">
            <w:pPr>
              <w:jc w:val="center"/>
            </w:pPr>
          </w:p>
        </w:tc>
      </w:tr>
      <w:tr w14:paraId="6353E7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61E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1FB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295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0427C">
            <w:pPr>
              <w:jc w:val="center"/>
            </w:pPr>
            <w:r>
              <w:rPr>
                <w:rFonts w:ascii="宋体" w:hAnsi="宋体" w:eastAsia="宋体"/>
                <w:sz w:val="16"/>
              </w:rPr>
              <w:t>第二笔偿还资金数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1774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204CD">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0FCBE">
            <w:pPr>
              <w:jc w:val="center"/>
            </w:pPr>
            <w:r>
              <w:rPr>
                <w:rFonts w:ascii="宋体" w:hAnsi="宋体" w:eastAsia="宋体"/>
                <w:sz w:val="16"/>
              </w:rPr>
              <w: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C24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F386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E1D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5CF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1C1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25F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2943E">
            <w:pPr>
              <w:jc w:val="center"/>
            </w:pPr>
          </w:p>
        </w:tc>
      </w:tr>
      <w:tr w14:paraId="0BC4E7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58C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8A8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8EA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DBA00">
            <w:pPr>
              <w:jc w:val="center"/>
            </w:pPr>
            <w:r>
              <w:rPr>
                <w:rFonts w:ascii="宋体" w:hAnsi="宋体" w:eastAsia="宋体"/>
                <w:sz w:val="16"/>
              </w:rPr>
              <w:t>第三笔偿还金额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0D2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DDF9F">
            <w:pPr>
              <w:jc w:val="center"/>
            </w:pPr>
            <w:r>
              <w:rPr>
                <w:rFonts w:ascii="宋体" w:hAnsi="宋体" w:eastAsia="宋体"/>
                <w:sz w:val="16"/>
              </w:rPr>
              <w:t>&lt;=142.41万元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769DD">
            <w:pPr>
              <w:jc w:val="center"/>
            </w:pPr>
            <w:r>
              <w:rPr>
                <w:rFonts w:ascii="宋体" w:hAnsi="宋体" w:eastAsia="宋体"/>
                <w:sz w:val="16"/>
              </w:rPr>
              <w:t>142.41万元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E87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D0C2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B8B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9C6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634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938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B865B">
            <w:pPr>
              <w:jc w:val="center"/>
            </w:pPr>
          </w:p>
        </w:tc>
      </w:tr>
      <w:tr w14:paraId="545B08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A1F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AB5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E4C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417C2">
            <w:pPr>
              <w:jc w:val="center"/>
            </w:pPr>
            <w:r>
              <w:rPr>
                <w:rFonts w:ascii="宋体" w:hAnsi="宋体" w:eastAsia="宋体"/>
                <w:sz w:val="16"/>
              </w:rPr>
              <w:t>第四笔偿还资金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5E4F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AA2C0">
            <w:pPr>
              <w:jc w:val="center"/>
            </w:pPr>
            <w:r>
              <w:rPr>
                <w:rFonts w:ascii="宋体" w:hAnsi="宋体" w:eastAsia="宋体"/>
                <w:sz w:val="16"/>
              </w:rPr>
              <w: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6C110">
            <w:pPr>
              <w:jc w:val="center"/>
            </w:pPr>
            <w:r>
              <w:rPr>
                <w:rFonts w:ascii="宋体" w:hAnsi="宋体" w:eastAsia="宋体"/>
                <w:sz w:val="16"/>
              </w:rPr>
              <w: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A92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772E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5F7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4F4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B7F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744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BE7AB">
            <w:pPr>
              <w:jc w:val="center"/>
            </w:pPr>
          </w:p>
        </w:tc>
      </w:tr>
      <w:tr w14:paraId="7E73A1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1D7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BDFBE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5BB78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AAB04">
            <w:pPr>
              <w:jc w:val="center"/>
            </w:pPr>
            <w:r>
              <w:rPr>
                <w:rFonts w:ascii="宋体" w:hAnsi="宋体" w:eastAsia="宋体"/>
                <w:sz w:val="16"/>
              </w:rPr>
              <w:t>提高果子沟知名度和美誉度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0FAF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4A36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50ED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3BF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365B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D1F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C58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3339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FED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66506">
            <w:pPr>
              <w:jc w:val="center"/>
            </w:pPr>
          </w:p>
        </w:tc>
      </w:tr>
      <w:tr w14:paraId="733B21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B3F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BD5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877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968FE">
            <w:pPr>
              <w:jc w:val="center"/>
            </w:pPr>
            <w:r>
              <w:rPr>
                <w:rFonts w:ascii="宋体" w:hAnsi="宋体" w:eastAsia="宋体"/>
                <w:sz w:val="16"/>
              </w:rPr>
              <w:t>维护政府公信力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0294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6834B">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6436E">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4AA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CB52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756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83C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ADDF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13A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59158">
            <w:pPr>
              <w:jc w:val="center"/>
            </w:pPr>
          </w:p>
        </w:tc>
      </w:tr>
      <w:tr w14:paraId="50DD767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B189F4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D0A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ADC5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2C57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8E0F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2D0E3">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44A4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5D49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4EDC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94D4A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86EBEF"/>
        </w:tc>
      </w:tr>
    </w:tbl>
    <w:p w14:paraId="7EEF6BF3">
      <w:r>
        <w:br w:type="page"/>
      </w:r>
    </w:p>
    <w:p w14:paraId="6BAA541D">
      <w:pPr>
        <w:spacing w:line="640" w:lineRule="exact"/>
        <w:ind w:firstLine="640"/>
        <w:jc w:val="both"/>
        <w:outlineLvl w:val="2"/>
      </w:pPr>
      <w:r>
        <w:rPr>
          <w:rFonts w:ascii="黑体" w:hAnsi="黑体" w:eastAsia="黑体"/>
          <w:sz w:val="32"/>
        </w:rPr>
        <w:t>十二、其他需说明的事项</w:t>
      </w:r>
    </w:p>
    <w:p w14:paraId="5D9EA52A">
      <w:pPr>
        <w:spacing w:line="580" w:lineRule="exact"/>
        <w:ind w:firstLine="640"/>
        <w:jc w:val="both"/>
      </w:pPr>
      <w:r>
        <w:rPr>
          <w:rFonts w:ascii="仿宋_GB2312" w:hAnsi="仿宋_GB2312" w:eastAsia="仿宋_GB2312"/>
          <w:b w:val="0"/>
          <w:sz w:val="32"/>
        </w:rPr>
        <w:t>本单位无其他需说明的事项。</w:t>
      </w:r>
    </w:p>
    <w:p w14:paraId="5FB1DDBD">
      <w:r>
        <w:br w:type="page"/>
      </w:r>
    </w:p>
    <w:p w14:paraId="6AEAEBE6">
      <w:pPr>
        <w:spacing w:line="240" w:lineRule="auto"/>
        <w:jc w:val="center"/>
        <w:outlineLvl w:val="1"/>
      </w:pPr>
      <w:r>
        <w:rPr>
          <w:rFonts w:ascii="黑体" w:hAnsi="黑体" w:eastAsia="黑体"/>
          <w:sz w:val="32"/>
        </w:rPr>
        <w:t>第三部分 专业名词解释</w:t>
      </w:r>
    </w:p>
    <w:p w14:paraId="7F26A7B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296BF5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C5AD15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6C69DA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8A53ED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8D4A97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E80871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E73C0F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92DD9E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9AEA17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C94C8D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B38C61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0B6D0C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CB7848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458390B">
      <w:r>
        <w:br w:type="page"/>
      </w:r>
    </w:p>
    <w:p w14:paraId="0D065D1D">
      <w:pPr>
        <w:spacing w:line="240" w:lineRule="auto"/>
        <w:jc w:val="center"/>
        <w:outlineLvl w:val="1"/>
      </w:pPr>
      <w:r>
        <w:rPr>
          <w:rFonts w:ascii="黑体" w:hAnsi="黑体" w:eastAsia="黑体"/>
          <w:sz w:val="32"/>
        </w:rPr>
        <w:t>第四部分 部门决算报表（见附表）</w:t>
      </w:r>
    </w:p>
    <w:p w14:paraId="494D5579">
      <w:pPr>
        <w:spacing w:line="240" w:lineRule="auto"/>
        <w:ind w:firstLine="640"/>
        <w:jc w:val="both"/>
      </w:pPr>
      <w:r>
        <w:rPr>
          <w:rFonts w:ascii="仿宋_GB2312" w:hAnsi="仿宋_GB2312" w:eastAsia="仿宋_GB2312"/>
          <w:b w:val="0"/>
          <w:sz w:val="32"/>
        </w:rPr>
        <w:t>一、《收入支出决算总表》</w:t>
      </w:r>
    </w:p>
    <w:p w14:paraId="490DDE5E">
      <w:pPr>
        <w:spacing w:line="240" w:lineRule="auto"/>
        <w:ind w:firstLine="640"/>
        <w:jc w:val="both"/>
      </w:pPr>
      <w:r>
        <w:rPr>
          <w:rFonts w:ascii="仿宋_GB2312" w:hAnsi="仿宋_GB2312" w:eastAsia="仿宋_GB2312"/>
          <w:b w:val="0"/>
          <w:sz w:val="32"/>
        </w:rPr>
        <w:t>二、《收入决算表》</w:t>
      </w:r>
    </w:p>
    <w:p w14:paraId="4CD3A3AF">
      <w:pPr>
        <w:spacing w:line="240" w:lineRule="auto"/>
        <w:ind w:firstLine="640"/>
        <w:jc w:val="both"/>
      </w:pPr>
      <w:r>
        <w:rPr>
          <w:rFonts w:ascii="仿宋_GB2312" w:hAnsi="仿宋_GB2312" w:eastAsia="仿宋_GB2312"/>
          <w:b w:val="0"/>
          <w:sz w:val="32"/>
        </w:rPr>
        <w:t>三、《支出决算表》</w:t>
      </w:r>
    </w:p>
    <w:p w14:paraId="66C40A9E">
      <w:pPr>
        <w:spacing w:line="240" w:lineRule="auto"/>
        <w:ind w:firstLine="640"/>
        <w:jc w:val="both"/>
      </w:pPr>
      <w:r>
        <w:rPr>
          <w:rFonts w:ascii="仿宋_GB2312" w:hAnsi="仿宋_GB2312" w:eastAsia="仿宋_GB2312"/>
          <w:b w:val="0"/>
          <w:sz w:val="32"/>
        </w:rPr>
        <w:t>四、《财政拨款收入支出决算总表》</w:t>
      </w:r>
    </w:p>
    <w:p w14:paraId="2E47AAFB">
      <w:pPr>
        <w:spacing w:line="240" w:lineRule="auto"/>
        <w:ind w:firstLine="640"/>
        <w:jc w:val="both"/>
      </w:pPr>
      <w:r>
        <w:rPr>
          <w:rFonts w:ascii="仿宋_GB2312" w:hAnsi="仿宋_GB2312" w:eastAsia="仿宋_GB2312"/>
          <w:b w:val="0"/>
          <w:sz w:val="32"/>
        </w:rPr>
        <w:t>五、《一般公共预算财政拨款支出决算表》</w:t>
      </w:r>
    </w:p>
    <w:p w14:paraId="5140004F">
      <w:pPr>
        <w:spacing w:line="240" w:lineRule="auto"/>
        <w:ind w:firstLine="640"/>
        <w:jc w:val="both"/>
      </w:pPr>
      <w:r>
        <w:rPr>
          <w:rFonts w:ascii="仿宋_GB2312" w:hAnsi="仿宋_GB2312" w:eastAsia="仿宋_GB2312"/>
          <w:b w:val="0"/>
          <w:sz w:val="32"/>
        </w:rPr>
        <w:t>六、《一般公共预算财政拨款基本支出决算表》</w:t>
      </w:r>
    </w:p>
    <w:p w14:paraId="3EC6C67B">
      <w:pPr>
        <w:spacing w:line="240" w:lineRule="auto"/>
        <w:ind w:firstLine="640"/>
        <w:jc w:val="both"/>
      </w:pPr>
      <w:r>
        <w:rPr>
          <w:rFonts w:ascii="仿宋_GB2312" w:hAnsi="仿宋_GB2312" w:eastAsia="仿宋_GB2312"/>
          <w:b w:val="0"/>
          <w:sz w:val="32"/>
        </w:rPr>
        <w:t>七、《政府性基金预算财政拨款收入支出决算表》</w:t>
      </w:r>
    </w:p>
    <w:p w14:paraId="7DF5CCD6">
      <w:pPr>
        <w:spacing w:line="240" w:lineRule="auto"/>
        <w:ind w:firstLine="640"/>
        <w:jc w:val="both"/>
      </w:pPr>
      <w:r>
        <w:rPr>
          <w:rFonts w:ascii="仿宋_GB2312" w:hAnsi="仿宋_GB2312" w:eastAsia="仿宋_GB2312"/>
          <w:b w:val="0"/>
          <w:sz w:val="32"/>
        </w:rPr>
        <w:t>八、《国有资本经营预算财政拨款收入支出决算表》</w:t>
      </w:r>
    </w:p>
    <w:p w14:paraId="7C3CAA8D">
      <w:pPr>
        <w:spacing w:line="240" w:lineRule="auto"/>
        <w:ind w:firstLine="640"/>
        <w:jc w:val="both"/>
      </w:pPr>
      <w:r>
        <w:rPr>
          <w:rFonts w:ascii="仿宋_GB2312" w:hAnsi="仿宋_GB2312" w:eastAsia="仿宋_GB2312"/>
          <w:b w:val="0"/>
          <w:sz w:val="32"/>
        </w:rPr>
        <w:t>九、《财政拨款“三公”经费支出决算表》</w:t>
      </w:r>
    </w:p>
    <w:p w14:paraId="0967C2CC">
      <w:pPr>
        <w:spacing w:line="240" w:lineRule="auto"/>
        <w:ind w:firstLine="640"/>
        <w:jc w:val="both"/>
      </w:pPr>
    </w:p>
    <w:p w14:paraId="2CFA9D2A">
      <w:pPr>
        <w:spacing w:line="240" w:lineRule="auto"/>
        <w:ind w:firstLine="640"/>
        <w:jc w:val="both"/>
      </w:pPr>
    </w:p>
    <w:p w14:paraId="4DA699F4">
      <w:pPr>
        <w:spacing w:line="240" w:lineRule="auto"/>
        <w:ind w:firstLine="640"/>
        <w:jc w:val="both"/>
      </w:pPr>
    </w:p>
    <w:p w14:paraId="4D1AE43D">
      <w:pPr>
        <w:spacing w:line="240" w:lineRule="auto"/>
        <w:ind w:firstLine="640"/>
        <w:jc w:val="both"/>
      </w:pPr>
    </w:p>
    <w:p w14:paraId="3387AFA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C760934-42BD-4191-97BE-B447E0F317F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38EC7CC-93AE-44B5-BA46-A6865E682334}"/>
  </w:font>
  <w:font w:name="仿宋_GB2312">
    <w:altName w:val="仿宋"/>
    <w:panose1 w:val="02010609030101010101"/>
    <w:charset w:val="86"/>
    <w:family w:val="modern"/>
    <w:pitch w:val="default"/>
    <w:sig w:usb0="00000000" w:usb1="00000000" w:usb2="00000000" w:usb3="00000000" w:csb0="00040000" w:csb1="00000000"/>
    <w:embedRegular r:id="rId3" w:fontKey="{40819925-F143-4878-ACAD-D47A90BE4E6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983CA8CE-E0BD-472D-AEE0-32BF08C23A8E}"/>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CB43FE"/>
    <w:rsid w:val="021B7195"/>
    <w:rsid w:val="02F73D26"/>
    <w:rsid w:val="034D4FEF"/>
    <w:rsid w:val="043E5B56"/>
    <w:rsid w:val="0493348B"/>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7745</Words>
  <Characters>9026</Characters>
  <Lines>0</Lines>
  <Paragraphs>0</Paragraphs>
  <TotalTime>12</TotalTime>
  <ScaleCrop>false</ScaleCrop>
  <LinksUpToDate>false</LinksUpToDate>
  <CharactersWithSpaces>9034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2025-09-25T05:08:33Z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