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霍城县芦草沟镇中心学校2024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03C77C">
      <w:r>
        <w:br w:type="page"/>
      </w:r>
    </w:p>
    <w:p w14:paraId="47BF81C0">
      <w:pPr>
        <w:spacing w:line="640" w:lineRule="exact"/>
        <w:jc w:val="center"/>
        <w:outlineLvl w:val="1"/>
      </w:pPr>
      <w:r>
        <w:rPr>
          <w:rFonts w:ascii="黑体" w:hAnsi="黑体" w:eastAsia="黑体"/>
          <w:sz w:val="32"/>
        </w:rPr>
        <w:t>第一部分 单位概况</w:t>
      </w:r>
    </w:p>
    <w:p w14:paraId="737048B3">
      <w:pPr>
        <w:spacing w:line="640" w:lineRule="exact"/>
        <w:ind w:firstLine="640"/>
        <w:jc w:val="both"/>
        <w:outlineLvl w:val="2"/>
      </w:pPr>
      <w:r>
        <w:rPr>
          <w:rFonts w:ascii="黑体" w:hAnsi="黑体" w:eastAsia="黑体"/>
          <w:sz w:val="32"/>
        </w:rPr>
        <w:t>一、主要职能</w:t>
      </w:r>
    </w:p>
    <w:p w14:paraId="524805DD">
      <w:pPr>
        <w:spacing w:line="580" w:lineRule="exact"/>
        <w:ind w:firstLine="640"/>
        <w:jc w:val="both"/>
      </w:pPr>
      <w:r>
        <w:rPr>
          <w:rFonts w:ascii="仿宋_GB2312" w:hAnsi="仿宋_GB2312" w:eastAsia="仿宋_GB2312"/>
          <w:sz w:val="32"/>
        </w:rPr>
        <w:t>霍城县芦草沟镇中心学校负责本乡镇辖区内中学、小学、幼儿园的教学、教研、德育、后勤、平安等管理事务。负责贯彻党的教育方针,坚持正确办学方向,实行教育与生产劳动相结合,对学生进行德育、智育、体育、美育</w:t>
      </w:r>
      <w:r>
        <w:rPr>
          <w:rFonts w:hint="eastAsia" w:ascii="仿宋_GB2312" w:hAnsi="仿宋_GB2312" w:eastAsia="仿宋_GB2312"/>
          <w:sz w:val="32"/>
          <w:lang w:eastAsia="zh-CN"/>
        </w:rPr>
        <w:t>、</w:t>
      </w:r>
      <w:r>
        <w:rPr>
          <w:rFonts w:ascii="仿宋_GB2312" w:hAnsi="仿宋_GB2312" w:eastAsia="仿宋_GB2312"/>
          <w:sz w:val="32"/>
        </w:rPr>
        <w:t>劳动等方面的教育，负责组织适龄儿童、少年入学，严格控制学生辍学，依法保证适龄儿童、少年接受义务教育。</w:t>
      </w:r>
    </w:p>
    <w:p w14:paraId="1F78862E">
      <w:pPr>
        <w:spacing w:line="640" w:lineRule="exact"/>
        <w:ind w:firstLine="640"/>
        <w:jc w:val="both"/>
        <w:outlineLvl w:val="2"/>
      </w:pPr>
      <w:r>
        <w:rPr>
          <w:rFonts w:ascii="黑体" w:hAnsi="黑体" w:eastAsia="黑体"/>
          <w:sz w:val="32"/>
        </w:rPr>
        <w:t>二、机构设置及人员情况</w:t>
      </w:r>
    </w:p>
    <w:p w14:paraId="375D43CA">
      <w:pPr>
        <w:spacing w:line="580" w:lineRule="exact"/>
        <w:ind w:firstLine="640"/>
        <w:jc w:val="both"/>
      </w:pPr>
      <w:r>
        <w:rPr>
          <w:rFonts w:ascii="仿宋_GB2312" w:hAnsi="仿宋_GB2312" w:eastAsia="仿宋_GB2312"/>
          <w:sz w:val="32"/>
        </w:rPr>
        <w:t>霍城县芦草沟镇中心学校2024年度，实有人数680人，其中：在职人员492人，减少10人；离休人员1人，增加0人；退休人员187人,增加11人。</w:t>
      </w:r>
    </w:p>
    <w:p w14:paraId="5D5D0736">
      <w:pPr>
        <w:spacing w:line="580" w:lineRule="exact"/>
        <w:ind w:firstLine="640"/>
        <w:jc w:val="both"/>
      </w:pPr>
      <w:r>
        <w:rPr>
          <w:rFonts w:ascii="仿宋_GB2312" w:hAnsi="仿宋_GB2312" w:eastAsia="仿宋_GB2312"/>
          <w:sz w:val="32"/>
        </w:rPr>
        <w:t>霍城县芦草沟镇中心学校无下属预算单位，下设12个科室，分别是：平安办、财务室、工会办公室、校长办公室、党建办、政教处、教务处、后勤处、医务室、七年级办公室、八年级办公室、九年级办公室。</w:t>
      </w:r>
    </w:p>
    <w:p w14:paraId="7E279A8F">
      <w:r>
        <w:br w:type="page"/>
      </w:r>
    </w:p>
    <w:p w14:paraId="1114CF04">
      <w:pPr>
        <w:spacing w:line="240" w:lineRule="auto"/>
        <w:jc w:val="center"/>
        <w:outlineLvl w:val="1"/>
      </w:pPr>
      <w:r>
        <w:rPr>
          <w:rFonts w:ascii="黑体" w:hAnsi="黑体" w:eastAsia="黑体"/>
          <w:sz w:val="32"/>
        </w:rPr>
        <w:t>第二部分 部门决算情况说明</w:t>
      </w:r>
    </w:p>
    <w:p w14:paraId="638AF377">
      <w:pPr>
        <w:spacing w:line="640" w:lineRule="exact"/>
        <w:ind w:firstLine="640"/>
        <w:jc w:val="both"/>
        <w:outlineLvl w:val="2"/>
      </w:pPr>
      <w:r>
        <w:rPr>
          <w:rFonts w:ascii="黑体" w:hAnsi="黑体" w:eastAsia="黑体"/>
          <w:sz w:val="32"/>
        </w:rPr>
        <w:t>一、收入支出决算总体情况说明</w:t>
      </w:r>
    </w:p>
    <w:p w14:paraId="1EBAA9D6">
      <w:pPr>
        <w:spacing w:line="580" w:lineRule="exact"/>
        <w:ind w:firstLine="640"/>
        <w:jc w:val="both"/>
      </w:pPr>
      <w:r>
        <w:rPr>
          <w:rFonts w:ascii="仿宋_GB2312" w:hAnsi="仿宋_GB2312" w:eastAsia="仿宋_GB2312"/>
          <w:b/>
          <w:sz w:val="32"/>
        </w:rPr>
        <w:t>2024年度收入总计10,270.25万元，</w:t>
      </w:r>
      <w:r>
        <w:rPr>
          <w:rFonts w:ascii="仿宋_GB2312" w:hAnsi="仿宋_GB2312" w:eastAsia="仿宋_GB2312"/>
          <w:b w:val="0"/>
          <w:sz w:val="32"/>
        </w:rPr>
        <w:t>其中：本年收入合计10,270.25万元，使用非财政拨款结余（含专用结余）0.00万元，年初结转和结余0.00万元。</w:t>
      </w:r>
    </w:p>
    <w:p w14:paraId="057606E0">
      <w:pPr>
        <w:spacing w:line="580" w:lineRule="exact"/>
        <w:ind w:firstLine="640"/>
        <w:jc w:val="both"/>
      </w:pPr>
      <w:r>
        <w:rPr>
          <w:rFonts w:ascii="仿宋_GB2312" w:hAnsi="仿宋_GB2312" w:eastAsia="仿宋_GB2312"/>
          <w:b/>
          <w:sz w:val="32"/>
        </w:rPr>
        <w:t>2024年度支出总计10,270.25万元，</w:t>
      </w:r>
      <w:r>
        <w:rPr>
          <w:rFonts w:ascii="仿宋_GB2312" w:hAnsi="仿宋_GB2312" w:eastAsia="仿宋_GB2312"/>
          <w:b w:val="0"/>
          <w:sz w:val="32"/>
        </w:rPr>
        <w:t>其中：本年支出合计10,270.25万元，结余分配0.00万元，年末结转和结余0.00万元。</w:t>
      </w:r>
    </w:p>
    <w:p w14:paraId="318C68FD">
      <w:pPr>
        <w:spacing w:line="580" w:lineRule="exact"/>
        <w:ind w:firstLine="640"/>
        <w:jc w:val="both"/>
      </w:pPr>
      <w:r>
        <w:rPr>
          <w:rFonts w:ascii="仿宋_GB2312" w:hAnsi="仿宋_GB2312" w:eastAsia="仿宋_GB2312"/>
          <w:b w:val="0"/>
          <w:sz w:val="32"/>
        </w:rPr>
        <w:t>收入支出总体与上年相比，减少181.32万元，下降1.73%，主要原因是：本年度临聘人员减少</w:t>
      </w:r>
      <w:r>
        <w:rPr>
          <w:rFonts w:hint="eastAsia" w:ascii="仿宋_GB2312" w:hAnsi="仿宋_GB2312" w:eastAsia="仿宋_GB2312"/>
          <w:b w:val="0"/>
          <w:sz w:val="32"/>
          <w:lang w:eastAsia="zh-CN"/>
        </w:rPr>
        <w:t>，</w:t>
      </w:r>
      <w:r>
        <w:rPr>
          <w:rFonts w:ascii="仿宋_GB2312" w:hAnsi="仿宋_GB2312" w:eastAsia="仿宋_GB2312"/>
          <w:b w:val="0"/>
          <w:sz w:val="32"/>
        </w:rPr>
        <w:t>相关经费支出减少。本年新增死亡人员较上年减少，死亡抚恤支出较上年减少。</w:t>
      </w:r>
    </w:p>
    <w:p w14:paraId="70233060">
      <w:pPr>
        <w:spacing w:line="640" w:lineRule="exact"/>
        <w:ind w:firstLine="640"/>
        <w:jc w:val="both"/>
        <w:outlineLvl w:val="2"/>
      </w:pPr>
      <w:r>
        <w:rPr>
          <w:rFonts w:ascii="黑体" w:hAnsi="黑体" w:eastAsia="黑体"/>
          <w:sz w:val="32"/>
        </w:rPr>
        <w:t>二、收入决算情况说明</w:t>
      </w:r>
    </w:p>
    <w:p w14:paraId="7AE77905">
      <w:pPr>
        <w:spacing w:line="580" w:lineRule="exact"/>
        <w:ind w:firstLine="640"/>
        <w:jc w:val="both"/>
      </w:pPr>
      <w:r>
        <w:rPr>
          <w:rFonts w:ascii="仿宋_GB2312" w:hAnsi="仿宋_GB2312" w:eastAsia="仿宋_GB2312"/>
          <w:b/>
          <w:sz w:val="32"/>
        </w:rPr>
        <w:t>本年收入10,270.25万元，</w:t>
      </w:r>
      <w:r>
        <w:rPr>
          <w:rFonts w:ascii="仿宋_GB2312" w:hAnsi="仿宋_GB2312" w:eastAsia="仿宋_GB2312"/>
          <w:b w:val="0"/>
          <w:sz w:val="32"/>
        </w:rPr>
        <w:t>其中：财政拨款收入10,270.25万元，占100.00%；上级补助收入0.00万元，占0.00%；事业收入0.00万元，占0.00%；经营收入0.00万元，占0.00%；附属单位上缴收入0.00万元，占0.00%；其他收入0.00万元，占0.00%。</w:t>
      </w:r>
    </w:p>
    <w:p w14:paraId="6371BCA6">
      <w:pPr>
        <w:spacing w:line="640" w:lineRule="exact"/>
        <w:ind w:firstLine="640"/>
        <w:jc w:val="both"/>
        <w:outlineLvl w:val="2"/>
      </w:pPr>
      <w:r>
        <w:rPr>
          <w:rFonts w:ascii="黑体" w:hAnsi="黑体" w:eastAsia="黑体"/>
          <w:sz w:val="32"/>
        </w:rPr>
        <w:t>三、支出决算情况说明</w:t>
      </w:r>
    </w:p>
    <w:p w14:paraId="05C7A21B">
      <w:pPr>
        <w:spacing w:line="580" w:lineRule="exact"/>
        <w:ind w:firstLine="640"/>
        <w:jc w:val="both"/>
      </w:pPr>
      <w:r>
        <w:rPr>
          <w:rFonts w:ascii="仿宋_GB2312" w:hAnsi="仿宋_GB2312" w:eastAsia="仿宋_GB2312"/>
          <w:b/>
          <w:sz w:val="32"/>
        </w:rPr>
        <w:t>本年支出10,270.25万元，</w:t>
      </w:r>
      <w:r>
        <w:rPr>
          <w:rFonts w:ascii="仿宋_GB2312" w:hAnsi="仿宋_GB2312" w:eastAsia="仿宋_GB2312"/>
          <w:b w:val="0"/>
          <w:sz w:val="32"/>
        </w:rPr>
        <w:t>其中：基本支出10,270.25万元，占100.00%；项目支出0.00万元，占0.00%；上缴上级支出0.00万元，占0.00%；经营支出0.00万元，占0.00%；对附属单位补助支出0.00万元，占0.00%。</w:t>
      </w:r>
    </w:p>
    <w:p w14:paraId="28AF27EA">
      <w:pPr>
        <w:spacing w:line="640" w:lineRule="exact"/>
        <w:ind w:firstLine="640"/>
        <w:jc w:val="both"/>
        <w:outlineLvl w:val="2"/>
      </w:pPr>
      <w:r>
        <w:rPr>
          <w:rFonts w:ascii="黑体" w:hAnsi="黑体" w:eastAsia="黑体"/>
          <w:sz w:val="32"/>
        </w:rPr>
        <w:t>四、财政拨款收入支出决算总体情况说明</w:t>
      </w:r>
    </w:p>
    <w:p w14:paraId="6AFE3147">
      <w:pPr>
        <w:spacing w:line="580" w:lineRule="exact"/>
        <w:ind w:firstLine="640"/>
        <w:jc w:val="both"/>
      </w:pPr>
      <w:r>
        <w:rPr>
          <w:rFonts w:ascii="仿宋_GB2312" w:hAnsi="仿宋_GB2312" w:eastAsia="仿宋_GB2312"/>
          <w:b/>
          <w:sz w:val="32"/>
        </w:rPr>
        <w:t>2024年度财政拨款收入总计10,270.25万元，</w:t>
      </w:r>
      <w:r>
        <w:rPr>
          <w:rFonts w:ascii="仿宋_GB2312" w:hAnsi="仿宋_GB2312" w:eastAsia="仿宋_GB2312"/>
          <w:b w:val="0"/>
          <w:sz w:val="32"/>
        </w:rPr>
        <w:t>其中：年初财政拨款结转和结余0.00万元，本年财政拨款收入10,270.25万元。</w:t>
      </w:r>
      <w:r>
        <w:rPr>
          <w:rFonts w:ascii="仿宋_GB2312" w:hAnsi="仿宋_GB2312" w:eastAsia="仿宋_GB2312"/>
          <w:b/>
          <w:sz w:val="32"/>
        </w:rPr>
        <w:t>财政拨款支出总计10,270.25万元，</w:t>
      </w:r>
      <w:r>
        <w:rPr>
          <w:rFonts w:ascii="仿宋_GB2312" w:hAnsi="仿宋_GB2312" w:eastAsia="仿宋_GB2312"/>
          <w:b w:val="0"/>
          <w:sz w:val="32"/>
        </w:rPr>
        <w:t>其中：年末财政拨款结转和结余0.00万元，本年财政拨款支出10,270.25万元。</w:t>
      </w:r>
    </w:p>
    <w:p w14:paraId="305A5F7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减少181.32万元，下降1.73%，主要原因是：本年度临聘人员减少，其相关经费支出减少。本年新增死亡人员较上年减少，死亡抚恤支出较上年减少。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年初预算数9,648.47万元，决算数10,270.25万元，预决算差异率6.44%，主要原因是：年中追加人员工资、社保、公积金基数调增部分资金，导致预决算存在差异。</w:t>
      </w:r>
    </w:p>
    <w:p w14:paraId="7A76C0DD">
      <w:pPr>
        <w:spacing w:line="640" w:lineRule="exact"/>
        <w:ind w:firstLine="640"/>
        <w:jc w:val="both"/>
        <w:outlineLvl w:val="2"/>
      </w:pPr>
      <w:r>
        <w:rPr>
          <w:rFonts w:ascii="黑体" w:hAnsi="黑体" w:eastAsia="黑体"/>
          <w:sz w:val="32"/>
        </w:rPr>
        <w:t>五、一般公共预算财政拨款支出决算情况说明</w:t>
      </w:r>
    </w:p>
    <w:p w14:paraId="35B2B222">
      <w:pPr>
        <w:spacing w:line="640" w:lineRule="exact"/>
        <w:ind w:firstLine="640"/>
        <w:jc w:val="both"/>
        <w:outlineLvl w:val="3"/>
      </w:pPr>
      <w:r>
        <w:rPr>
          <w:rFonts w:ascii="楷体_GB2312" w:hAnsi="楷体_GB2312" w:eastAsia="楷体_GB2312"/>
          <w:b/>
          <w:sz w:val="32"/>
        </w:rPr>
        <w:t>（一）一般公共预算财政拨款支出决算总体情况</w:t>
      </w:r>
    </w:p>
    <w:p w14:paraId="1048DA60">
      <w:pPr>
        <w:spacing w:line="580" w:lineRule="exact"/>
        <w:ind w:firstLine="640"/>
        <w:jc w:val="both"/>
      </w:pPr>
      <w:r>
        <w:rPr>
          <w:rFonts w:ascii="仿宋_GB2312" w:hAnsi="仿宋_GB2312" w:eastAsia="仿宋_GB2312"/>
          <w:b/>
          <w:sz w:val="32"/>
        </w:rPr>
        <w:t>2024年度一般公共预算财政拨款支出10,270.25万元，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减少181.32万元，下降1.73%，主要原因是：本年度临聘人员减少</w:t>
      </w:r>
      <w:r>
        <w:rPr>
          <w:rFonts w:hint="eastAsia" w:ascii="仿宋_GB2312" w:hAnsi="仿宋_GB2312" w:eastAsia="仿宋_GB2312"/>
          <w:b w:val="0"/>
          <w:sz w:val="32"/>
          <w:lang w:eastAsia="zh-CN"/>
        </w:rPr>
        <w:t>，</w:t>
      </w:r>
      <w:r>
        <w:rPr>
          <w:rFonts w:ascii="仿宋_GB2312" w:hAnsi="仿宋_GB2312" w:eastAsia="仿宋_GB2312"/>
          <w:b w:val="0"/>
          <w:sz w:val="32"/>
        </w:rPr>
        <w:t>相关经费支出减少。本年新增死亡人员较上年减少，死亡抚恤支出较上年减少。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年初预算数9,648.47万元，决算数10,270.25万元，预决算差异率6.44%，主要原因是：年中追加人员工资、社保、公积金基数调增部分资金，导致预决算存在差异。</w:t>
      </w:r>
    </w:p>
    <w:p w14:paraId="620743EB">
      <w:pPr>
        <w:spacing w:line="640" w:lineRule="exact"/>
        <w:ind w:firstLine="640"/>
        <w:jc w:val="both"/>
        <w:outlineLvl w:val="3"/>
      </w:pPr>
      <w:r>
        <w:rPr>
          <w:rFonts w:ascii="楷体_GB2312" w:hAnsi="楷体_GB2312" w:eastAsia="楷体_GB2312"/>
          <w:b/>
          <w:sz w:val="32"/>
        </w:rPr>
        <w:t>（二）一般公共预算财政拨款支出决算结构情况</w:t>
      </w:r>
    </w:p>
    <w:p w14:paraId="3DC30A0E">
      <w:pPr>
        <w:spacing w:line="580" w:lineRule="exact"/>
        <w:ind w:firstLine="640"/>
        <w:jc w:val="both"/>
      </w:pPr>
      <w:r>
        <w:rPr>
          <w:rFonts w:ascii="仿宋_GB2312" w:hAnsi="仿宋_GB2312" w:eastAsia="仿宋_GB2312"/>
          <w:b w:val="0"/>
          <w:sz w:val="32"/>
        </w:rPr>
        <w:t>1.教育支出(类)8,669.31万元,占84.41%。</w:t>
      </w:r>
    </w:p>
    <w:p w14:paraId="0EC270F4">
      <w:pPr>
        <w:spacing w:line="580" w:lineRule="exact"/>
        <w:ind w:firstLine="640"/>
        <w:jc w:val="both"/>
      </w:pPr>
      <w:r>
        <w:rPr>
          <w:rFonts w:ascii="仿宋_GB2312" w:hAnsi="仿宋_GB2312" w:eastAsia="仿宋_GB2312"/>
          <w:b w:val="0"/>
          <w:sz w:val="32"/>
        </w:rPr>
        <w:t>2.社会保障和就业支出(类)1,172.27万元,占11.41%。</w:t>
      </w:r>
    </w:p>
    <w:p w14:paraId="2C38D382">
      <w:pPr>
        <w:spacing w:line="580" w:lineRule="exact"/>
        <w:ind w:firstLine="640"/>
        <w:jc w:val="both"/>
      </w:pPr>
      <w:r>
        <w:rPr>
          <w:rFonts w:ascii="仿宋_GB2312" w:hAnsi="仿宋_GB2312" w:eastAsia="仿宋_GB2312"/>
          <w:b w:val="0"/>
          <w:sz w:val="32"/>
        </w:rPr>
        <w:t>3.卫生健康支出(类)428.68万元,占4.17%。</w:t>
      </w:r>
    </w:p>
    <w:p w14:paraId="354153CB">
      <w:pPr>
        <w:spacing w:line="640" w:lineRule="exact"/>
        <w:ind w:firstLine="640"/>
        <w:jc w:val="both"/>
        <w:outlineLvl w:val="3"/>
      </w:pPr>
      <w:r>
        <w:rPr>
          <w:rFonts w:ascii="楷体_GB2312" w:hAnsi="楷体_GB2312" w:eastAsia="楷体_GB2312"/>
          <w:b/>
          <w:sz w:val="32"/>
        </w:rPr>
        <w:t>（三）一般公共预算财政拨款支出决算具体情况</w:t>
      </w:r>
    </w:p>
    <w:p w14:paraId="5CCFFF14">
      <w:pPr>
        <w:spacing w:line="580" w:lineRule="exact"/>
        <w:ind w:firstLine="640"/>
        <w:jc w:val="both"/>
      </w:pPr>
      <w:r>
        <w:rPr>
          <w:rFonts w:ascii="仿宋_GB2312" w:hAnsi="仿宋_GB2312" w:eastAsia="仿宋_GB2312"/>
          <w:b w:val="0"/>
          <w:sz w:val="32"/>
        </w:rPr>
        <w:t>1.教育支出(类)普通教育(款)学前教育(项):支出决算数为1,369.81万元，比上年决算增加227.85万元，增长19.95%,主要原因是：本年功能科目调整，住房公积金上年度单独列支，本年调整至学前教育科目列支，培训费上年度单独列支，本年</w:t>
      </w:r>
      <w:r>
        <w:rPr>
          <w:rFonts w:hint="eastAsia" w:ascii="仿宋_GB2312" w:hAnsi="仿宋_GB2312" w:eastAsia="仿宋_GB2312"/>
          <w:b w:val="0"/>
          <w:sz w:val="32"/>
          <w:lang w:val="en-US" w:eastAsia="zh-CN"/>
        </w:rPr>
        <w:t>部分</w:t>
      </w:r>
      <w:r>
        <w:rPr>
          <w:rFonts w:ascii="仿宋_GB2312" w:hAnsi="仿宋_GB2312" w:eastAsia="仿宋_GB2312"/>
          <w:b w:val="0"/>
          <w:sz w:val="32"/>
        </w:rPr>
        <w:t>调整至</w:t>
      </w:r>
      <w:r>
        <w:rPr>
          <w:rFonts w:hint="eastAsia" w:ascii="仿宋_GB2312" w:hAnsi="仿宋_GB2312" w:eastAsia="仿宋_GB2312"/>
          <w:b w:val="0"/>
          <w:sz w:val="32"/>
          <w:lang w:val="en-US" w:eastAsia="zh-CN"/>
        </w:rPr>
        <w:t>初中</w:t>
      </w:r>
      <w:r>
        <w:rPr>
          <w:rFonts w:ascii="仿宋_GB2312" w:hAnsi="仿宋_GB2312" w:eastAsia="仿宋_GB2312"/>
          <w:b w:val="0"/>
          <w:sz w:val="32"/>
        </w:rPr>
        <w:t>教育支出</w:t>
      </w:r>
      <w:r>
        <w:rPr>
          <w:rFonts w:hint="eastAsia" w:ascii="仿宋_GB2312" w:hAnsi="仿宋_GB2312" w:eastAsia="仿宋_GB2312"/>
          <w:b w:val="0"/>
          <w:sz w:val="32"/>
          <w:lang w:val="en-US" w:eastAsia="zh-CN"/>
        </w:rPr>
        <w:t>列支，</w:t>
      </w:r>
      <w:r>
        <w:rPr>
          <w:rFonts w:ascii="仿宋_GB2312" w:hAnsi="仿宋_GB2312" w:eastAsia="仿宋_GB2312"/>
          <w:b w:val="0"/>
          <w:sz w:val="32"/>
        </w:rPr>
        <w:t>导致经费较上年增加。</w:t>
      </w:r>
    </w:p>
    <w:p w14:paraId="22DFC80E">
      <w:pPr>
        <w:spacing w:line="580" w:lineRule="exact"/>
        <w:ind w:firstLine="640"/>
        <w:jc w:val="both"/>
      </w:pPr>
      <w:r>
        <w:rPr>
          <w:rFonts w:ascii="仿宋_GB2312" w:hAnsi="仿宋_GB2312" w:eastAsia="仿宋_GB2312"/>
          <w:b w:val="0"/>
          <w:sz w:val="32"/>
        </w:rPr>
        <w:t>2.教育支出(类)普通教育(款)小学教育(项):支出决算数为3,808.65万元，比上年决算增加61.09万元，增长1.63%,主要原因是：2024年在职人员正常晋升、岗位变动，工资普调。本年功能科目调整，培训费上年度单独列支，本年</w:t>
      </w:r>
      <w:r>
        <w:rPr>
          <w:rFonts w:hint="eastAsia" w:ascii="仿宋_GB2312" w:hAnsi="仿宋_GB2312" w:eastAsia="仿宋_GB2312"/>
          <w:b w:val="0"/>
          <w:sz w:val="32"/>
          <w:lang w:val="en-US" w:eastAsia="zh-CN"/>
        </w:rPr>
        <w:t>部分</w:t>
      </w:r>
      <w:r>
        <w:rPr>
          <w:rFonts w:ascii="仿宋_GB2312" w:hAnsi="仿宋_GB2312" w:eastAsia="仿宋_GB2312"/>
          <w:b w:val="0"/>
          <w:sz w:val="32"/>
        </w:rPr>
        <w:t>调整至小学教育支出</w:t>
      </w:r>
      <w:r>
        <w:rPr>
          <w:rFonts w:hint="eastAsia" w:ascii="仿宋_GB2312" w:hAnsi="仿宋_GB2312" w:eastAsia="仿宋_GB2312"/>
          <w:b w:val="0"/>
          <w:sz w:val="32"/>
          <w:lang w:val="en-US" w:eastAsia="zh-CN"/>
        </w:rPr>
        <w:t>列支，导致经费增加。</w:t>
      </w:r>
    </w:p>
    <w:p w14:paraId="4A6901D6">
      <w:pPr>
        <w:spacing w:line="580" w:lineRule="exact"/>
        <w:ind w:firstLine="640"/>
        <w:jc w:val="both"/>
      </w:pPr>
      <w:r>
        <w:rPr>
          <w:rFonts w:ascii="仿宋_GB2312" w:hAnsi="仿宋_GB2312" w:eastAsia="仿宋_GB2312"/>
          <w:b w:val="0"/>
          <w:sz w:val="32"/>
        </w:rPr>
        <w:t>3.教育支出(类)普通教育(款)初中教育(项):支出决算数为2,987.14万元，比上年决算增加20.02万元，增长0.67%,主要原因是：2024年在职人员正常晋升、岗位变动，工资普调。本年功能科目调整，培训费上年度单独列支，本年</w:t>
      </w:r>
      <w:r>
        <w:rPr>
          <w:rFonts w:hint="eastAsia" w:ascii="仿宋_GB2312" w:hAnsi="仿宋_GB2312" w:eastAsia="仿宋_GB2312"/>
          <w:b w:val="0"/>
          <w:sz w:val="32"/>
          <w:lang w:val="en-US" w:eastAsia="zh-CN"/>
        </w:rPr>
        <w:t>部分</w:t>
      </w:r>
      <w:r>
        <w:rPr>
          <w:rFonts w:ascii="仿宋_GB2312" w:hAnsi="仿宋_GB2312" w:eastAsia="仿宋_GB2312"/>
          <w:b w:val="0"/>
          <w:sz w:val="32"/>
        </w:rPr>
        <w:t>调整至</w:t>
      </w:r>
      <w:r>
        <w:rPr>
          <w:rFonts w:hint="eastAsia" w:ascii="仿宋_GB2312" w:hAnsi="仿宋_GB2312" w:eastAsia="仿宋_GB2312"/>
          <w:b w:val="0"/>
          <w:sz w:val="32"/>
          <w:lang w:val="en-US" w:eastAsia="zh-CN"/>
        </w:rPr>
        <w:t>初中</w:t>
      </w:r>
      <w:r>
        <w:rPr>
          <w:rFonts w:ascii="仿宋_GB2312" w:hAnsi="仿宋_GB2312" w:eastAsia="仿宋_GB2312"/>
          <w:b w:val="0"/>
          <w:sz w:val="32"/>
        </w:rPr>
        <w:t>教育支出</w:t>
      </w:r>
      <w:r>
        <w:rPr>
          <w:rFonts w:hint="eastAsia" w:ascii="仿宋_GB2312" w:hAnsi="仿宋_GB2312" w:eastAsia="仿宋_GB2312"/>
          <w:b w:val="0"/>
          <w:sz w:val="32"/>
          <w:lang w:val="en-US" w:eastAsia="zh-CN"/>
        </w:rPr>
        <w:t>列支，导致经费增加。</w:t>
      </w:r>
    </w:p>
    <w:p w14:paraId="1AD4F560">
      <w:pPr>
        <w:spacing w:line="580" w:lineRule="exact"/>
        <w:ind w:firstLine="640"/>
        <w:jc w:val="both"/>
      </w:pPr>
      <w:r>
        <w:rPr>
          <w:rFonts w:ascii="仿宋_GB2312" w:hAnsi="仿宋_GB2312" w:eastAsia="仿宋_GB2312"/>
          <w:b w:val="0"/>
          <w:sz w:val="32"/>
        </w:rPr>
        <w:t>4.教育支出(类)普通教育(款)其他普通教育支出(项):支出决算数为497.49万元，比上年决算减少128.28万元，下降20.50%,主要原因是：本年度临聘人员减少，其相关经费支出减少。本年新增死亡人员较上年减少，死亡抚恤支出较上年减少。</w:t>
      </w:r>
    </w:p>
    <w:p w14:paraId="2D500209">
      <w:pPr>
        <w:spacing w:line="580" w:lineRule="exact"/>
        <w:ind w:firstLine="640"/>
        <w:jc w:val="both"/>
      </w:pPr>
      <w:r>
        <w:rPr>
          <w:rFonts w:ascii="仿宋_GB2312" w:hAnsi="仿宋_GB2312" w:eastAsia="仿宋_GB2312"/>
          <w:b w:val="0"/>
          <w:sz w:val="32"/>
        </w:rPr>
        <w:t>5.教育支出(类)特殊教育(款)特殊学校教育(项):支出决算数为6.22万元，比上年决算减少5.60万元，下降47.38%,主要原因是：本年度支付办公费减少。</w:t>
      </w:r>
    </w:p>
    <w:p w14:paraId="4E4B7055">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6.教育支出(类)教育费附加安排的支出(款)其他教育费附加安排的支出(项):支出决算数为0.00万元，比上年决算减少5.24万元，下降100.00%,主要原因是：本年度未安排老师继续教育经费支出，导致经费较上年减少。</w:t>
      </w:r>
    </w:p>
    <w:p w14:paraId="1123AF8A">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19.89万元，下降100.00%,主要原因是：本年功能科目调整，培训费上年度单独列支，本年调整至学前教育支出、小学教育支出、初中教育支出科目列支，</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5EE1A1AD">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145.66万元，比上年决算增加100.51万元，增长222.61%,主要原因是：1、增加退休人员基础绩效奖，退休费支出增加；2、本年退休人员增加，退休费支出增加。</w:t>
      </w:r>
    </w:p>
    <w:p w14:paraId="5B38F6C3">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887.54万元，比上年决算增加90.71万元，增长11.38%,主要原因是：本年在职人员工资基数调增，养老缴费基数上涨，相应支出增加。</w:t>
      </w:r>
    </w:p>
    <w:p w14:paraId="199B5E34">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133.20万元，比上年决算增加25.58万元，增长23.77%,主要原因是：本年新增退休人员较上年增加，职业年金缴费支出增加。</w:t>
      </w:r>
    </w:p>
    <w:p w14:paraId="1F2B53F5">
      <w:pPr>
        <w:spacing w:line="580" w:lineRule="exact"/>
        <w:ind w:firstLine="640"/>
        <w:jc w:val="both"/>
      </w:pPr>
      <w:r>
        <w:rPr>
          <w:rFonts w:ascii="仿宋_GB2312" w:hAnsi="仿宋_GB2312" w:eastAsia="仿宋_GB2312"/>
          <w:b w:val="0"/>
          <w:sz w:val="32"/>
        </w:rPr>
        <w:t>11.社会保障和就业支出(类)抚恤(款)死亡抚恤(项):支出决算数为5.87万元，比上年决算减少56.23万元，下降90.55%,主要原因是：本年新增死亡人员较上年减少，死亡抚恤支出较上年减少。</w:t>
      </w:r>
    </w:p>
    <w:p w14:paraId="58CA016A">
      <w:pPr>
        <w:spacing w:line="580" w:lineRule="exact"/>
        <w:ind w:firstLine="640"/>
        <w:jc w:val="both"/>
      </w:pPr>
      <w:r>
        <w:rPr>
          <w:rFonts w:ascii="仿宋_GB2312" w:hAnsi="仿宋_GB2312" w:eastAsia="仿宋_GB2312"/>
          <w:b w:val="0"/>
          <w:sz w:val="32"/>
        </w:rPr>
        <w:t>12.卫生健康支出(类)行政事业单位医疗(款)事业单位医疗(项):支出决算数为428.68万元，比上年决算减少60.84万元，下降12.43%,主要原因是：因退休人员医疗保险制度改革，退休人员基本医疗不再由单位缴纳，导致经费较上年减少。</w:t>
      </w:r>
    </w:p>
    <w:p w14:paraId="5235A14A">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430.99万元，下降100.00%,主要原因是：本年功能科目调整，住房公积金上年度单独列支，本年调整至学前教育科目列支，导致经费较上年减少。</w:t>
      </w:r>
    </w:p>
    <w:p w14:paraId="5AE81A96">
      <w:pPr>
        <w:spacing w:line="640" w:lineRule="exact"/>
        <w:ind w:firstLine="640"/>
        <w:jc w:val="both"/>
        <w:outlineLvl w:val="2"/>
      </w:pPr>
      <w:r>
        <w:rPr>
          <w:rFonts w:ascii="黑体" w:hAnsi="黑体" w:eastAsia="黑体"/>
          <w:sz w:val="32"/>
        </w:rPr>
        <w:t>六、一般公共预算财政拨款基本支出决算情况说明</w:t>
      </w:r>
    </w:p>
    <w:p w14:paraId="1E9773B8">
      <w:pPr>
        <w:spacing w:line="580" w:lineRule="exact"/>
        <w:ind w:firstLine="640"/>
        <w:jc w:val="both"/>
      </w:pPr>
      <w:r>
        <w:rPr>
          <w:rFonts w:ascii="仿宋_GB2312" w:hAnsi="仿宋_GB2312" w:eastAsia="仿宋_GB2312"/>
          <w:b w:val="0"/>
          <w:sz w:val="32"/>
        </w:rPr>
        <w:t>2024年度一般公共预算财政拨款基本支出10,270.25万元，其中：</w:t>
      </w:r>
      <w:r>
        <w:rPr>
          <w:rFonts w:ascii="仿宋_GB2312" w:hAnsi="仿宋_GB2312" w:eastAsia="仿宋_GB2312"/>
          <w:b/>
          <w:sz w:val="32"/>
        </w:rPr>
        <w:t>人员经费9,621.05万元，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离休费、退休费、抚恤金、生活补助、医疗费补助、助学金、奖励金、其他对个人和家庭的补助。</w:t>
      </w:r>
    </w:p>
    <w:p w14:paraId="44059511">
      <w:pPr>
        <w:spacing w:line="580" w:lineRule="exact"/>
        <w:ind w:firstLine="640"/>
        <w:jc w:val="both"/>
      </w:pPr>
      <w:r>
        <w:rPr>
          <w:rFonts w:ascii="仿宋_GB2312" w:hAnsi="仿宋_GB2312" w:eastAsia="仿宋_GB2312"/>
          <w:b/>
          <w:sz w:val="32"/>
        </w:rPr>
        <w:t>公用经费649.20万元，</w:t>
      </w:r>
      <w:r>
        <w:rPr>
          <w:rFonts w:ascii="仿宋_GB2312" w:hAnsi="仿宋_GB2312" w:eastAsia="仿宋_GB2312"/>
          <w:b w:val="0"/>
          <w:sz w:val="32"/>
        </w:rPr>
        <w:t>包括：办公费、印刷费、水费、电费、邮电费、取暖费、物业管理费、差旅费、维修（护）费、租赁费、培训费、专用材料费、劳务费、工会经费、福利费。</w:t>
      </w:r>
    </w:p>
    <w:p w14:paraId="6A567F4B">
      <w:pPr>
        <w:spacing w:line="640" w:lineRule="exact"/>
        <w:ind w:firstLine="640"/>
        <w:jc w:val="both"/>
        <w:outlineLvl w:val="2"/>
      </w:pPr>
      <w:r>
        <w:rPr>
          <w:rFonts w:ascii="黑体" w:hAnsi="黑体" w:eastAsia="黑体"/>
          <w:sz w:val="32"/>
        </w:rPr>
        <w:t>七、政府性基金预算财政拨款收入支出决算情况说明</w:t>
      </w:r>
    </w:p>
    <w:p w14:paraId="7AEAB41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20CFA7">
      <w:pPr>
        <w:spacing w:line="640" w:lineRule="exact"/>
        <w:ind w:firstLine="640"/>
        <w:jc w:val="both"/>
        <w:outlineLvl w:val="2"/>
      </w:pPr>
      <w:r>
        <w:rPr>
          <w:rFonts w:ascii="黑体" w:hAnsi="黑体" w:eastAsia="黑体"/>
          <w:sz w:val="32"/>
        </w:rPr>
        <w:t>八、国有资本经营预算财政拨款收入支出决算情况说明</w:t>
      </w:r>
    </w:p>
    <w:p w14:paraId="67377F3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3B5F75">
      <w:pPr>
        <w:spacing w:line="640" w:lineRule="exact"/>
        <w:ind w:firstLine="640"/>
        <w:jc w:val="both"/>
        <w:outlineLvl w:val="2"/>
      </w:pPr>
      <w:r>
        <w:rPr>
          <w:rFonts w:ascii="黑体" w:hAnsi="黑体" w:eastAsia="黑体"/>
          <w:sz w:val="32"/>
        </w:rPr>
        <w:t>九、财政拨款“三公”经费支出决算情况说明</w:t>
      </w:r>
    </w:p>
    <w:p w14:paraId="31DACD8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7EEDAD">
      <w:pPr>
        <w:spacing w:line="580" w:lineRule="exact"/>
        <w:ind w:firstLine="640"/>
        <w:jc w:val="both"/>
      </w:pPr>
      <w:r>
        <w:rPr>
          <w:rFonts w:ascii="仿宋_GB2312" w:hAnsi="仿宋_GB2312" w:eastAsia="仿宋_GB2312"/>
          <w:b/>
          <w:sz w:val="32"/>
        </w:rPr>
        <w:t>具体情况如下：</w:t>
      </w:r>
    </w:p>
    <w:p w14:paraId="6AC2AF3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ED94AA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670A5F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B206B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B6DCB3">
      <w:pPr>
        <w:spacing w:line="640" w:lineRule="exact"/>
        <w:ind w:firstLine="640"/>
        <w:jc w:val="both"/>
        <w:outlineLvl w:val="2"/>
      </w:pPr>
      <w:r>
        <w:rPr>
          <w:rFonts w:ascii="黑体" w:hAnsi="黑体" w:eastAsia="黑体"/>
          <w:sz w:val="32"/>
        </w:rPr>
        <w:t>十、其他重要事项的情况说明</w:t>
      </w:r>
    </w:p>
    <w:p w14:paraId="7C657A2C">
      <w:pPr>
        <w:spacing w:line="640" w:lineRule="exact"/>
        <w:ind w:firstLine="640"/>
        <w:jc w:val="both"/>
        <w:outlineLvl w:val="3"/>
      </w:pPr>
      <w:r>
        <w:rPr>
          <w:rFonts w:ascii="楷体_GB2312" w:hAnsi="楷体_GB2312" w:eastAsia="楷体_GB2312"/>
          <w:b/>
          <w:sz w:val="32"/>
        </w:rPr>
        <w:t>（一）机关运行经费及公用经费支出情况</w:t>
      </w:r>
    </w:p>
    <w:p w14:paraId="595411D8">
      <w:pPr>
        <w:spacing w:line="580" w:lineRule="exact"/>
        <w:ind w:firstLine="640"/>
        <w:jc w:val="both"/>
      </w:pPr>
      <w:r>
        <w:rPr>
          <w:rFonts w:ascii="仿宋_GB2312" w:hAnsi="仿宋_GB2312" w:eastAsia="仿宋_GB2312"/>
          <w:b w:val="0"/>
          <w:sz w:val="32"/>
        </w:rPr>
        <w:t>2024年度霍城县芦草沟镇中心学校（事业单位）公用经费支出649.20万元，比上年减少43.68万元，下降6.30%，主要原因是：本年度学生人数减少，公用经费支出减少。</w:t>
      </w:r>
    </w:p>
    <w:p w14:paraId="4FA83EBB">
      <w:pPr>
        <w:spacing w:line="640" w:lineRule="exact"/>
        <w:ind w:firstLine="640"/>
        <w:jc w:val="both"/>
        <w:outlineLvl w:val="3"/>
      </w:pPr>
      <w:r>
        <w:rPr>
          <w:rFonts w:ascii="楷体_GB2312" w:hAnsi="楷体_GB2312" w:eastAsia="楷体_GB2312"/>
          <w:b/>
          <w:sz w:val="32"/>
        </w:rPr>
        <w:t>（二）政府采购情况</w:t>
      </w:r>
    </w:p>
    <w:p w14:paraId="10BA2285">
      <w:pPr>
        <w:spacing w:line="580" w:lineRule="exact"/>
        <w:ind w:firstLine="640"/>
        <w:jc w:val="both"/>
      </w:pPr>
      <w:r>
        <w:rPr>
          <w:rFonts w:ascii="仿宋_GB2312" w:hAnsi="仿宋_GB2312" w:eastAsia="仿宋_GB2312"/>
          <w:b w:val="0"/>
          <w:sz w:val="32"/>
        </w:rPr>
        <w:t>2024年度政府采购支出总额90.83万元，其中：政府采购货物支出29.26万元、政府采购工程支出6</w:t>
      </w:r>
      <w:bookmarkStart w:id="0" w:name="_GoBack"/>
      <w:bookmarkEnd w:id="0"/>
      <w:r>
        <w:rPr>
          <w:rFonts w:ascii="仿宋_GB2312" w:hAnsi="仿宋_GB2312" w:eastAsia="仿宋_GB2312"/>
          <w:b w:val="0"/>
          <w:sz w:val="32"/>
        </w:rPr>
        <w:t>1.57万元、政府采购服务支出0.00万元。</w:t>
      </w:r>
    </w:p>
    <w:p w14:paraId="53408302">
      <w:pPr>
        <w:spacing w:line="580" w:lineRule="exact"/>
        <w:ind w:firstLine="640"/>
        <w:jc w:val="both"/>
      </w:pPr>
      <w:r>
        <w:rPr>
          <w:rFonts w:ascii="仿宋_GB2312" w:hAnsi="仿宋_GB2312" w:eastAsia="仿宋_GB2312"/>
          <w:b w:val="0"/>
          <w:sz w:val="32"/>
        </w:rPr>
        <w:t>授予中小企业合同金额90.83万元，占政府采购支出总额的100.00%，其中：授予小微企业合同金额90.83万元，占政府采购支出总额的100.00%。</w:t>
      </w:r>
    </w:p>
    <w:p w14:paraId="75838D89">
      <w:pPr>
        <w:spacing w:line="640" w:lineRule="exact"/>
        <w:ind w:firstLine="640"/>
        <w:jc w:val="both"/>
        <w:outlineLvl w:val="3"/>
      </w:pPr>
      <w:r>
        <w:rPr>
          <w:rFonts w:ascii="楷体_GB2312" w:hAnsi="楷体_GB2312" w:eastAsia="楷体_GB2312"/>
          <w:b/>
          <w:sz w:val="32"/>
        </w:rPr>
        <w:t>（三）国有资产占用情况说明</w:t>
      </w:r>
    </w:p>
    <w:p w14:paraId="31BAD06A">
      <w:pPr>
        <w:spacing w:line="580" w:lineRule="exact"/>
        <w:ind w:firstLine="640"/>
        <w:jc w:val="both"/>
      </w:pPr>
      <w:r>
        <w:rPr>
          <w:rFonts w:ascii="仿宋_GB2312" w:hAnsi="仿宋_GB2312" w:eastAsia="仿宋_GB2312"/>
          <w:b w:val="0"/>
          <w:sz w:val="32"/>
        </w:rPr>
        <w:t>截至2024年12月31日，房屋60,623.72平方米，价值8,560.62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C0CD67">
      <w:pPr>
        <w:spacing w:line="640" w:lineRule="exact"/>
        <w:ind w:firstLine="640"/>
        <w:jc w:val="both"/>
        <w:outlineLvl w:val="2"/>
      </w:pPr>
      <w:r>
        <w:rPr>
          <w:rFonts w:ascii="黑体" w:hAnsi="黑体" w:eastAsia="黑体"/>
          <w:sz w:val="32"/>
        </w:rPr>
        <w:t>十一、预算绩效的情况说明</w:t>
      </w:r>
    </w:p>
    <w:p w14:paraId="09010F2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10,270.25万元，实际执行总额10,270.25万元；预算绩效评价项目0个，全年预算数0.00万元，全年执行数0.00万元。预算绩效管理取得的成效：一是2024年学校围绕工作计划，从抓管理、强素质入手，强化德育为先，教学为中心，教研为先导，质量为本的学校育人策略，全面实施素质教育，完成各项教学任务。二是建设了一支高素质的师资队伍，培养了一批业务精、敢于担当、勇于奉献的青年教师队伍，为学校可持续发展奠定基础，巩固、提高了教学成果。三是及时准确完成全年人员工资福利以及社保等缴费，合理使用公用经费以及工会费，花好每一分钱，把教育经费用到最关键处，切实提高了教育经费使用效益。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固定资产账务管理普遍存在入账不及时、漏入、入账信息、金额不准确或资产台账未登记到具体使用人等问题。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具体附整体支出绩效自评表。</w:t>
      </w:r>
    </w:p>
    <w:p w14:paraId="4F7732A4">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105"/>
        <w:gridCol w:w="1058"/>
        <w:gridCol w:w="1152"/>
        <w:gridCol w:w="1105"/>
        <w:gridCol w:w="1105"/>
        <w:gridCol w:w="1105"/>
      </w:tblGrid>
      <w:tr w14:paraId="0F0375F0">
        <w:tblPrEx>
          <w:tblCellMar>
            <w:top w:w="0" w:type="dxa"/>
            <w:left w:w="108" w:type="dxa"/>
            <w:bottom w:w="0" w:type="dxa"/>
            <w:right w:w="108" w:type="dxa"/>
          </w:tblCellMar>
        </w:tblPrEx>
        <w:tc>
          <w:tcPr>
            <w:tcW w:w="8840" w:type="dxa"/>
            <w:gridSpan w:val="8"/>
            <w:vAlign w:val="center"/>
          </w:tcPr>
          <w:p w14:paraId="2FF1E063">
            <w:pPr>
              <w:jc w:val="center"/>
            </w:pPr>
            <w:r>
              <w:rPr>
                <w:rFonts w:ascii="宋体" w:hAnsi="宋体" w:eastAsia="宋体"/>
                <w:sz w:val="24"/>
              </w:rPr>
              <w:t>单位整体支出绩效自评表</w:t>
            </w:r>
          </w:p>
        </w:tc>
      </w:tr>
      <w:tr w14:paraId="2744950D">
        <w:tblPrEx>
          <w:tblCellMar>
            <w:top w:w="0" w:type="dxa"/>
            <w:left w:w="108" w:type="dxa"/>
            <w:bottom w:w="0" w:type="dxa"/>
            <w:right w:w="108" w:type="dxa"/>
          </w:tblCellMar>
        </w:tblPrEx>
        <w:tc>
          <w:tcPr>
            <w:tcW w:w="8840" w:type="dxa"/>
            <w:gridSpan w:val="8"/>
            <w:vAlign w:val="center"/>
          </w:tcPr>
          <w:p w14:paraId="3A742F0C">
            <w:pPr>
              <w:jc w:val="center"/>
            </w:pPr>
            <w:r>
              <w:rPr>
                <w:rFonts w:ascii="宋体" w:hAnsi="宋体" w:eastAsia="宋体"/>
                <w:sz w:val="24"/>
              </w:rPr>
              <w:t>（2024年度）</w:t>
            </w:r>
          </w:p>
        </w:tc>
      </w:tr>
      <w:tr w14:paraId="1791F6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21D4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7F835">
            <w:pPr>
              <w:jc w:val="center"/>
            </w:pPr>
            <w:r>
              <w:rPr>
                <w:rFonts w:ascii="宋体" w:hAnsi="宋体" w:eastAsia="宋体"/>
                <w:sz w:val="16"/>
              </w:rPr>
              <w:t>霍城县芦草沟镇中心学校</w:t>
            </w:r>
          </w:p>
        </w:tc>
      </w:tr>
      <w:tr w14:paraId="29BCE2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815A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CA38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04ECA">
            <w:pPr>
              <w:jc w:val="center"/>
            </w:pPr>
            <w:r>
              <w:rPr>
                <w:rFonts w:ascii="宋体" w:hAnsi="宋体" w:eastAsia="宋体"/>
                <w:sz w:val="16"/>
              </w:rPr>
              <w:t>年初预算数</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65C433B4">
            <w:pPr>
              <w:jc w:val="center"/>
            </w:pPr>
            <w:r>
              <w:rPr>
                <w:rFonts w:ascii="宋体" w:hAnsi="宋体" w:eastAsia="宋体"/>
                <w:sz w:val="16"/>
              </w:rPr>
              <w:t>全年预算数</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047777A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3AC8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5858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13366">
            <w:pPr>
              <w:jc w:val="center"/>
            </w:pPr>
            <w:r>
              <w:rPr>
                <w:rFonts w:ascii="宋体" w:hAnsi="宋体" w:eastAsia="宋体"/>
                <w:sz w:val="16"/>
              </w:rPr>
              <w:t>得分</w:t>
            </w:r>
          </w:p>
        </w:tc>
      </w:tr>
      <w:tr w14:paraId="153F9F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ACFB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2926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47108">
            <w:pPr>
              <w:jc w:val="center"/>
            </w:pPr>
            <w:r>
              <w:rPr>
                <w:rFonts w:ascii="宋体" w:hAnsi="宋体" w:eastAsia="宋体"/>
                <w:sz w:val="16"/>
              </w:rPr>
              <w:t>9,648.46</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34B2C8B8">
            <w:pPr>
              <w:jc w:val="center"/>
            </w:pPr>
            <w:r>
              <w:rPr>
                <w:rFonts w:ascii="宋体" w:hAnsi="宋体" w:eastAsia="宋体"/>
                <w:sz w:val="16"/>
              </w:rPr>
              <w:t>10,270.25</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10AA715D">
            <w:pPr>
              <w:jc w:val="center"/>
            </w:pPr>
            <w:r>
              <w:rPr>
                <w:rFonts w:ascii="宋体" w:hAnsi="宋体" w:eastAsia="宋体"/>
                <w:sz w:val="16"/>
              </w:rPr>
              <w:t>10,270.25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A95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A12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83966">
            <w:pPr>
              <w:jc w:val="center"/>
            </w:pPr>
            <w:r>
              <w:rPr>
                <w:rFonts w:ascii="宋体" w:hAnsi="宋体" w:eastAsia="宋体"/>
                <w:sz w:val="16"/>
              </w:rPr>
              <w:t>10</w:t>
            </w:r>
          </w:p>
        </w:tc>
      </w:tr>
      <w:tr w14:paraId="04EBE2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FB9C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E825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080F1">
            <w:pPr>
              <w:jc w:val="center"/>
            </w:pPr>
            <w:r>
              <w:rPr>
                <w:rFonts w:ascii="宋体" w:hAnsi="宋体" w:eastAsia="宋体"/>
                <w:sz w:val="16"/>
              </w:rPr>
              <w:t>887.58</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5043D649">
            <w:pPr>
              <w:jc w:val="center"/>
            </w:pPr>
            <w:r>
              <w:rPr>
                <w:rFonts w:ascii="宋体" w:hAnsi="宋体" w:eastAsia="宋体"/>
                <w:sz w:val="16"/>
              </w:rPr>
              <w:t>1,509.37</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EE1BBFA">
            <w:pPr>
              <w:jc w:val="center"/>
            </w:pPr>
            <w:r>
              <w:rPr>
                <w:rFonts w:ascii="宋体" w:hAnsi="宋体" w:eastAsia="宋体"/>
                <w:sz w:val="16"/>
              </w:rPr>
              <w:t>1,509.37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75E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533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12319">
            <w:pPr>
              <w:jc w:val="center"/>
            </w:pPr>
            <w:r>
              <w:rPr>
                <w:rFonts w:ascii="宋体" w:hAnsi="宋体" w:eastAsia="宋体"/>
                <w:sz w:val="16"/>
              </w:rPr>
              <w:t>-</w:t>
            </w:r>
          </w:p>
        </w:tc>
      </w:tr>
      <w:tr w14:paraId="48860A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FA31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E6AF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073CB">
            <w:pPr>
              <w:jc w:val="center"/>
            </w:pPr>
            <w:r>
              <w:rPr>
                <w:rFonts w:ascii="宋体" w:hAnsi="宋体" w:eastAsia="宋体"/>
                <w:sz w:val="16"/>
              </w:rPr>
              <w:t>8,760.88</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292AE47C">
            <w:pPr>
              <w:jc w:val="center"/>
            </w:pPr>
            <w:r>
              <w:rPr>
                <w:rFonts w:ascii="宋体" w:hAnsi="宋体" w:eastAsia="宋体"/>
                <w:sz w:val="16"/>
              </w:rPr>
              <w:t>8,760.88</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303E2C89">
            <w:pPr>
              <w:jc w:val="center"/>
            </w:pPr>
            <w:r>
              <w:rPr>
                <w:rFonts w:ascii="宋体" w:hAnsi="宋体" w:eastAsia="宋体"/>
                <w:sz w:val="16"/>
              </w:rPr>
              <w:t>8,760.88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D04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D18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B8861">
            <w:pPr>
              <w:jc w:val="center"/>
            </w:pPr>
            <w:r>
              <w:rPr>
                <w:rFonts w:ascii="宋体" w:hAnsi="宋体" w:eastAsia="宋体"/>
                <w:sz w:val="16"/>
              </w:rPr>
              <w:t>-</w:t>
            </w:r>
          </w:p>
        </w:tc>
      </w:tr>
      <w:tr w14:paraId="3883C0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F5C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AD74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20742">
            <w:pPr>
              <w:jc w:val="center"/>
            </w:pPr>
            <w:r>
              <w:rPr>
                <w:rFonts w:ascii="宋体" w:hAnsi="宋体" w:eastAsia="宋体"/>
                <w:sz w:val="16"/>
              </w:rPr>
              <w:t>0.00</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34124C29">
            <w:pPr>
              <w:jc w:val="center"/>
            </w:pPr>
            <w:r>
              <w:rPr>
                <w:rFonts w:ascii="宋体" w:hAnsi="宋体" w:eastAsia="宋体"/>
                <w:sz w:val="16"/>
              </w:rPr>
              <w:t>0.00</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0B157C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FB5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45A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CF08E">
            <w:pPr>
              <w:jc w:val="center"/>
            </w:pPr>
            <w:r>
              <w:rPr>
                <w:rFonts w:ascii="宋体" w:hAnsi="宋体" w:eastAsia="宋体"/>
                <w:sz w:val="16"/>
              </w:rPr>
              <w:t>-</w:t>
            </w:r>
          </w:p>
        </w:tc>
      </w:tr>
      <w:tr w14:paraId="0093E0E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AB1A3">
            <w:pPr>
              <w:jc w:val="center"/>
            </w:pPr>
            <w:r>
              <w:rPr>
                <w:rFonts w:ascii="宋体" w:hAnsi="宋体" w:eastAsia="宋体"/>
                <w:sz w:val="16"/>
              </w:rPr>
              <w:t>年度总体目标</w:t>
            </w:r>
          </w:p>
        </w:tc>
        <w:tc>
          <w:tcPr>
            <w:tcW w:w="32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4FFEE7">
            <w:pPr>
              <w:jc w:val="center"/>
            </w:pPr>
            <w:r>
              <w:rPr>
                <w:rFonts w:ascii="宋体" w:hAnsi="宋体" w:eastAsia="宋体"/>
                <w:sz w:val="16"/>
              </w:rPr>
              <w:t>预期目标</w:t>
            </w:r>
          </w:p>
        </w:tc>
        <w:tc>
          <w:tcPr>
            <w:tcW w:w="446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4D5DCF">
            <w:pPr>
              <w:jc w:val="center"/>
            </w:pPr>
            <w:r>
              <w:rPr>
                <w:rFonts w:ascii="宋体" w:hAnsi="宋体" w:eastAsia="宋体"/>
                <w:sz w:val="16"/>
              </w:rPr>
              <w:t>实际完成情况</w:t>
            </w:r>
          </w:p>
        </w:tc>
      </w:tr>
      <w:tr w14:paraId="5D8E6B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0D7189"/>
        </w:tc>
        <w:tc>
          <w:tcPr>
            <w:tcW w:w="32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B64578">
            <w:pPr>
              <w:jc w:val="both"/>
            </w:pPr>
            <w:r>
              <w:rPr>
                <w:rFonts w:ascii="宋体" w:hAnsi="宋体" w:eastAsia="宋体"/>
                <w:sz w:val="16"/>
              </w:rPr>
              <w:t>贯彻落实党中央教育方针，执行上级颁布及学校制定的有关总务工作制度，2024年芦草沟镇中心学校以质量兴教为根本，努力提高教育教学质量，办让家长放心、让人民满意的教育。管好用好国家的教育资金，改善和优化农村的办学条件，力争使社会对水定镇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建设一支高素质的师资队伍，为学校可持续发展奠定基础，巩固、提升教学成果，普及学前教育、小学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。我们将有计划、有目标、有步骤地教育学生从小懂得保护环境的重要性，为他们一生的环境意识打下良好的基础。</w:t>
            </w:r>
          </w:p>
        </w:tc>
        <w:tc>
          <w:tcPr>
            <w:tcW w:w="446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A043D4">
            <w:pPr>
              <w:jc w:val="both"/>
            </w:pPr>
            <w:r>
              <w:rPr>
                <w:rFonts w:ascii="宋体" w:hAnsi="宋体" w:eastAsia="宋体"/>
                <w:sz w:val="16"/>
              </w:rPr>
              <w:t>一、2024年学校围绕工作计划，从抓管理、强素质入手，强化德育为先，教学为中心，教研为先导，质量为本的学校育人策略，全面实施素质教育，完成各项教学任务。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二、建设了一支高素质的师资队伍，培养了一批业务精、敢于担当、勇于奉献的青年教师队伍，为学校可持续发展奠定基础，巩固、提高了教学成果。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三及时准确完成全年人员工资福利以及社保等缴费，合理使用公用经费以及工会费，花好每一分钱，把教育经费用到最关键处，切实提高了教育经费使用效益。</w:t>
            </w:r>
          </w:p>
        </w:tc>
      </w:tr>
      <w:tr w14:paraId="4BD63BF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BEB6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03FE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B6D45">
            <w:pPr>
              <w:jc w:val="center"/>
            </w:pPr>
            <w:r>
              <w:rPr>
                <w:rFonts w:ascii="宋体" w:hAnsi="宋体" w:eastAsia="宋体"/>
                <w:sz w:val="16"/>
              </w:rPr>
              <w:t>三级指标</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35F906EE">
            <w:pPr>
              <w:jc w:val="center"/>
            </w:pPr>
            <w:r>
              <w:rPr>
                <w:rFonts w:ascii="宋体" w:hAnsi="宋体" w:eastAsia="宋体"/>
                <w:sz w:val="16"/>
              </w:rPr>
              <w:t>预期指标值</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57C8C2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F4F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E67A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FC9BF">
            <w:pPr>
              <w:jc w:val="center"/>
            </w:pPr>
            <w:r>
              <w:rPr>
                <w:rFonts w:ascii="宋体" w:hAnsi="宋体" w:eastAsia="宋体"/>
                <w:sz w:val="16"/>
              </w:rPr>
              <w:t>得分</w:t>
            </w:r>
          </w:p>
        </w:tc>
      </w:tr>
      <w:tr w14:paraId="15D5AA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05E7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B143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6AC0C">
            <w:pPr>
              <w:jc w:val="center"/>
            </w:pPr>
            <w:r>
              <w:rPr>
                <w:rFonts w:ascii="宋体" w:hAnsi="宋体" w:eastAsia="宋体"/>
                <w:sz w:val="16"/>
              </w:rPr>
              <w:t>学前教育毛入园率</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5CD713DB">
            <w:pPr>
              <w:jc w:val="center"/>
            </w:pPr>
            <w:r>
              <w:rPr>
                <w:rFonts w:ascii="宋体" w:hAnsi="宋体" w:eastAsia="宋体"/>
                <w:sz w:val="16"/>
              </w:rPr>
              <w:t>&gt;=99%</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5DA15E2E">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FF37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F8B11">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90EC3">
            <w:pPr>
              <w:jc w:val="center"/>
            </w:pPr>
            <w:r>
              <w:rPr>
                <w:rFonts w:ascii="宋体" w:hAnsi="宋体" w:eastAsia="宋体"/>
                <w:sz w:val="16"/>
              </w:rPr>
              <w:t>20</w:t>
            </w:r>
          </w:p>
        </w:tc>
      </w:tr>
      <w:tr w14:paraId="516D05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40F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AF5B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36661">
            <w:pPr>
              <w:jc w:val="center"/>
            </w:pPr>
            <w:r>
              <w:rPr>
                <w:rFonts w:ascii="宋体" w:hAnsi="宋体" w:eastAsia="宋体"/>
                <w:sz w:val="16"/>
              </w:rPr>
              <w:t>义务教育贫困生受助率</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1D2DFD0C">
            <w:pPr>
              <w:jc w:val="center"/>
            </w:pPr>
            <w:r>
              <w:rPr>
                <w:rFonts w:ascii="宋体" w:hAnsi="宋体" w:eastAsia="宋体"/>
                <w:sz w:val="16"/>
              </w:rPr>
              <w:t>&gt;=30%</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6B2F670D">
            <w:pPr>
              <w:jc w:val="center"/>
            </w:pPr>
            <w:r>
              <w:rPr>
                <w:rFonts w:ascii="宋体" w:hAnsi="宋体" w:eastAsia="宋体"/>
                <w:sz w:val="16"/>
              </w:rPr>
              <w:t>教育系统学生资助及惠民政策（资助中心）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0484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8F55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93160">
            <w:pPr>
              <w:jc w:val="center"/>
            </w:pPr>
            <w:r>
              <w:rPr>
                <w:rFonts w:ascii="宋体" w:hAnsi="宋体" w:eastAsia="宋体"/>
                <w:sz w:val="16"/>
              </w:rPr>
              <w:t>15</w:t>
            </w:r>
          </w:p>
        </w:tc>
      </w:tr>
      <w:tr w14:paraId="6CC906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048E1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542A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CA20D">
            <w:pPr>
              <w:jc w:val="center"/>
            </w:pPr>
            <w:r>
              <w:rPr>
                <w:rFonts w:ascii="宋体" w:hAnsi="宋体" w:eastAsia="宋体"/>
                <w:sz w:val="16"/>
              </w:rPr>
              <w:t>控辍保学辍学率</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56FC4EC8">
            <w:pPr>
              <w:jc w:val="center"/>
            </w:pPr>
            <w:r>
              <w:rPr>
                <w:rFonts w:ascii="宋体" w:hAnsi="宋体" w:eastAsia="宋体"/>
                <w:sz w:val="16"/>
              </w:rPr>
              <w:t>=0%</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0D5047AA">
            <w:pPr>
              <w:jc w:val="center"/>
            </w:pPr>
            <w:r>
              <w:rPr>
                <w:rFonts w:ascii="宋体" w:hAnsi="宋体" w:eastAsia="宋体"/>
                <w:sz w:val="16"/>
              </w:rPr>
              <w:t>2024年学校教育教学工作计划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D7A4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777F1">
            <w:pPr>
              <w:jc w:val="center"/>
            </w:pPr>
            <w:r>
              <w:rPr>
                <w:rFonts w:ascii="宋体" w:hAnsi="宋体" w:eastAsia="宋体"/>
                <w:sz w:val="16"/>
              </w:rPr>
              <w:t>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B3315">
            <w:pPr>
              <w:jc w:val="center"/>
            </w:pPr>
            <w:r>
              <w:rPr>
                <w:rFonts w:ascii="宋体" w:hAnsi="宋体" w:eastAsia="宋体"/>
                <w:sz w:val="16"/>
              </w:rPr>
              <w:t>20</w:t>
            </w:r>
          </w:p>
        </w:tc>
      </w:tr>
      <w:tr w14:paraId="2317A5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8ECF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F447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72283">
            <w:pPr>
              <w:jc w:val="center"/>
            </w:pPr>
            <w:r>
              <w:rPr>
                <w:rFonts w:ascii="宋体" w:hAnsi="宋体" w:eastAsia="宋体"/>
                <w:sz w:val="16"/>
              </w:rPr>
              <w:t>小学学生人数</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09844350">
            <w:pPr>
              <w:jc w:val="center"/>
            </w:pPr>
            <w:r>
              <w:rPr>
                <w:rFonts w:ascii="宋体" w:hAnsi="宋体" w:eastAsia="宋体"/>
                <w:sz w:val="16"/>
              </w:rPr>
              <w:t>=3066人</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1FFE900">
            <w:pPr>
              <w:jc w:val="center"/>
            </w:pPr>
            <w:r>
              <w:rPr>
                <w:rFonts w:ascii="宋体" w:hAnsi="宋体" w:eastAsia="宋体"/>
                <w:sz w:val="16"/>
              </w:rPr>
              <w:t>2024年教育综合统计调查表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F348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942ED">
            <w:pPr>
              <w:jc w:val="center"/>
            </w:pPr>
            <w:r>
              <w:rPr>
                <w:rFonts w:ascii="宋体" w:hAnsi="宋体" w:eastAsia="宋体"/>
                <w:sz w:val="16"/>
              </w:rPr>
              <w:t>3066人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AD83A">
            <w:pPr>
              <w:jc w:val="center"/>
            </w:pPr>
            <w:r>
              <w:rPr>
                <w:rFonts w:ascii="宋体" w:hAnsi="宋体" w:eastAsia="宋体"/>
                <w:sz w:val="16"/>
              </w:rPr>
              <w:t>20</w:t>
            </w:r>
          </w:p>
        </w:tc>
      </w:tr>
      <w:tr w14:paraId="58EC80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32E4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D3285">
            <w:pPr>
              <w:jc w:val="center"/>
            </w:pPr>
            <w:r>
              <w:rPr>
                <w:rFonts w:ascii="宋体" w:hAnsi="宋体" w:eastAsia="宋体"/>
                <w:sz w:val="16"/>
              </w:rPr>
              <w:t>数量目标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969BC">
            <w:pPr>
              <w:jc w:val="center"/>
            </w:pPr>
            <w:r>
              <w:rPr>
                <w:rFonts w:ascii="宋体" w:hAnsi="宋体" w:eastAsia="宋体"/>
                <w:sz w:val="16"/>
              </w:rPr>
              <w:t>义务教育巩固率</w:t>
            </w:r>
          </w:p>
        </w:tc>
        <w:tc>
          <w:tcPr>
            <w:tcW w:w="1058" w:type="dxa"/>
            <w:tcBorders>
              <w:top w:val="single" w:color="auto" w:sz="10" w:space="0"/>
              <w:left w:val="single" w:color="auto" w:sz="10" w:space="0"/>
              <w:bottom w:val="single" w:color="auto" w:sz="10" w:space="0"/>
              <w:right w:val="single" w:color="auto" w:sz="10" w:space="0"/>
              <w:insideV w:val="single" w:sz="10" w:space="0"/>
            </w:tcBorders>
            <w:vAlign w:val="center"/>
          </w:tcPr>
          <w:p w14:paraId="1F2DCEF5">
            <w:pPr>
              <w:jc w:val="center"/>
            </w:pPr>
            <w:r>
              <w:rPr>
                <w:rFonts w:ascii="宋体" w:hAnsi="宋体" w:eastAsia="宋体"/>
                <w:sz w:val="16"/>
              </w:rPr>
              <w:t>&gt;=98%</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702711C2">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0B0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BD62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13BCA">
            <w:pPr>
              <w:jc w:val="center"/>
            </w:pPr>
            <w:r>
              <w:rPr>
                <w:rFonts w:ascii="宋体" w:hAnsi="宋体" w:eastAsia="宋体"/>
                <w:sz w:val="16"/>
              </w:rPr>
              <w:t>15</w:t>
            </w:r>
          </w:p>
        </w:tc>
      </w:tr>
    </w:tbl>
    <w:p w14:paraId="091D2B69">
      <w:r>
        <w:br w:type="page"/>
      </w:r>
    </w:p>
    <w:p w14:paraId="120AA093">
      <w:pPr>
        <w:spacing w:line="640" w:lineRule="exact"/>
        <w:ind w:firstLine="640"/>
        <w:jc w:val="both"/>
        <w:outlineLvl w:val="2"/>
      </w:pPr>
      <w:r>
        <w:rPr>
          <w:rFonts w:ascii="黑体" w:hAnsi="黑体" w:eastAsia="黑体"/>
          <w:sz w:val="32"/>
        </w:rPr>
        <w:t>十二、其他需说明的事项</w:t>
      </w:r>
    </w:p>
    <w:p w14:paraId="50B017BE">
      <w:pPr>
        <w:spacing w:line="580" w:lineRule="exact"/>
        <w:ind w:firstLine="640"/>
        <w:jc w:val="both"/>
      </w:pPr>
      <w:r>
        <w:rPr>
          <w:rFonts w:ascii="仿宋_GB2312" w:hAnsi="仿宋_GB2312" w:eastAsia="仿宋_GB2312"/>
          <w:b w:val="0"/>
          <w:sz w:val="32"/>
        </w:rPr>
        <w:t>本单位无其他需说明的事项。</w:t>
      </w:r>
    </w:p>
    <w:p w14:paraId="733D6E90">
      <w:r>
        <w:br w:type="page"/>
      </w:r>
    </w:p>
    <w:p w14:paraId="4568EBCF">
      <w:pPr>
        <w:spacing w:line="240" w:lineRule="auto"/>
        <w:jc w:val="center"/>
        <w:outlineLvl w:val="1"/>
      </w:pPr>
      <w:r>
        <w:rPr>
          <w:rFonts w:ascii="黑体" w:hAnsi="黑体" w:eastAsia="黑体"/>
          <w:sz w:val="32"/>
        </w:rPr>
        <w:t>第三部分 专业名词解释</w:t>
      </w:r>
    </w:p>
    <w:p w14:paraId="438A72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9240C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DA8C69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5CE76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17B7A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19C5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C023F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71DD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23E3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4685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C055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1214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E3AC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4DD1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969E37">
      <w:r>
        <w:br w:type="page"/>
      </w:r>
    </w:p>
    <w:p w14:paraId="3C51CE2F">
      <w:pPr>
        <w:spacing w:line="240" w:lineRule="auto"/>
        <w:jc w:val="center"/>
        <w:outlineLvl w:val="1"/>
      </w:pPr>
      <w:r>
        <w:rPr>
          <w:rFonts w:ascii="黑体" w:hAnsi="黑体" w:eastAsia="黑体"/>
          <w:sz w:val="32"/>
        </w:rPr>
        <w:t>第四部分 部门决算报表（见附表）</w:t>
      </w:r>
    </w:p>
    <w:p w14:paraId="4AB68AED">
      <w:pPr>
        <w:spacing w:line="240" w:lineRule="auto"/>
        <w:ind w:firstLine="640"/>
        <w:jc w:val="both"/>
      </w:pPr>
      <w:r>
        <w:rPr>
          <w:rFonts w:ascii="仿宋_GB2312" w:hAnsi="仿宋_GB2312" w:eastAsia="仿宋_GB2312"/>
          <w:b w:val="0"/>
          <w:sz w:val="32"/>
        </w:rPr>
        <w:t>一、《收入支出决算总表》</w:t>
      </w:r>
    </w:p>
    <w:p w14:paraId="33D87ED8">
      <w:pPr>
        <w:spacing w:line="240" w:lineRule="auto"/>
        <w:ind w:firstLine="640"/>
        <w:jc w:val="both"/>
      </w:pPr>
      <w:r>
        <w:rPr>
          <w:rFonts w:ascii="仿宋_GB2312" w:hAnsi="仿宋_GB2312" w:eastAsia="仿宋_GB2312"/>
          <w:b w:val="0"/>
          <w:sz w:val="32"/>
        </w:rPr>
        <w:t>二、《收入决算表》</w:t>
      </w:r>
    </w:p>
    <w:p w14:paraId="6DB0167F">
      <w:pPr>
        <w:spacing w:line="240" w:lineRule="auto"/>
        <w:ind w:firstLine="640"/>
        <w:jc w:val="both"/>
      </w:pPr>
      <w:r>
        <w:rPr>
          <w:rFonts w:ascii="仿宋_GB2312" w:hAnsi="仿宋_GB2312" w:eastAsia="仿宋_GB2312"/>
          <w:b w:val="0"/>
          <w:sz w:val="32"/>
        </w:rPr>
        <w:t>三、《支出决算表》</w:t>
      </w:r>
    </w:p>
    <w:p w14:paraId="49C1DDB4">
      <w:pPr>
        <w:spacing w:line="240" w:lineRule="auto"/>
        <w:ind w:firstLine="640"/>
        <w:jc w:val="both"/>
      </w:pPr>
      <w:r>
        <w:rPr>
          <w:rFonts w:ascii="仿宋_GB2312" w:hAnsi="仿宋_GB2312" w:eastAsia="仿宋_GB2312"/>
          <w:b w:val="0"/>
          <w:sz w:val="32"/>
        </w:rPr>
        <w:t>四、《财政拨款收入支出决算总表》</w:t>
      </w:r>
    </w:p>
    <w:p w14:paraId="58DFB46F">
      <w:pPr>
        <w:spacing w:line="240" w:lineRule="auto"/>
        <w:ind w:firstLine="640"/>
        <w:jc w:val="both"/>
      </w:pPr>
      <w:r>
        <w:rPr>
          <w:rFonts w:ascii="仿宋_GB2312" w:hAnsi="仿宋_GB2312" w:eastAsia="仿宋_GB2312"/>
          <w:b w:val="0"/>
          <w:sz w:val="32"/>
        </w:rPr>
        <w:t>五、《一般公共预算财政拨款支出决算表》</w:t>
      </w:r>
    </w:p>
    <w:p w14:paraId="4D3F6C2B">
      <w:pPr>
        <w:spacing w:line="240" w:lineRule="auto"/>
        <w:ind w:firstLine="640"/>
        <w:jc w:val="both"/>
      </w:pPr>
      <w:r>
        <w:rPr>
          <w:rFonts w:ascii="仿宋_GB2312" w:hAnsi="仿宋_GB2312" w:eastAsia="仿宋_GB2312"/>
          <w:b w:val="0"/>
          <w:sz w:val="32"/>
        </w:rPr>
        <w:t>六、《一般公共预算财政拨款基本支出决算表》</w:t>
      </w:r>
    </w:p>
    <w:p w14:paraId="4BB33485">
      <w:pPr>
        <w:spacing w:line="240" w:lineRule="auto"/>
        <w:ind w:firstLine="640"/>
        <w:jc w:val="both"/>
      </w:pPr>
      <w:r>
        <w:rPr>
          <w:rFonts w:ascii="仿宋_GB2312" w:hAnsi="仿宋_GB2312" w:eastAsia="仿宋_GB2312"/>
          <w:b w:val="0"/>
          <w:sz w:val="32"/>
        </w:rPr>
        <w:t>七、《政府性基金预算财政拨款收入支出决算表》</w:t>
      </w:r>
    </w:p>
    <w:p w14:paraId="66EBDAF4">
      <w:pPr>
        <w:spacing w:line="240" w:lineRule="auto"/>
        <w:ind w:firstLine="640"/>
        <w:jc w:val="both"/>
      </w:pPr>
      <w:r>
        <w:rPr>
          <w:rFonts w:ascii="仿宋_GB2312" w:hAnsi="仿宋_GB2312" w:eastAsia="仿宋_GB2312"/>
          <w:b w:val="0"/>
          <w:sz w:val="32"/>
        </w:rPr>
        <w:t>八、《国有资本经营预算财政拨款收入支出决算表》</w:t>
      </w:r>
    </w:p>
    <w:p w14:paraId="486B7CAB">
      <w:pPr>
        <w:spacing w:line="240" w:lineRule="auto"/>
        <w:ind w:firstLine="640"/>
        <w:jc w:val="both"/>
      </w:pPr>
      <w:r>
        <w:rPr>
          <w:rFonts w:ascii="仿宋_GB2312" w:hAnsi="仿宋_GB2312" w:eastAsia="仿宋_GB2312"/>
          <w:b w:val="0"/>
          <w:sz w:val="32"/>
        </w:rPr>
        <w:t>九、《财政拨款“三公”经费支出决算表》</w:t>
      </w:r>
    </w:p>
    <w:p w14:paraId="36F39F1B">
      <w:pPr>
        <w:spacing w:line="240" w:lineRule="auto"/>
        <w:ind w:firstLine="640"/>
        <w:jc w:val="both"/>
      </w:pPr>
    </w:p>
    <w:p w14:paraId="08BEB761">
      <w:pPr>
        <w:spacing w:line="240" w:lineRule="auto"/>
        <w:ind w:firstLine="640"/>
        <w:jc w:val="both"/>
      </w:pPr>
    </w:p>
    <w:p w14:paraId="59BF6232">
      <w:pPr>
        <w:spacing w:line="240" w:lineRule="auto"/>
        <w:ind w:firstLine="640"/>
        <w:jc w:val="both"/>
      </w:pPr>
    </w:p>
    <w:p w14:paraId="33DCCD09">
      <w:pPr>
        <w:spacing w:line="240" w:lineRule="auto"/>
        <w:ind w:firstLine="640"/>
        <w:jc w:val="both"/>
      </w:pPr>
    </w:p>
    <w:p w14:paraId="410DB5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22F48A-5284-4DDA-8D6A-E27DB86C49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2075506-E09E-4B98-B38A-019AAF08A6CA}"/>
  </w:font>
  <w:font w:name="仿宋_GB2312">
    <w:altName w:val="仿宋"/>
    <w:panose1 w:val="02010609030101010101"/>
    <w:charset w:val="86"/>
    <w:family w:val="modern"/>
    <w:pitch w:val="default"/>
    <w:sig w:usb0="00000000" w:usb1="00000000" w:usb2="00000000" w:usb3="00000000" w:csb0="00040000" w:csb1="00000000"/>
    <w:embedRegular r:id="rId3" w:fontKey="{D53BCBA0-4908-49E3-957A-7BD6C912A211}"/>
  </w:font>
  <w:font w:name="楷体_GB2312">
    <w:altName w:val="楷体"/>
    <w:panose1 w:val="02010609030101010101"/>
    <w:charset w:val="86"/>
    <w:family w:val="auto"/>
    <w:pitch w:val="default"/>
    <w:sig w:usb0="00000000" w:usb1="00000000" w:usb2="00000000" w:usb3="00000000" w:csb0="00040000" w:csb1="00000000"/>
    <w:embedRegular r:id="rId4" w:fontKey="{F64741EF-FC9F-4423-8224-76A96264B565}"/>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2657DC"/>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125CA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7362</Words>
  <Characters>8334</Characters>
  <Lines>0</Lines>
  <Paragraphs>0</Paragraphs>
  <TotalTime>17</TotalTime>
  <ScaleCrop>false</ScaleCrop>
  <LinksUpToDate>false</LinksUpToDate>
  <CharactersWithSpaces>8344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