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霍城县良繁场中心学校2024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374182A">
      <w:r>
        <w:br w:type="page"/>
      </w:r>
    </w:p>
    <w:p w14:paraId="44BD9416">
      <w:pPr>
        <w:spacing w:line="640" w:lineRule="exact"/>
        <w:jc w:val="center"/>
        <w:outlineLvl w:val="1"/>
      </w:pPr>
      <w:r>
        <w:rPr>
          <w:rFonts w:ascii="黑体" w:hAnsi="黑体" w:eastAsia="黑体"/>
          <w:sz w:val="32"/>
        </w:rPr>
        <w:t>第一部分 单位概况</w:t>
      </w:r>
    </w:p>
    <w:p w14:paraId="304C7074">
      <w:pPr>
        <w:spacing w:line="640" w:lineRule="exact"/>
        <w:ind w:firstLine="640"/>
        <w:jc w:val="both"/>
        <w:outlineLvl w:val="2"/>
      </w:pPr>
      <w:r>
        <w:rPr>
          <w:rFonts w:ascii="黑体" w:hAnsi="黑体" w:eastAsia="黑体"/>
          <w:sz w:val="32"/>
        </w:rPr>
        <w:t>一、主要职能</w:t>
      </w:r>
    </w:p>
    <w:p w14:paraId="68CB3FDB">
      <w:pPr>
        <w:spacing w:line="580" w:lineRule="exact"/>
        <w:ind w:firstLine="640"/>
        <w:jc w:val="both"/>
      </w:pPr>
      <w:r>
        <w:rPr>
          <w:rFonts w:ascii="仿宋_GB2312" w:hAnsi="仿宋_GB2312" w:eastAsia="仿宋_GB2312"/>
          <w:sz w:val="32"/>
        </w:rPr>
        <w:t>霍城县良繁场中心学校系九年一贯制学校，组织教育教学、科学研究活动，保证教育教学质量。维护教职工利益，保障教职工合法权益，以教职工和学生的人生幸福和生命质量作为重点。</w:t>
      </w:r>
    </w:p>
    <w:p w14:paraId="4621783F">
      <w:pPr>
        <w:spacing w:line="640" w:lineRule="exact"/>
        <w:ind w:firstLine="640"/>
        <w:jc w:val="both"/>
        <w:outlineLvl w:val="2"/>
      </w:pPr>
      <w:r>
        <w:rPr>
          <w:rFonts w:ascii="黑体" w:hAnsi="黑体" w:eastAsia="黑体"/>
          <w:sz w:val="32"/>
        </w:rPr>
        <w:t>二、机构设置及人员情况</w:t>
      </w:r>
    </w:p>
    <w:p w14:paraId="2DB30F1B">
      <w:pPr>
        <w:spacing w:line="580" w:lineRule="exact"/>
        <w:ind w:firstLine="640"/>
        <w:jc w:val="both"/>
      </w:pPr>
      <w:r>
        <w:rPr>
          <w:rFonts w:ascii="仿宋_GB2312" w:hAnsi="仿宋_GB2312" w:eastAsia="仿宋_GB2312"/>
          <w:sz w:val="32"/>
        </w:rPr>
        <w:t>霍城县良繁场中心学校2024年度，实有人数49人，其中：在职人员34人，增加2人；离休人员0人，增加0人；退休人员15人,增加0人。</w:t>
      </w:r>
    </w:p>
    <w:p w14:paraId="24968C2A">
      <w:pPr>
        <w:spacing w:line="580" w:lineRule="exact"/>
        <w:ind w:firstLine="640"/>
        <w:jc w:val="both"/>
      </w:pPr>
      <w:r>
        <w:rPr>
          <w:rFonts w:ascii="仿宋_GB2312" w:hAnsi="仿宋_GB2312" w:eastAsia="仿宋_GB2312"/>
          <w:sz w:val="32"/>
        </w:rPr>
        <w:t>霍城县良繁场中心学校无下属预算单位，下设5个科室，分别是：办公室、校长办、教务处、平安办、党建办。</w:t>
      </w:r>
    </w:p>
    <w:p w14:paraId="42E67125">
      <w:r>
        <w:br w:type="page"/>
      </w:r>
    </w:p>
    <w:p w14:paraId="0E2BFFB8">
      <w:pPr>
        <w:spacing w:line="240" w:lineRule="auto"/>
        <w:jc w:val="center"/>
        <w:outlineLvl w:val="1"/>
      </w:pPr>
      <w:r>
        <w:rPr>
          <w:rFonts w:ascii="黑体" w:hAnsi="黑体" w:eastAsia="黑体"/>
          <w:sz w:val="32"/>
        </w:rPr>
        <w:t>第二部分 部门决算情况说明</w:t>
      </w:r>
    </w:p>
    <w:p w14:paraId="784C5BEA">
      <w:pPr>
        <w:spacing w:line="640" w:lineRule="exact"/>
        <w:ind w:firstLine="640"/>
        <w:jc w:val="both"/>
        <w:outlineLvl w:val="2"/>
      </w:pPr>
      <w:r>
        <w:rPr>
          <w:rFonts w:ascii="黑体" w:hAnsi="黑体" w:eastAsia="黑体"/>
          <w:sz w:val="32"/>
        </w:rPr>
        <w:t>一、收入支出决算总体情况说明</w:t>
      </w:r>
    </w:p>
    <w:p w14:paraId="3C4FDB87">
      <w:pPr>
        <w:spacing w:line="580" w:lineRule="exact"/>
        <w:ind w:firstLine="640"/>
        <w:jc w:val="both"/>
      </w:pPr>
      <w:r>
        <w:rPr>
          <w:rFonts w:ascii="仿宋_GB2312" w:hAnsi="仿宋_GB2312" w:eastAsia="仿宋_GB2312"/>
          <w:b/>
          <w:sz w:val="32"/>
        </w:rPr>
        <w:t>2024年度收入总计732.41万元，</w:t>
      </w:r>
      <w:r>
        <w:rPr>
          <w:rFonts w:ascii="仿宋_GB2312" w:hAnsi="仿宋_GB2312" w:eastAsia="仿宋_GB2312"/>
          <w:b w:val="0"/>
          <w:sz w:val="32"/>
        </w:rPr>
        <w:t>其中：本年收入合计732.41万元，使用非财政拨款结余（含专用结余）0.00万元，年初结转和结余0.00万元。</w:t>
      </w:r>
    </w:p>
    <w:p w14:paraId="202BCBAB">
      <w:pPr>
        <w:spacing w:line="580" w:lineRule="exact"/>
        <w:ind w:firstLine="640"/>
        <w:jc w:val="both"/>
      </w:pPr>
      <w:r>
        <w:rPr>
          <w:rFonts w:ascii="仿宋_GB2312" w:hAnsi="仿宋_GB2312" w:eastAsia="仿宋_GB2312"/>
          <w:b/>
          <w:sz w:val="32"/>
        </w:rPr>
        <w:t>2024年度支出总计732.41万元，</w:t>
      </w:r>
      <w:r>
        <w:rPr>
          <w:rFonts w:ascii="仿宋_GB2312" w:hAnsi="仿宋_GB2312" w:eastAsia="仿宋_GB2312"/>
          <w:b w:val="0"/>
          <w:sz w:val="32"/>
        </w:rPr>
        <w:t>其中：本年支出合计732.41万元，结余分配0.00万元，年末结转和结余0.00万元。</w:t>
      </w:r>
    </w:p>
    <w:p w14:paraId="25B4EB6C">
      <w:pPr>
        <w:spacing w:line="580" w:lineRule="exact"/>
        <w:ind w:firstLine="640"/>
        <w:jc w:val="both"/>
      </w:pPr>
      <w:r>
        <w:rPr>
          <w:rFonts w:ascii="仿宋_GB2312" w:hAnsi="仿宋_GB2312" w:eastAsia="仿宋_GB2312"/>
          <w:b w:val="0"/>
          <w:sz w:val="32"/>
        </w:rPr>
        <w:t>收入支出总体与上年相比，减少16.47万元，下降2.20%，主要原因是：1.本年减少园舍维修、校舍维修等项目；2.入学学生人数减少，导致公用经费减少。</w:t>
      </w:r>
    </w:p>
    <w:p w14:paraId="3470DDF4">
      <w:pPr>
        <w:spacing w:line="640" w:lineRule="exact"/>
        <w:ind w:firstLine="640"/>
        <w:jc w:val="both"/>
        <w:outlineLvl w:val="2"/>
      </w:pPr>
      <w:r>
        <w:rPr>
          <w:rFonts w:ascii="黑体" w:hAnsi="黑体" w:eastAsia="黑体"/>
          <w:sz w:val="32"/>
        </w:rPr>
        <w:t>二、收入决算情况说明</w:t>
      </w:r>
    </w:p>
    <w:p w14:paraId="3B61DBB6">
      <w:pPr>
        <w:spacing w:line="580" w:lineRule="exact"/>
        <w:ind w:firstLine="640"/>
        <w:jc w:val="both"/>
      </w:pPr>
      <w:r>
        <w:rPr>
          <w:rFonts w:ascii="仿宋_GB2312" w:hAnsi="仿宋_GB2312" w:eastAsia="仿宋_GB2312"/>
          <w:b/>
          <w:sz w:val="32"/>
        </w:rPr>
        <w:t>本年收入732.41万元，</w:t>
      </w:r>
      <w:r>
        <w:rPr>
          <w:rFonts w:ascii="仿宋_GB2312" w:hAnsi="仿宋_GB2312" w:eastAsia="仿宋_GB2312"/>
          <w:b w:val="0"/>
          <w:sz w:val="32"/>
        </w:rPr>
        <w:t>其中：财政拨款收入732.41万元，占100.00%；上级补助收入0.00万元，占0.00%；事业收入0.00万元，占0.00%；经营收入0.00万元，占0.00%；附属单位上缴收入0.00万元，占0.00%；其他收入0.00万元，占0.00%。</w:t>
      </w:r>
    </w:p>
    <w:p w14:paraId="3ADEB253">
      <w:pPr>
        <w:spacing w:line="640" w:lineRule="exact"/>
        <w:ind w:firstLine="640"/>
        <w:jc w:val="both"/>
        <w:outlineLvl w:val="2"/>
      </w:pPr>
      <w:r>
        <w:rPr>
          <w:rFonts w:ascii="黑体" w:hAnsi="黑体" w:eastAsia="黑体"/>
          <w:sz w:val="32"/>
        </w:rPr>
        <w:t>三、支出决算情况说明</w:t>
      </w:r>
    </w:p>
    <w:p w14:paraId="4D893B10">
      <w:pPr>
        <w:spacing w:line="580" w:lineRule="exact"/>
        <w:ind w:firstLine="640"/>
        <w:jc w:val="both"/>
      </w:pPr>
      <w:r>
        <w:rPr>
          <w:rFonts w:ascii="仿宋_GB2312" w:hAnsi="仿宋_GB2312" w:eastAsia="仿宋_GB2312"/>
          <w:b/>
          <w:sz w:val="32"/>
        </w:rPr>
        <w:t>本年支出732.41万元，</w:t>
      </w:r>
      <w:r>
        <w:rPr>
          <w:rFonts w:ascii="仿宋_GB2312" w:hAnsi="仿宋_GB2312" w:eastAsia="仿宋_GB2312"/>
          <w:b w:val="0"/>
          <w:sz w:val="32"/>
        </w:rPr>
        <w:t>其中：基本支出</w:t>
      </w:r>
      <w:bookmarkStart w:id="0" w:name="_GoBack"/>
      <w:bookmarkEnd w:id="0"/>
      <w:r>
        <w:rPr>
          <w:rFonts w:ascii="仿宋_GB2312" w:hAnsi="仿宋_GB2312" w:eastAsia="仿宋_GB2312"/>
          <w:b w:val="0"/>
          <w:sz w:val="32"/>
        </w:rPr>
        <w:t>732.41万元，占100.00%；项目支出0.00万元，占0.00%；上缴上级支出0.00万元，占0.00%；经营支出0.00万元，占0.00%；对附属单位补助支出0.00万元，占0.00%。</w:t>
      </w:r>
    </w:p>
    <w:p w14:paraId="101DF3A4">
      <w:pPr>
        <w:spacing w:line="640" w:lineRule="exact"/>
        <w:ind w:firstLine="640"/>
        <w:jc w:val="both"/>
        <w:outlineLvl w:val="2"/>
      </w:pPr>
      <w:r>
        <w:rPr>
          <w:rFonts w:ascii="黑体" w:hAnsi="黑体" w:eastAsia="黑体"/>
          <w:sz w:val="32"/>
        </w:rPr>
        <w:t>四、财政拨款收入支出决算总体情况说明</w:t>
      </w:r>
    </w:p>
    <w:p w14:paraId="606DC6A8">
      <w:pPr>
        <w:spacing w:line="580" w:lineRule="exact"/>
        <w:ind w:firstLine="640"/>
        <w:jc w:val="both"/>
      </w:pPr>
      <w:r>
        <w:rPr>
          <w:rFonts w:ascii="仿宋_GB2312" w:hAnsi="仿宋_GB2312" w:eastAsia="仿宋_GB2312"/>
          <w:b/>
          <w:sz w:val="32"/>
        </w:rPr>
        <w:t>2024年度财政拨款收入总计732.41万元，</w:t>
      </w:r>
      <w:r>
        <w:rPr>
          <w:rFonts w:ascii="仿宋_GB2312" w:hAnsi="仿宋_GB2312" w:eastAsia="仿宋_GB2312"/>
          <w:b w:val="0"/>
          <w:sz w:val="32"/>
        </w:rPr>
        <w:t>其中：年初财政拨款结转和结余0.00万元，本年财政拨款收入732.41万元。</w:t>
      </w:r>
      <w:r>
        <w:rPr>
          <w:rFonts w:ascii="仿宋_GB2312" w:hAnsi="仿宋_GB2312" w:eastAsia="仿宋_GB2312"/>
          <w:b/>
          <w:sz w:val="32"/>
        </w:rPr>
        <w:t>财政拨款支出总计732.41万元，</w:t>
      </w:r>
      <w:r>
        <w:rPr>
          <w:rFonts w:ascii="仿宋_GB2312" w:hAnsi="仿宋_GB2312" w:eastAsia="仿宋_GB2312"/>
          <w:b w:val="0"/>
          <w:sz w:val="32"/>
        </w:rPr>
        <w:t>其中：年末财政拨款结转和结余0.00万元，本年财政拨款支出732.41万元。</w:t>
      </w:r>
    </w:p>
    <w:p w14:paraId="0F763FC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减少15.94万元，下降2.13%，主要原因是：1.本年减少园舍维修、校舍维修等项目；2.入学学生人数减少，导致公用经费减少。</w:t>
      </w:r>
      <w:r>
        <w:rPr>
          <w:rFonts w:ascii="仿宋_GB2312" w:hAnsi="仿宋_GB2312" w:eastAsia="仿宋_GB2312"/>
          <w:b/>
          <w:sz w:val="32"/>
        </w:rPr>
        <w:t>与年初预算相比，</w:t>
      </w:r>
      <w:r>
        <w:rPr>
          <w:rFonts w:ascii="仿宋_GB2312" w:hAnsi="仿宋_GB2312" w:eastAsia="仿宋_GB2312"/>
          <w:b w:val="0"/>
          <w:sz w:val="32"/>
        </w:rPr>
        <w:t>年初预算数673.52万元，决算数732.41万元，预决算差异率8.74%，主要原因是：年中追加人员工资、社保、公积金基数调增部分资金，导致预决算存在差异。</w:t>
      </w:r>
    </w:p>
    <w:p w14:paraId="6BAB7506">
      <w:pPr>
        <w:spacing w:line="640" w:lineRule="exact"/>
        <w:ind w:firstLine="640"/>
        <w:jc w:val="both"/>
        <w:outlineLvl w:val="2"/>
      </w:pPr>
      <w:r>
        <w:rPr>
          <w:rFonts w:ascii="黑体" w:hAnsi="黑体" w:eastAsia="黑体"/>
          <w:sz w:val="32"/>
        </w:rPr>
        <w:t>五、一般公共预算财政拨款支出决算情况说明</w:t>
      </w:r>
    </w:p>
    <w:p w14:paraId="4BF0F076">
      <w:pPr>
        <w:spacing w:line="640" w:lineRule="exact"/>
        <w:ind w:firstLine="640"/>
        <w:jc w:val="both"/>
        <w:outlineLvl w:val="3"/>
      </w:pPr>
      <w:r>
        <w:rPr>
          <w:rFonts w:ascii="楷体_GB2312" w:hAnsi="楷体_GB2312" w:eastAsia="楷体_GB2312"/>
          <w:b/>
          <w:sz w:val="32"/>
        </w:rPr>
        <w:t>（一）一般公共预算财政拨款支出决算总体情况</w:t>
      </w:r>
    </w:p>
    <w:p w14:paraId="5DF4114B">
      <w:pPr>
        <w:spacing w:line="580" w:lineRule="exact"/>
        <w:ind w:firstLine="640"/>
        <w:jc w:val="both"/>
      </w:pPr>
      <w:r>
        <w:rPr>
          <w:rFonts w:ascii="仿宋_GB2312" w:hAnsi="仿宋_GB2312" w:eastAsia="仿宋_GB2312"/>
          <w:b/>
          <w:sz w:val="32"/>
        </w:rPr>
        <w:t>2024年度一般公共预算财政拨款支出732.41万元，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减少15.94万元，下降2.13%，主要原因是：1.本年减少园舍维修、校舍维修等项目；2.入学学生人数减少，导致公用经费减少。</w:t>
      </w:r>
      <w:r>
        <w:rPr>
          <w:rFonts w:ascii="仿宋_GB2312" w:hAnsi="仿宋_GB2312" w:eastAsia="仿宋_GB2312"/>
          <w:b/>
          <w:sz w:val="32"/>
        </w:rPr>
        <w:t>与年初预算相比,</w:t>
      </w:r>
      <w:r>
        <w:rPr>
          <w:rFonts w:ascii="仿宋_GB2312" w:hAnsi="仿宋_GB2312" w:eastAsia="仿宋_GB2312"/>
          <w:b w:val="0"/>
          <w:sz w:val="32"/>
        </w:rPr>
        <w:t>年初预算数673.52万元，决算数732.41万元，预决算差异率8.74%，主要原因是：年中追加人员工资、社保、公积金基数调增部分资金，导致预决算存在差异。</w:t>
      </w:r>
    </w:p>
    <w:p w14:paraId="7397479C">
      <w:pPr>
        <w:spacing w:line="640" w:lineRule="exact"/>
        <w:ind w:firstLine="640"/>
        <w:jc w:val="both"/>
        <w:outlineLvl w:val="3"/>
      </w:pPr>
      <w:r>
        <w:rPr>
          <w:rFonts w:ascii="楷体_GB2312" w:hAnsi="楷体_GB2312" w:eastAsia="楷体_GB2312"/>
          <w:b/>
          <w:sz w:val="32"/>
        </w:rPr>
        <w:t>（二）一般公共预算财政拨款支出决算结构情况</w:t>
      </w:r>
    </w:p>
    <w:p w14:paraId="0870EE61">
      <w:pPr>
        <w:spacing w:line="580" w:lineRule="exact"/>
        <w:ind w:firstLine="640"/>
        <w:jc w:val="both"/>
      </w:pPr>
      <w:r>
        <w:rPr>
          <w:rFonts w:ascii="仿宋_GB2312" w:hAnsi="仿宋_GB2312" w:eastAsia="仿宋_GB2312"/>
          <w:b w:val="0"/>
          <w:sz w:val="32"/>
        </w:rPr>
        <w:t>1.教育支出(类)626.27万元,占85.51%。</w:t>
      </w:r>
    </w:p>
    <w:p w14:paraId="0106002A">
      <w:pPr>
        <w:spacing w:line="580" w:lineRule="exact"/>
        <w:ind w:firstLine="640"/>
        <w:jc w:val="both"/>
      </w:pPr>
      <w:r>
        <w:rPr>
          <w:rFonts w:ascii="仿宋_GB2312" w:hAnsi="仿宋_GB2312" w:eastAsia="仿宋_GB2312"/>
          <w:b w:val="0"/>
          <w:sz w:val="32"/>
        </w:rPr>
        <w:t>2.社会保障和就业支出(类)74.36万元,占10.15%。</w:t>
      </w:r>
    </w:p>
    <w:p w14:paraId="5B5E726C">
      <w:pPr>
        <w:spacing w:line="580" w:lineRule="exact"/>
        <w:ind w:firstLine="640"/>
        <w:jc w:val="both"/>
      </w:pPr>
      <w:r>
        <w:rPr>
          <w:rFonts w:ascii="仿宋_GB2312" w:hAnsi="仿宋_GB2312" w:eastAsia="仿宋_GB2312"/>
          <w:b w:val="0"/>
          <w:sz w:val="32"/>
        </w:rPr>
        <w:t>3.卫生健康支出(类)31.77万元,占4.34%。</w:t>
      </w:r>
    </w:p>
    <w:p w14:paraId="15DD1206">
      <w:pPr>
        <w:spacing w:line="640" w:lineRule="exact"/>
        <w:ind w:firstLine="640"/>
        <w:jc w:val="both"/>
        <w:outlineLvl w:val="3"/>
      </w:pPr>
      <w:r>
        <w:rPr>
          <w:rFonts w:ascii="楷体_GB2312" w:hAnsi="楷体_GB2312" w:eastAsia="楷体_GB2312"/>
          <w:b/>
          <w:sz w:val="32"/>
        </w:rPr>
        <w:t>（三）一般公共预算财政拨款支出决算具体情况</w:t>
      </w:r>
    </w:p>
    <w:p w14:paraId="2357F0AD">
      <w:pPr>
        <w:spacing w:line="580" w:lineRule="exact"/>
        <w:ind w:firstLine="640"/>
        <w:jc w:val="both"/>
      </w:pPr>
      <w:r>
        <w:rPr>
          <w:rFonts w:ascii="仿宋_GB2312" w:hAnsi="仿宋_GB2312" w:eastAsia="仿宋_GB2312"/>
          <w:b w:val="0"/>
          <w:sz w:val="32"/>
        </w:rPr>
        <w:t>1.教育支出(类)普通教育(款)学前教育(项):支出决算数为125.13万元，比上年决算增加21.67万元，增长20.95%,主要原因是：本年学前教育在职人员薪资调增，相关人员经费增加，导致学前教育支出较上年增加。</w:t>
      </w:r>
    </w:p>
    <w:p w14:paraId="2623041A">
      <w:pPr>
        <w:spacing w:line="580" w:lineRule="exact"/>
        <w:ind w:firstLine="640"/>
        <w:jc w:val="both"/>
      </w:pPr>
      <w:r>
        <w:rPr>
          <w:rFonts w:ascii="仿宋_GB2312" w:hAnsi="仿宋_GB2312" w:eastAsia="仿宋_GB2312"/>
          <w:b w:val="0"/>
          <w:sz w:val="32"/>
        </w:rPr>
        <w:t>2.教育支出(类)普通教育(款)小学教育(项):支出决算数为456.22万元，比上年决算增加27.22万元，增长6.34%,主要原因是：本年功能科目调整，班主任补贴经费上年在其他教育支出(项)科目列支，本年调整至小学教育(项)科目列支，导致小学教育支出较上年增加。</w:t>
      </w:r>
    </w:p>
    <w:p w14:paraId="65363E4B">
      <w:pPr>
        <w:spacing w:line="580" w:lineRule="exact"/>
        <w:ind w:firstLine="640"/>
        <w:jc w:val="both"/>
      </w:pPr>
      <w:r>
        <w:rPr>
          <w:rFonts w:ascii="仿宋_GB2312" w:hAnsi="仿宋_GB2312" w:eastAsia="仿宋_GB2312"/>
          <w:b w:val="0"/>
          <w:sz w:val="32"/>
        </w:rPr>
        <w:t>3.教育支出(类)普通教育(款)其他普通教育支出(项):支出决算数为44.92万元，比上年决算减少4.79万元，下降9.64%,主要原因是：本年度减少临聘人员，导致其他普通教育支出较上年减少。</w:t>
      </w:r>
    </w:p>
    <w:p w14:paraId="78F55609">
      <w:pPr>
        <w:spacing w:line="580" w:lineRule="exact"/>
        <w:ind w:firstLine="640"/>
        <w:jc w:val="both"/>
      </w:pPr>
      <w:r>
        <w:rPr>
          <w:rFonts w:ascii="仿宋_GB2312" w:hAnsi="仿宋_GB2312" w:eastAsia="仿宋_GB2312"/>
          <w:b w:val="0"/>
          <w:sz w:val="32"/>
        </w:rPr>
        <w:t>4.教育支出(类)教育费附加安排的支出(款)其他教育费附加安排的支出(项):支出决算数为0.00万元，比上年决算减少0.32万元，下降100.00%,主要原因是：本年度未安排继续教育支出，导致经费较上年减少。</w:t>
      </w:r>
    </w:p>
    <w:p w14:paraId="303E272D">
      <w:pPr>
        <w:spacing w:line="580" w:lineRule="exact"/>
        <w:ind w:firstLine="640"/>
        <w:jc w:val="both"/>
      </w:pPr>
      <w:r>
        <w:rPr>
          <w:rFonts w:ascii="仿宋_GB2312" w:hAnsi="仿宋_GB2312" w:eastAsia="仿宋_GB2312"/>
          <w:b w:val="0"/>
          <w:sz w:val="32"/>
        </w:rPr>
        <w:t>5.教育支出(类)其他教育支出(款)其他教育支出(项):支出决算数为0.00万元，比上年决算减少6.51万元，下降100.00%,主要原因是：本年功能科目调整，班主任补贴经费上年在其他教育支出(项)科目列支，本年调整至小学教育(项)科目列支，导致经费较上年减少。</w:t>
      </w:r>
    </w:p>
    <w:p w14:paraId="320EA4F2">
      <w:pPr>
        <w:spacing w:line="580" w:lineRule="exact"/>
        <w:ind w:firstLine="640"/>
        <w:jc w:val="both"/>
      </w:pPr>
      <w:r>
        <w:rPr>
          <w:rFonts w:ascii="仿宋_GB2312" w:hAnsi="仿宋_GB2312" w:eastAsia="仿宋_GB2312"/>
          <w:b w:val="0"/>
          <w:sz w:val="32"/>
        </w:rPr>
        <w:t>6.社会保障和就业支出(类)行政事业单位养老支出(款)事业单位离退休(项):支出决算数为10.83万元，比上年决算增加8.98万元，增长485.41%,主要原因是：本年增加退休人员基础绩效奖，退休费支出增加。</w:t>
      </w:r>
    </w:p>
    <w:p w14:paraId="0D6DE10B">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63.54万元，比上年决算增加2.40万元，增长3.93%,主要原因是：本年在职人员工资基数调增，养老缴费基数上涨，相应支出增加。</w:t>
      </w:r>
    </w:p>
    <w:p w14:paraId="614830E9">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8.社会保障和就业支出(类)行政事业单位养老支出(款)机关事业单位职业年金缴费支出(项):支出决算数为0.00万元，比上年决算减少8.36万元，下降100.00%,主要原因是：本年无新增退休人员，职业年金缴费支出减少。</w:t>
      </w:r>
    </w:p>
    <w:p w14:paraId="14864D91">
      <w:pPr>
        <w:spacing w:line="580" w:lineRule="exact"/>
        <w:ind w:firstLine="640"/>
        <w:jc w:val="both"/>
      </w:pPr>
      <w:r>
        <w:rPr>
          <w:rFonts w:ascii="仿宋_GB2312" w:hAnsi="仿宋_GB2312" w:eastAsia="仿宋_GB2312"/>
          <w:b w:val="0"/>
          <w:sz w:val="32"/>
        </w:rPr>
        <w:t>9.卫生健康支出(类)行政事业单位医疗(款)事业单位医疗(项):支出决算数为31.77万元，比上年决算减少6.07万元，下降16.04%,主要原因是：因退休人员医疗保险制度改革，退休人员基本医疗不再由单位缴纳，导致经费较上年减少。</w:t>
      </w:r>
    </w:p>
    <w:p w14:paraId="305C28B2">
      <w:pPr>
        <w:spacing w:line="580" w:lineRule="exact"/>
        <w:ind w:firstLine="640"/>
        <w:jc w:val="both"/>
      </w:pPr>
      <w:r>
        <w:rPr>
          <w:rFonts w:ascii="仿宋_GB2312" w:hAnsi="仿宋_GB2312" w:eastAsia="仿宋_GB2312"/>
          <w:b w:val="0"/>
          <w:sz w:val="32"/>
        </w:rPr>
        <w:t>10.住房保障支出(类)住房改革支出(款)住房公积金(项):支出决算数为0.00万元，比上年决算减少50.16万元，下降100.00%,主要原因是：本年功能科目调整，住房公积金上年度单独列支，本年调整至主科目列支，导致经费较上年减少。</w:t>
      </w:r>
    </w:p>
    <w:p w14:paraId="2E6CB1B4">
      <w:pPr>
        <w:spacing w:line="640" w:lineRule="exact"/>
        <w:ind w:firstLine="640"/>
        <w:jc w:val="both"/>
        <w:outlineLvl w:val="2"/>
      </w:pPr>
      <w:r>
        <w:rPr>
          <w:rFonts w:ascii="黑体" w:hAnsi="黑体" w:eastAsia="黑体"/>
          <w:sz w:val="32"/>
        </w:rPr>
        <w:t>六、一般公共预算财政拨款基本支出决算情况说明</w:t>
      </w:r>
    </w:p>
    <w:p w14:paraId="0F50BCD2">
      <w:pPr>
        <w:spacing w:line="580" w:lineRule="exact"/>
        <w:ind w:firstLine="640"/>
        <w:jc w:val="both"/>
      </w:pPr>
      <w:r>
        <w:rPr>
          <w:rFonts w:ascii="仿宋_GB2312" w:hAnsi="仿宋_GB2312" w:eastAsia="仿宋_GB2312"/>
          <w:b w:val="0"/>
          <w:sz w:val="32"/>
        </w:rPr>
        <w:t>2024年度一般公共预算财政拨款基本支出732.41万元，其中：</w:t>
      </w:r>
      <w:r>
        <w:rPr>
          <w:rFonts w:ascii="仿宋_GB2312" w:hAnsi="仿宋_GB2312" w:eastAsia="仿宋_GB2312"/>
          <w:b/>
          <w:sz w:val="32"/>
        </w:rPr>
        <w:t>人员经费693.80万元，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包括：基本工资、津贴补贴、奖金、绩效工资、机关事业单位基本养老保险缴费、职工基本医疗保险缴费、其他社会保障缴费、住房公积金、其他工资福利支出、退休费、助学金、奖励金。</w:t>
      </w:r>
    </w:p>
    <w:p w14:paraId="31A8ADE7">
      <w:pPr>
        <w:spacing w:line="580" w:lineRule="exact"/>
        <w:ind w:firstLine="640"/>
        <w:jc w:val="both"/>
      </w:pPr>
      <w:r>
        <w:rPr>
          <w:rFonts w:ascii="仿宋_GB2312" w:hAnsi="仿宋_GB2312" w:eastAsia="仿宋_GB2312"/>
          <w:b/>
          <w:sz w:val="32"/>
        </w:rPr>
        <w:t>公用经费38.61万元，</w:t>
      </w:r>
      <w:r>
        <w:rPr>
          <w:rFonts w:ascii="仿宋_GB2312" w:hAnsi="仿宋_GB2312" w:eastAsia="仿宋_GB2312"/>
          <w:b w:val="0"/>
          <w:sz w:val="32"/>
        </w:rPr>
        <w:t>包括：办公费、水费、电费、邮电费、取暖费、物业管理费、维修（护）费、培训费、专用材料费、劳务费、工会经费、福利费、其他商品和服务支出。</w:t>
      </w:r>
    </w:p>
    <w:p w14:paraId="604AA5F4">
      <w:pPr>
        <w:spacing w:line="640" w:lineRule="exact"/>
        <w:ind w:firstLine="640"/>
        <w:jc w:val="both"/>
        <w:outlineLvl w:val="2"/>
      </w:pPr>
      <w:r>
        <w:rPr>
          <w:rFonts w:ascii="黑体" w:hAnsi="黑体" w:eastAsia="黑体"/>
          <w:sz w:val="32"/>
        </w:rPr>
        <w:t>七、政府性基金预算财政拨款收入支出决算情况说明</w:t>
      </w:r>
    </w:p>
    <w:p w14:paraId="6516A3D6">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13CEF0D">
      <w:pPr>
        <w:spacing w:line="640" w:lineRule="exact"/>
        <w:ind w:firstLine="640"/>
        <w:jc w:val="both"/>
        <w:outlineLvl w:val="2"/>
      </w:pPr>
      <w:r>
        <w:rPr>
          <w:rFonts w:ascii="黑体" w:hAnsi="黑体" w:eastAsia="黑体"/>
          <w:sz w:val="32"/>
        </w:rPr>
        <w:t>八、国有资本经营预算财政拨款收入支出决算情况说明</w:t>
      </w:r>
    </w:p>
    <w:p w14:paraId="29F6FA4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60DA1ED">
      <w:pPr>
        <w:spacing w:line="640" w:lineRule="exact"/>
        <w:ind w:firstLine="640"/>
        <w:jc w:val="both"/>
        <w:outlineLvl w:val="2"/>
      </w:pPr>
      <w:r>
        <w:rPr>
          <w:rFonts w:ascii="黑体" w:hAnsi="黑体" w:eastAsia="黑体"/>
          <w:sz w:val="32"/>
        </w:rPr>
        <w:t>九、财政拨款“三公”经费支出决算情况说明</w:t>
      </w:r>
    </w:p>
    <w:p w14:paraId="399B650E">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ADED817">
      <w:pPr>
        <w:spacing w:line="580" w:lineRule="exact"/>
        <w:ind w:firstLine="640"/>
        <w:jc w:val="both"/>
      </w:pPr>
      <w:r>
        <w:rPr>
          <w:rFonts w:ascii="仿宋_GB2312" w:hAnsi="仿宋_GB2312" w:eastAsia="仿宋_GB2312"/>
          <w:b/>
          <w:sz w:val="32"/>
        </w:rPr>
        <w:t>具体情况如下：</w:t>
      </w:r>
    </w:p>
    <w:p w14:paraId="7527D36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BE63A5F">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0A3839E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36FFC7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3222FBE">
      <w:pPr>
        <w:spacing w:line="640" w:lineRule="exact"/>
        <w:ind w:firstLine="640"/>
        <w:jc w:val="both"/>
        <w:outlineLvl w:val="2"/>
      </w:pPr>
      <w:r>
        <w:rPr>
          <w:rFonts w:ascii="黑体" w:hAnsi="黑体" w:eastAsia="黑体"/>
          <w:sz w:val="32"/>
        </w:rPr>
        <w:t>十、其他重要事项的情况说明</w:t>
      </w:r>
    </w:p>
    <w:p w14:paraId="0FBF1EC5">
      <w:pPr>
        <w:spacing w:line="640" w:lineRule="exact"/>
        <w:ind w:firstLine="640"/>
        <w:jc w:val="both"/>
        <w:outlineLvl w:val="3"/>
      </w:pPr>
      <w:r>
        <w:rPr>
          <w:rFonts w:ascii="楷体_GB2312" w:hAnsi="楷体_GB2312" w:eastAsia="楷体_GB2312"/>
          <w:b/>
          <w:sz w:val="32"/>
        </w:rPr>
        <w:t>（一）机关运行经费及公用经费支出情况</w:t>
      </w:r>
    </w:p>
    <w:p w14:paraId="394BC8A2">
      <w:pPr>
        <w:spacing w:line="580" w:lineRule="exact"/>
        <w:ind w:firstLine="640"/>
        <w:jc w:val="both"/>
      </w:pPr>
      <w:r>
        <w:rPr>
          <w:rFonts w:ascii="仿宋_GB2312" w:hAnsi="仿宋_GB2312" w:eastAsia="仿宋_GB2312"/>
          <w:b w:val="0"/>
          <w:sz w:val="32"/>
        </w:rPr>
        <w:t>2024年度霍城县良繁场中心学校（事业单位）公用经费支出38.61万元，比上年减少7.50万元，下降16.27%，主要原因是：入学学生人数减少，导致公用经费支出减少。</w:t>
      </w:r>
    </w:p>
    <w:p w14:paraId="7B01FAD6">
      <w:pPr>
        <w:spacing w:line="640" w:lineRule="exact"/>
        <w:ind w:firstLine="640"/>
        <w:jc w:val="both"/>
        <w:outlineLvl w:val="3"/>
      </w:pPr>
      <w:r>
        <w:rPr>
          <w:rFonts w:ascii="楷体_GB2312" w:hAnsi="楷体_GB2312" w:eastAsia="楷体_GB2312"/>
          <w:b/>
          <w:sz w:val="32"/>
        </w:rPr>
        <w:t>（二）政府采购情况</w:t>
      </w:r>
    </w:p>
    <w:p w14:paraId="15F45648">
      <w:pPr>
        <w:spacing w:line="580" w:lineRule="exact"/>
        <w:ind w:firstLine="640"/>
        <w:jc w:val="both"/>
      </w:pPr>
      <w:r>
        <w:rPr>
          <w:rFonts w:ascii="仿宋_GB2312" w:hAnsi="仿宋_GB2312" w:eastAsia="仿宋_GB2312"/>
          <w:b w:val="0"/>
          <w:sz w:val="32"/>
        </w:rPr>
        <w:t>2024年度政府采购支出总额1.07万元，其中：政府采购货物支出1.07万元、政府采购工程支出0.00万元、政府采购服务支出0.00万元。</w:t>
      </w:r>
    </w:p>
    <w:p w14:paraId="055A7001">
      <w:pPr>
        <w:spacing w:line="580" w:lineRule="exact"/>
        <w:ind w:firstLine="640"/>
        <w:jc w:val="both"/>
      </w:pPr>
      <w:r>
        <w:rPr>
          <w:rFonts w:ascii="仿宋_GB2312" w:hAnsi="仿宋_GB2312" w:eastAsia="仿宋_GB2312"/>
          <w:b w:val="0"/>
          <w:sz w:val="32"/>
        </w:rPr>
        <w:t>授予中小企业合同金额1.07万元，占政府采购支出总额的100.00%，其中：授予小微企业合同金额1.07万元，占政府采购支出总额的100.00%。</w:t>
      </w:r>
    </w:p>
    <w:p w14:paraId="0F880839">
      <w:pPr>
        <w:spacing w:line="640" w:lineRule="exact"/>
        <w:ind w:firstLine="640"/>
        <w:jc w:val="both"/>
        <w:outlineLvl w:val="3"/>
      </w:pPr>
      <w:r>
        <w:rPr>
          <w:rFonts w:ascii="楷体_GB2312" w:hAnsi="楷体_GB2312" w:eastAsia="楷体_GB2312"/>
          <w:b/>
          <w:sz w:val="32"/>
        </w:rPr>
        <w:t>（三）国有资产占用情况说明</w:t>
      </w:r>
    </w:p>
    <w:p w14:paraId="340C9523">
      <w:pPr>
        <w:spacing w:line="580" w:lineRule="exact"/>
        <w:ind w:firstLine="640"/>
        <w:jc w:val="both"/>
      </w:pPr>
      <w:r>
        <w:rPr>
          <w:rFonts w:ascii="仿宋_GB2312" w:hAnsi="仿宋_GB2312" w:eastAsia="仿宋_GB2312"/>
          <w:b w:val="0"/>
          <w:sz w:val="32"/>
        </w:rPr>
        <w:t>截至2024年12月31日，房屋6,282.43平方米，价值738.83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2A5F1A91">
      <w:pPr>
        <w:spacing w:line="640" w:lineRule="exact"/>
        <w:ind w:firstLine="640"/>
        <w:jc w:val="both"/>
        <w:outlineLvl w:val="2"/>
      </w:pPr>
      <w:r>
        <w:rPr>
          <w:rFonts w:ascii="黑体" w:hAnsi="黑体" w:eastAsia="黑体"/>
          <w:sz w:val="32"/>
        </w:rPr>
        <w:t>十一、预算绩效的情况说明</w:t>
      </w:r>
    </w:p>
    <w:p w14:paraId="70C0C0E8">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732.40万元，实际执行总额732.40万元；预算绩效评价项目0个，全年预算数0.00万元，全年执行数0.00万元。预算绩效管理取得的成效：一是资源配置优化：通过科学的预算绩效管理，学校能够更精准地将资金分配到教学、科研、师资建设等关键领域，提高了资源的利用效率。二是目标达成率提高：明确的预算绩效目标和定期的评估机制，使得学校各项工作计划的目标达成率显著提升，如教学质量的改善、科研成果的增加等。三是成本控制有效：对各项支出进行严格的监控和分析，有效控制了不必要的开支，降低了学校的运营成本。四是决策科学性增强：基于绩效数据的分析，为学校的决策提供了有力的支持，决策更加科学合理，避免了盲目投资和资源浪费。发现的问题及原因：一是绩效指标不够细化：部分绩效指标的设定较为笼统，难以准确衡量工作的实际效果。原因在于对工作内容的分解不够深入，缺乏具体的量化标准。二是数据收集与分析困难：在预算执行过程中，相关数据的收集不够及时、准确，影响了绩效评估的准确性和及时性。主要是因为数据管理系统不完善，各部门之间的数据沟通不畅。三是人员绩效意识薄弱：部分教职工对预算绩效管理的重要性认识不足，参与度不高，导致工作执行不到位。这可能是由于培训宣传不足，缺乏激励机制。四是预算调整机制不灵活：当外部环境变化或学校发展需求调整时，预算调整的流程繁琐，不够灵活，影响了工作的推进。原因在于预算管理制度的僵化，缺乏应对突发情况的弹性条款。下一步改进措施：一是完善绩效指标体系：深入调研各部门工作，制定更加细化、可衡量的绩效指标，确保能够全面、准确地反映工作成果。二是加强数据管理：建立健全数据收集、整理和分析的系统，明确各部门的数据责任，加强部门间的数据共享与交流。三是强化培训与宣传：开展预算绩效管理的培训活动，提高教职工的绩效意识，建立相应的激励机制，鼓励积极参与。四是优化预算调整流程：制定灵活的预算调整规则，明确调整的条件和程序，提高预算对学校发展变化的适应性。五是建立持续监控机制：定期对预算绩效执行情况进行跟踪监控，及时发现问题并采取纠正措施，确保预算目标的实现。具体附整体支出绩效自评表。</w:t>
      </w:r>
    </w:p>
    <w:p w14:paraId="247C3346">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3EB3C90">
        <w:tblPrEx>
          <w:tblCellMar>
            <w:top w:w="0" w:type="dxa"/>
            <w:left w:w="108" w:type="dxa"/>
            <w:bottom w:w="0" w:type="dxa"/>
            <w:right w:w="108" w:type="dxa"/>
          </w:tblCellMar>
        </w:tblPrEx>
        <w:tc>
          <w:tcPr>
            <w:tcW w:w="8840" w:type="dxa"/>
            <w:gridSpan w:val="8"/>
            <w:vAlign w:val="center"/>
          </w:tcPr>
          <w:p w14:paraId="494A6962">
            <w:pPr>
              <w:jc w:val="center"/>
            </w:pPr>
            <w:r>
              <w:rPr>
                <w:rFonts w:ascii="宋体" w:hAnsi="宋体" w:eastAsia="宋体"/>
                <w:sz w:val="24"/>
              </w:rPr>
              <w:t>单位整体支出绩效自评表</w:t>
            </w:r>
          </w:p>
        </w:tc>
      </w:tr>
      <w:tr w14:paraId="67A7140F">
        <w:tblPrEx>
          <w:tblCellMar>
            <w:top w:w="0" w:type="dxa"/>
            <w:left w:w="108" w:type="dxa"/>
            <w:bottom w:w="0" w:type="dxa"/>
            <w:right w:w="108" w:type="dxa"/>
          </w:tblCellMar>
        </w:tblPrEx>
        <w:tc>
          <w:tcPr>
            <w:tcW w:w="8840" w:type="dxa"/>
            <w:gridSpan w:val="8"/>
            <w:vAlign w:val="center"/>
          </w:tcPr>
          <w:p w14:paraId="5AE5CB25">
            <w:pPr>
              <w:jc w:val="center"/>
            </w:pPr>
            <w:r>
              <w:rPr>
                <w:rFonts w:ascii="宋体" w:hAnsi="宋体" w:eastAsia="宋体"/>
                <w:sz w:val="24"/>
              </w:rPr>
              <w:t>（2024年度）</w:t>
            </w:r>
          </w:p>
        </w:tc>
      </w:tr>
      <w:tr w14:paraId="58E23EF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91CE18">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3F0B53">
            <w:pPr>
              <w:jc w:val="center"/>
            </w:pPr>
            <w:r>
              <w:rPr>
                <w:rFonts w:ascii="宋体" w:hAnsi="宋体" w:eastAsia="宋体"/>
                <w:sz w:val="16"/>
              </w:rPr>
              <w:t>霍城县良繁场中心学校</w:t>
            </w:r>
          </w:p>
        </w:tc>
      </w:tr>
      <w:tr w14:paraId="43D9228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CA9E7B">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54EAE1">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36AD60">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B9601A">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C29D91">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FB90E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2A37D9">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850805">
            <w:pPr>
              <w:jc w:val="center"/>
            </w:pPr>
            <w:r>
              <w:rPr>
                <w:rFonts w:ascii="宋体" w:hAnsi="宋体" w:eastAsia="宋体"/>
                <w:sz w:val="16"/>
              </w:rPr>
              <w:t>得分</w:t>
            </w:r>
          </w:p>
        </w:tc>
      </w:tr>
      <w:tr w14:paraId="25BBC36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0C1AC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0B3D3F">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154967">
            <w:pPr>
              <w:jc w:val="center"/>
            </w:pPr>
            <w:r>
              <w:rPr>
                <w:rFonts w:ascii="宋体" w:hAnsi="宋体" w:eastAsia="宋体"/>
                <w:sz w:val="16"/>
              </w:rPr>
              <w:t>673.51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F1E3B5">
            <w:pPr>
              <w:jc w:val="center"/>
            </w:pPr>
            <w:r>
              <w:rPr>
                <w:rFonts w:ascii="宋体" w:hAnsi="宋体" w:eastAsia="宋体"/>
                <w:sz w:val="16"/>
              </w:rPr>
              <w:t>732.40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FCE46C">
            <w:pPr>
              <w:jc w:val="center"/>
            </w:pPr>
            <w:r>
              <w:rPr>
                <w:rFonts w:ascii="宋体" w:hAnsi="宋体" w:eastAsia="宋体"/>
                <w:sz w:val="16"/>
              </w:rPr>
              <w:t>732.40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38174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C54F3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9B452E">
            <w:pPr>
              <w:jc w:val="center"/>
            </w:pPr>
            <w:r>
              <w:rPr>
                <w:rFonts w:ascii="宋体" w:hAnsi="宋体" w:eastAsia="宋体"/>
                <w:sz w:val="16"/>
              </w:rPr>
              <w:t>10</w:t>
            </w:r>
          </w:p>
        </w:tc>
      </w:tr>
      <w:tr w14:paraId="766FCD6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B17679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027933">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DE86D8">
            <w:pPr>
              <w:jc w:val="center"/>
            </w:pPr>
            <w:r>
              <w:rPr>
                <w:rFonts w:ascii="宋体" w:hAnsi="宋体" w:eastAsia="宋体"/>
                <w:sz w:val="16"/>
              </w:rPr>
              <w:t>52.10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AEAC1F">
            <w:pPr>
              <w:jc w:val="center"/>
            </w:pPr>
            <w:r>
              <w:rPr>
                <w:rFonts w:ascii="宋体" w:hAnsi="宋体" w:eastAsia="宋体"/>
                <w:sz w:val="16"/>
              </w:rPr>
              <w:t>52.10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EC7DA5">
            <w:pPr>
              <w:jc w:val="center"/>
            </w:pPr>
            <w:r>
              <w:rPr>
                <w:rFonts w:ascii="宋体" w:hAnsi="宋体" w:eastAsia="宋体"/>
                <w:sz w:val="16"/>
              </w:rPr>
              <w:t>52.10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C675F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75449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C96D8A">
            <w:pPr>
              <w:jc w:val="center"/>
            </w:pPr>
            <w:r>
              <w:rPr>
                <w:rFonts w:ascii="宋体" w:hAnsi="宋体" w:eastAsia="宋体"/>
                <w:sz w:val="16"/>
              </w:rPr>
              <w:t>-</w:t>
            </w:r>
          </w:p>
        </w:tc>
      </w:tr>
      <w:tr w14:paraId="20C6D44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3C4AE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6BC74B">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20240F">
            <w:pPr>
              <w:jc w:val="center"/>
            </w:pPr>
            <w:r>
              <w:rPr>
                <w:rFonts w:ascii="宋体" w:hAnsi="宋体" w:eastAsia="宋体"/>
                <w:sz w:val="16"/>
              </w:rPr>
              <w:t>621.41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205FBB">
            <w:pPr>
              <w:jc w:val="center"/>
            </w:pPr>
            <w:r>
              <w:rPr>
                <w:rFonts w:ascii="宋体" w:hAnsi="宋体" w:eastAsia="宋体"/>
                <w:sz w:val="16"/>
              </w:rPr>
              <w:t>680.30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CDCC14">
            <w:pPr>
              <w:jc w:val="center"/>
            </w:pPr>
            <w:r>
              <w:rPr>
                <w:rFonts w:ascii="宋体" w:hAnsi="宋体" w:eastAsia="宋体"/>
                <w:sz w:val="16"/>
              </w:rPr>
              <w:t>680.30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CDD6C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F3CD6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F91ABE">
            <w:pPr>
              <w:jc w:val="center"/>
            </w:pPr>
            <w:r>
              <w:rPr>
                <w:rFonts w:ascii="宋体" w:hAnsi="宋体" w:eastAsia="宋体"/>
                <w:sz w:val="16"/>
              </w:rPr>
              <w:t>-</w:t>
            </w:r>
          </w:p>
        </w:tc>
      </w:tr>
      <w:tr w14:paraId="27E77C3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326BAD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7C9217">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9C719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79BFB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55273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98545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6B8C9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6AD98E">
            <w:pPr>
              <w:jc w:val="center"/>
            </w:pPr>
            <w:r>
              <w:rPr>
                <w:rFonts w:ascii="宋体" w:hAnsi="宋体" w:eastAsia="宋体"/>
                <w:sz w:val="16"/>
              </w:rPr>
              <w:t>-</w:t>
            </w:r>
          </w:p>
        </w:tc>
      </w:tr>
      <w:tr w14:paraId="448088E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342ADC">
            <w:pPr>
              <w:jc w:val="center"/>
            </w:pPr>
            <w:r>
              <w:rPr>
                <w:rFonts w:ascii="宋体" w:hAnsi="宋体" w:eastAsia="宋体"/>
                <w:sz w:val="16"/>
              </w:rPr>
              <w:t>年度总体目标</w:t>
            </w:r>
          </w:p>
        </w:tc>
        <w:tc>
          <w:tcPr>
            <w:tcW w:w="552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DD8F90">
            <w:pPr>
              <w:jc w:val="center"/>
            </w:pPr>
            <w:r>
              <w:rPr>
                <w:rFonts w:ascii="宋体" w:hAnsi="宋体" w:eastAsia="宋体"/>
                <w:sz w:val="16"/>
              </w:rPr>
              <w:t>预期目标</w:t>
            </w:r>
          </w:p>
        </w:tc>
        <w:tc>
          <w:tcPr>
            <w:tcW w:w="2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E256B">
            <w:pPr>
              <w:jc w:val="center"/>
            </w:pPr>
            <w:r>
              <w:rPr>
                <w:rFonts w:ascii="宋体" w:hAnsi="宋体" w:eastAsia="宋体"/>
                <w:sz w:val="16"/>
              </w:rPr>
              <w:t>实际完成情况</w:t>
            </w:r>
          </w:p>
        </w:tc>
      </w:tr>
      <w:tr w14:paraId="5519D31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B47E58"/>
        </w:tc>
        <w:tc>
          <w:tcPr>
            <w:tcW w:w="552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D7FC88">
            <w:pPr>
              <w:jc w:val="both"/>
            </w:pPr>
            <w:r>
              <w:rPr>
                <w:rFonts w:ascii="宋体" w:hAnsi="宋体" w:eastAsia="宋体"/>
                <w:sz w:val="16"/>
              </w:rPr>
              <w:t>贯彻落实中央、自治区党委决策部署的各项重大工作决定和安排，充分发挥教育经费保障教育发展、推动教育改革、推进教育公平、提高教育质量的政策引领作用，进一步优化结构、深化改革、强化监管，花好每一分钱，把教育经费用到最关键处，切实提高教育经费使用效益。完善城乡义务教育经费保障机制，保障小学正常运转，保证学校校舍安全。按照</w:t>
            </w:r>
            <w:r>
              <w:rPr>
                <w:rFonts w:hint="eastAsia" w:ascii="宋体" w:hAnsi="宋体"/>
                <w:sz w:val="16"/>
                <w:lang w:eastAsia="zh-CN"/>
              </w:rPr>
              <w:t>加快建设高质量教育体系</w:t>
            </w:r>
            <w:r>
              <w:rPr>
                <w:rFonts w:ascii="宋体" w:hAnsi="宋体" w:eastAsia="宋体"/>
                <w:sz w:val="16"/>
              </w:rPr>
              <w:t>部署要求，全面贯彻党的教育方针，坚持立德树人，健全学校家庭社会协同育人机制，增强学生文明素养、社会责任意识、实践本领，重视青少年身体素质和心理健康教育，加强师德师风建设，培养德智体美劳全面发展的社会主义建设者和接班人。四、加强资源统筹，构建终身教育体系，服务群众终身学习和全面发展。2024年良繁场中心学校以质量兴教为根本，努力提高教育教学质量，办让家长放心、让人民满意的教育。管好用好国家的教育资金，改善和优化农村的办学条件，力争使社会对良繁场的教育满意度达到较高的水平。高举习近平新时代中国特色社会主义思想，围绕2024年学校工作计划，从抓管理、强素质入手，强化德育为先，教学为中心，教研为先导，质量为本的学校育人策略，全面实施素质教育，完成各项教学任务。</w:t>
            </w:r>
          </w:p>
        </w:tc>
        <w:tc>
          <w:tcPr>
            <w:tcW w:w="2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3D5EB">
            <w:pPr>
              <w:jc w:val="both"/>
            </w:pPr>
            <w:r>
              <w:rPr>
                <w:rFonts w:ascii="宋体" w:hAnsi="宋体" w:eastAsia="宋体"/>
                <w:sz w:val="16"/>
              </w:rPr>
              <w:t>建设一支高素质的师资队伍，为学校可持续发展奠定基础，巩固、提升教学成果，普及学前教育、小学教育，保障适龄儿童全部入学就读。通过教师培训，更新教师陈旧知识，把教育与社会实践相结合，造就一批有理想、有道德、有文化、有纪律的青少年人才，从德育、智育、体育、美育等方面全面提升学生素质，</w:t>
            </w:r>
            <w:r>
              <w:rPr>
                <w:rFonts w:hint="eastAsia" w:ascii="宋体" w:hAnsi="宋体"/>
                <w:sz w:val="16"/>
                <w:lang w:eastAsia="zh-CN"/>
              </w:rPr>
              <w:t>办好人民满意的教育</w:t>
            </w:r>
            <w:r>
              <w:rPr>
                <w:rFonts w:ascii="宋体" w:hAnsi="宋体" w:eastAsia="宋体"/>
                <w:sz w:val="16"/>
              </w:rPr>
              <w:t>。</w:t>
            </w:r>
          </w:p>
        </w:tc>
      </w:tr>
      <w:tr w14:paraId="79BAFE2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3454B6">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3A679F">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E2BCB9">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3BC5AF">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4D0974">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122FE4">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28F743">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7953D5">
            <w:pPr>
              <w:jc w:val="center"/>
            </w:pPr>
            <w:r>
              <w:rPr>
                <w:rFonts w:ascii="宋体" w:hAnsi="宋体" w:eastAsia="宋体"/>
                <w:sz w:val="16"/>
              </w:rPr>
              <w:t>得分</w:t>
            </w:r>
          </w:p>
        </w:tc>
      </w:tr>
      <w:tr w14:paraId="694521C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728260">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8ACEC3">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431CDD">
            <w:pPr>
              <w:jc w:val="center"/>
            </w:pPr>
            <w:r>
              <w:rPr>
                <w:rFonts w:ascii="宋体" w:hAnsi="宋体" w:eastAsia="宋体"/>
                <w:sz w:val="16"/>
              </w:rPr>
              <w:t>义务教育学生人数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098B75">
            <w:pPr>
              <w:jc w:val="center"/>
            </w:pPr>
            <w:r>
              <w:rPr>
                <w:rFonts w:ascii="宋体" w:hAnsi="宋体" w:eastAsia="宋体"/>
                <w:sz w:val="16"/>
              </w:rPr>
              <w:t>=323人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3C39E6">
            <w:pPr>
              <w:jc w:val="center"/>
            </w:pPr>
            <w:r>
              <w:rPr>
                <w:rFonts w:ascii="宋体" w:hAnsi="宋体" w:eastAsia="宋体"/>
                <w:sz w:val="16"/>
              </w:rPr>
              <w:t>良繁场学校学生年报</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07650D">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73E469">
            <w:pPr>
              <w:jc w:val="center"/>
            </w:pPr>
            <w:r>
              <w:rPr>
                <w:rFonts w:ascii="宋体" w:hAnsi="宋体" w:eastAsia="宋体"/>
                <w:sz w:val="16"/>
              </w:rPr>
              <w:t>323人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8F2BF6">
            <w:pPr>
              <w:jc w:val="center"/>
            </w:pPr>
            <w:r>
              <w:rPr>
                <w:rFonts w:ascii="宋体" w:hAnsi="宋体" w:eastAsia="宋体"/>
                <w:sz w:val="16"/>
              </w:rPr>
              <w:t>18</w:t>
            </w:r>
          </w:p>
        </w:tc>
      </w:tr>
      <w:tr w14:paraId="423A64D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5FF75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D138C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523450">
            <w:pPr>
              <w:jc w:val="center"/>
            </w:pPr>
            <w:r>
              <w:rPr>
                <w:rFonts w:ascii="宋体" w:hAnsi="宋体" w:eastAsia="宋体"/>
                <w:sz w:val="16"/>
              </w:rPr>
              <w:t>享受资助补助学生覆盖率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D72C79">
            <w:pPr>
              <w:jc w:val="center"/>
            </w:pPr>
            <w:r>
              <w:rPr>
                <w:rFonts w:ascii="宋体" w:hAnsi="宋体" w:eastAsia="宋体"/>
                <w:sz w:val="16"/>
              </w:rPr>
              <w:t>&gt;=30%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B457B5">
            <w:pPr>
              <w:jc w:val="center"/>
            </w:pPr>
            <w:r>
              <w:rPr>
                <w:rFonts w:ascii="宋体" w:hAnsi="宋体" w:eastAsia="宋体"/>
                <w:sz w:val="16"/>
              </w:rPr>
              <w:t>良繁场非寄宿生汇总表，霍城县</w:t>
            </w: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C157E2">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F19571">
            <w:pPr>
              <w:jc w:val="center"/>
            </w:pPr>
            <w:r>
              <w:rPr>
                <w:rFonts w:ascii="宋体" w:hAnsi="宋体" w:eastAsia="宋体"/>
                <w:sz w:val="16"/>
              </w:rPr>
              <w:t>39%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CDD8D9">
            <w:pPr>
              <w:jc w:val="center"/>
            </w:pPr>
            <w:r>
              <w:rPr>
                <w:rFonts w:ascii="宋体" w:hAnsi="宋体" w:eastAsia="宋体"/>
                <w:sz w:val="16"/>
              </w:rPr>
              <w:t>18</w:t>
            </w:r>
          </w:p>
        </w:tc>
      </w:tr>
      <w:tr w14:paraId="644AA70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2A104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6DFAE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A828DC">
            <w:pPr>
              <w:jc w:val="center"/>
            </w:pPr>
            <w:r>
              <w:rPr>
                <w:rFonts w:ascii="宋体" w:hAnsi="宋体" w:eastAsia="宋体"/>
                <w:sz w:val="16"/>
              </w:rPr>
              <w:t>国家通用语言文字教育教学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B44D5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4BD6BD">
            <w:pPr>
              <w:jc w:val="center"/>
            </w:pPr>
            <w:r>
              <w:rPr>
                <w:rFonts w:ascii="宋体" w:hAnsi="宋体" w:eastAsia="宋体"/>
                <w:sz w:val="16"/>
              </w:rPr>
              <w:t>霍城县</w:t>
            </w: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0090C6">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A4E74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3FC805">
            <w:pPr>
              <w:jc w:val="center"/>
            </w:pPr>
            <w:r>
              <w:rPr>
                <w:rFonts w:ascii="宋体" w:hAnsi="宋体" w:eastAsia="宋体"/>
                <w:sz w:val="16"/>
              </w:rPr>
              <w:t>18</w:t>
            </w:r>
          </w:p>
        </w:tc>
      </w:tr>
      <w:tr w14:paraId="69DD702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BB12F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E7DC96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277104">
            <w:pPr>
              <w:jc w:val="center"/>
            </w:pPr>
            <w:r>
              <w:rPr>
                <w:rFonts w:ascii="宋体" w:hAnsi="宋体" w:eastAsia="宋体"/>
                <w:sz w:val="16"/>
              </w:rPr>
              <w:t>学前教育毛入园率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2362FC">
            <w:pPr>
              <w:jc w:val="center"/>
            </w:pPr>
            <w:r>
              <w:rPr>
                <w:rFonts w:ascii="宋体" w:hAnsi="宋体" w:eastAsia="宋体"/>
                <w:sz w:val="16"/>
              </w:rPr>
              <w:t>&gt;=99%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06D1B6">
            <w:pPr>
              <w:jc w:val="center"/>
            </w:pPr>
            <w:r>
              <w:rPr>
                <w:rFonts w:ascii="宋体" w:hAnsi="宋体" w:eastAsia="宋体"/>
                <w:sz w:val="16"/>
              </w:rPr>
              <w:t>霍城县</w:t>
            </w: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7C44E1">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9F33E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87C9FA">
            <w:pPr>
              <w:jc w:val="center"/>
            </w:pPr>
            <w:r>
              <w:rPr>
                <w:rFonts w:ascii="宋体" w:hAnsi="宋体" w:eastAsia="宋体"/>
                <w:sz w:val="16"/>
              </w:rPr>
              <w:t>18</w:t>
            </w:r>
          </w:p>
        </w:tc>
      </w:tr>
      <w:tr w14:paraId="4877827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6855E1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BCA3D9">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A314B8">
            <w:pPr>
              <w:jc w:val="center"/>
            </w:pPr>
            <w:r>
              <w:rPr>
                <w:rFonts w:ascii="宋体" w:hAnsi="宋体" w:eastAsia="宋体"/>
                <w:sz w:val="16"/>
              </w:rPr>
              <w:t>义务教育巩固率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B7B241">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8869A2">
            <w:pPr>
              <w:jc w:val="center"/>
            </w:pPr>
            <w:r>
              <w:rPr>
                <w:rFonts w:ascii="宋体" w:hAnsi="宋体" w:eastAsia="宋体"/>
                <w:sz w:val="16"/>
              </w:rPr>
              <w:t>霍城县</w:t>
            </w: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76EB35">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41A6B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C7770B">
            <w:pPr>
              <w:jc w:val="center"/>
            </w:pPr>
            <w:r>
              <w:rPr>
                <w:rFonts w:ascii="宋体" w:hAnsi="宋体" w:eastAsia="宋体"/>
                <w:sz w:val="16"/>
              </w:rPr>
              <w:t>18</w:t>
            </w:r>
          </w:p>
        </w:tc>
      </w:tr>
    </w:tbl>
    <w:p w14:paraId="6B155190">
      <w:r>
        <w:br w:type="page"/>
      </w:r>
    </w:p>
    <w:p w14:paraId="053C1BAD">
      <w:pPr>
        <w:spacing w:line="640" w:lineRule="exact"/>
        <w:ind w:firstLine="640"/>
        <w:jc w:val="both"/>
        <w:outlineLvl w:val="2"/>
      </w:pPr>
      <w:r>
        <w:rPr>
          <w:rFonts w:ascii="黑体" w:hAnsi="黑体" w:eastAsia="黑体"/>
          <w:sz w:val="32"/>
        </w:rPr>
        <w:t>十二、其他需说明的事项</w:t>
      </w:r>
    </w:p>
    <w:p w14:paraId="57661B7B">
      <w:pPr>
        <w:spacing w:line="580" w:lineRule="exact"/>
        <w:ind w:firstLine="640"/>
        <w:jc w:val="both"/>
      </w:pPr>
      <w:r>
        <w:rPr>
          <w:rFonts w:ascii="仿宋_GB2312" w:hAnsi="仿宋_GB2312" w:eastAsia="仿宋_GB2312"/>
          <w:b w:val="0"/>
          <w:sz w:val="32"/>
        </w:rPr>
        <w:t>本单位无其他需说明的事项。</w:t>
      </w:r>
    </w:p>
    <w:p w14:paraId="366C2F62">
      <w:r>
        <w:br w:type="page"/>
      </w:r>
    </w:p>
    <w:p w14:paraId="6CF37977">
      <w:pPr>
        <w:spacing w:line="240" w:lineRule="auto"/>
        <w:jc w:val="center"/>
        <w:outlineLvl w:val="1"/>
      </w:pPr>
      <w:r>
        <w:rPr>
          <w:rFonts w:ascii="黑体" w:hAnsi="黑体" w:eastAsia="黑体"/>
          <w:sz w:val="32"/>
        </w:rPr>
        <w:t>第三部分 专业名词解释</w:t>
      </w:r>
    </w:p>
    <w:p w14:paraId="4D4D201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A51B13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653D30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293D2C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6F5511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E74D74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241600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8BC2E1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F9CD8F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107385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9222A8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D554A2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4B281B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A52A84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579D740">
      <w:r>
        <w:br w:type="page"/>
      </w:r>
    </w:p>
    <w:p w14:paraId="641EE8D4">
      <w:pPr>
        <w:spacing w:line="240" w:lineRule="auto"/>
        <w:jc w:val="center"/>
        <w:outlineLvl w:val="1"/>
      </w:pPr>
      <w:r>
        <w:rPr>
          <w:rFonts w:ascii="黑体" w:hAnsi="黑体" w:eastAsia="黑体"/>
          <w:sz w:val="32"/>
        </w:rPr>
        <w:t>第四部分 部门决算报表（见附表）</w:t>
      </w:r>
    </w:p>
    <w:p w14:paraId="774128DC">
      <w:pPr>
        <w:spacing w:line="240" w:lineRule="auto"/>
        <w:ind w:firstLine="640"/>
        <w:jc w:val="both"/>
      </w:pPr>
      <w:r>
        <w:rPr>
          <w:rFonts w:ascii="仿宋_GB2312" w:hAnsi="仿宋_GB2312" w:eastAsia="仿宋_GB2312"/>
          <w:b w:val="0"/>
          <w:sz w:val="32"/>
        </w:rPr>
        <w:t>一、《收入支出决算总表》</w:t>
      </w:r>
    </w:p>
    <w:p w14:paraId="5A347A6A">
      <w:pPr>
        <w:spacing w:line="240" w:lineRule="auto"/>
        <w:ind w:firstLine="640"/>
        <w:jc w:val="both"/>
      </w:pPr>
      <w:r>
        <w:rPr>
          <w:rFonts w:ascii="仿宋_GB2312" w:hAnsi="仿宋_GB2312" w:eastAsia="仿宋_GB2312"/>
          <w:b w:val="0"/>
          <w:sz w:val="32"/>
        </w:rPr>
        <w:t>二、《收入决算表》</w:t>
      </w:r>
    </w:p>
    <w:p w14:paraId="4E477755">
      <w:pPr>
        <w:spacing w:line="240" w:lineRule="auto"/>
        <w:ind w:firstLine="640"/>
        <w:jc w:val="both"/>
      </w:pPr>
      <w:r>
        <w:rPr>
          <w:rFonts w:ascii="仿宋_GB2312" w:hAnsi="仿宋_GB2312" w:eastAsia="仿宋_GB2312"/>
          <w:b w:val="0"/>
          <w:sz w:val="32"/>
        </w:rPr>
        <w:t>三、《支出决算表》</w:t>
      </w:r>
    </w:p>
    <w:p w14:paraId="10A8EB3B">
      <w:pPr>
        <w:spacing w:line="240" w:lineRule="auto"/>
        <w:ind w:firstLine="640"/>
        <w:jc w:val="both"/>
      </w:pPr>
      <w:r>
        <w:rPr>
          <w:rFonts w:ascii="仿宋_GB2312" w:hAnsi="仿宋_GB2312" w:eastAsia="仿宋_GB2312"/>
          <w:b w:val="0"/>
          <w:sz w:val="32"/>
        </w:rPr>
        <w:t>四、《财政拨款收入支出决算总表》</w:t>
      </w:r>
    </w:p>
    <w:p w14:paraId="021284E9">
      <w:pPr>
        <w:spacing w:line="240" w:lineRule="auto"/>
        <w:ind w:firstLine="640"/>
        <w:jc w:val="both"/>
      </w:pPr>
      <w:r>
        <w:rPr>
          <w:rFonts w:ascii="仿宋_GB2312" w:hAnsi="仿宋_GB2312" w:eastAsia="仿宋_GB2312"/>
          <w:b w:val="0"/>
          <w:sz w:val="32"/>
        </w:rPr>
        <w:t>五、《一般公共预算财政拨款支出决算表》</w:t>
      </w:r>
    </w:p>
    <w:p w14:paraId="1EBA71AE">
      <w:pPr>
        <w:spacing w:line="240" w:lineRule="auto"/>
        <w:ind w:firstLine="640"/>
        <w:jc w:val="both"/>
      </w:pPr>
      <w:r>
        <w:rPr>
          <w:rFonts w:ascii="仿宋_GB2312" w:hAnsi="仿宋_GB2312" w:eastAsia="仿宋_GB2312"/>
          <w:b w:val="0"/>
          <w:sz w:val="32"/>
        </w:rPr>
        <w:t>六、《一般公共预算财政拨款基本支出决算表》</w:t>
      </w:r>
    </w:p>
    <w:p w14:paraId="066D8EA4">
      <w:pPr>
        <w:spacing w:line="240" w:lineRule="auto"/>
        <w:ind w:firstLine="640"/>
        <w:jc w:val="both"/>
      </w:pPr>
      <w:r>
        <w:rPr>
          <w:rFonts w:ascii="仿宋_GB2312" w:hAnsi="仿宋_GB2312" w:eastAsia="仿宋_GB2312"/>
          <w:b w:val="0"/>
          <w:sz w:val="32"/>
        </w:rPr>
        <w:t>七、《政府性基金预算财政拨款收入支出决算表》</w:t>
      </w:r>
    </w:p>
    <w:p w14:paraId="7DBB6B1C">
      <w:pPr>
        <w:spacing w:line="240" w:lineRule="auto"/>
        <w:ind w:firstLine="640"/>
        <w:jc w:val="both"/>
      </w:pPr>
      <w:r>
        <w:rPr>
          <w:rFonts w:ascii="仿宋_GB2312" w:hAnsi="仿宋_GB2312" w:eastAsia="仿宋_GB2312"/>
          <w:b w:val="0"/>
          <w:sz w:val="32"/>
        </w:rPr>
        <w:t>八、《国有资本经营预算财政拨款收入支出决算表》</w:t>
      </w:r>
    </w:p>
    <w:p w14:paraId="4491BEE2">
      <w:pPr>
        <w:spacing w:line="240" w:lineRule="auto"/>
        <w:ind w:firstLine="640"/>
        <w:jc w:val="both"/>
      </w:pPr>
      <w:r>
        <w:rPr>
          <w:rFonts w:ascii="仿宋_GB2312" w:hAnsi="仿宋_GB2312" w:eastAsia="仿宋_GB2312"/>
          <w:b w:val="0"/>
          <w:sz w:val="32"/>
        </w:rPr>
        <w:t>九、《财政拨款“三公”经费支出决算表》</w:t>
      </w:r>
    </w:p>
    <w:p w14:paraId="1D758547">
      <w:pPr>
        <w:spacing w:line="240" w:lineRule="auto"/>
        <w:ind w:firstLine="640"/>
        <w:jc w:val="both"/>
      </w:pPr>
    </w:p>
    <w:p w14:paraId="4C15936C">
      <w:pPr>
        <w:spacing w:line="240" w:lineRule="auto"/>
        <w:ind w:firstLine="640"/>
        <w:jc w:val="both"/>
      </w:pPr>
    </w:p>
    <w:p w14:paraId="3D27A99B">
      <w:pPr>
        <w:spacing w:line="240" w:lineRule="auto"/>
        <w:ind w:firstLine="640"/>
        <w:jc w:val="both"/>
      </w:pPr>
    </w:p>
    <w:p w14:paraId="665BBD30">
      <w:pPr>
        <w:spacing w:line="240" w:lineRule="auto"/>
        <w:ind w:firstLine="640"/>
        <w:jc w:val="both"/>
      </w:pPr>
    </w:p>
    <w:p w14:paraId="60E35E4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8">
    <w:panose1 w:val="02000000000000000000"/>
    <w:charset w:val="86"/>
    <w:family w:val="auto"/>
    <w:pitch w:val="default"/>
    <w:sig w:usb0="A00002BF" w:usb1="38CF7CFA" w:usb2="00082016" w:usb3="00000000" w:csb0="00040001" w:csb1="00000000"/>
  </w:font>
  <w:font w:name="WPSEMBED7">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694CE5"/>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B04B5E"/>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5172</Words>
  <Characters>5855</Characters>
  <Lines>0</Lines>
  <Paragraphs>0</Paragraphs>
  <TotalTime>7</TotalTime>
  <ScaleCrop>false</ScaleCrop>
  <LinksUpToDate>false</LinksUpToDate>
  <CharactersWithSpaces>5863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2025-09-25T04:47:46Z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